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ind w:left="2680"/>
        <w:spacing w:after="0"/>
        <w:rPr>
          <w:sz w:val="20"/>
          <w:szCs w:val="20"/>
          <w:color w:val="auto"/>
        </w:rPr>
      </w:pPr>
      <w:r>
        <w:rPr>
          <w:rFonts w:ascii="Arial" w:cs="Arial" w:eastAsia="Arial" w:hAnsi="Arial"/>
          <w:sz w:val="22"/>
          <w:szCs w:val="22"/>
          <w:b w:val="1"/>
          <w:bCs w:val="1"/>
          <w:color w:val="auto"/>
        </w:rPr>
        <w:t>ANNUAL REPORT PURSUANT TO SECTION 13 or 15(d) OF</w:t>
      </w:r>
    </w:p>
    <w:p>
      <w:pPr>
        <w:spacing w:after="0" w:line="58" w:lineRule="exact"/>
        <w:rPr>
          <w:sz w:val="24"/>
          <w:szCs w:val="24"/>
          <w:color w:val="auto"/>
        </w:rPr>
      </w:pPr>
    </w:p>
    <w:p>
      <w:pPr>
        <w:ind w:left="31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5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October 1, 2021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Aramark</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6" w:lineRule="exact"/>
        <w:rPr>
          <w:sz w:val="24"/>
          <w:szCs w:val="24"/>
          <w:color w:val="auto"/>
        </w:rPr>
      </w:pPr>
    </w:p>
    <w:tbl>
      <w:tblPr>
        <w:tblLayout w:type="fixed"/>
        <w:tblInd w:w="2080" w:type="dxa"/>
        <w:tblCellMar>
          <w:top w:w="0" w:type="dxa"/>
          <w:left w:w="0" w:type="dxa"/>
          <w:bottom w:w="0" w:type="dxa"/>
          <w:right w:w="0" w:type="dxa"/>
        </w:tblCellMar>
      </w:tblPr>
      <w:tr>
        <w:trPr>
          <w:trHeight w:val="229"/>
        </w:trPr>
        <w:tc>
          <w:tcPr>
            <w:tcW w:w="5220" w:type="dxa"/>
            <w:vAlign w:val="bottom"/>
          </w:tcPr>
          <w:p>
            <w:pPr>
              <w:jc w:val="center"/>
              <w:ind w:right="2859"/>
              <w:spacing w:after="0"/>
              <w:rPr>
                <w:sz w:val="20"/>
                <w:szCs w:val="20"/>
                <w:color w:val="auto"/>
              </w:rPr>
            </w:pPr>
            <w:r>
              <w:rPr>
                <w:rFonts w:ascii="Arial" w:cs="Arial" w:eastAsia="Arial" w:hAnsi="Arial"/>
                <w:sz w:val="18"/>
                <w:szCs w:val="18"/>
                <w:b w:val="1"/>
                <w:bCs w:val="1"/>
                <w:color w:val="auto"/>
                <w:w w:val="91"/>
              </w:rPr>
              <w:t>Delaware</w:t>
            </w:r>
          </w:p>
        </w:tc>
        <w:tc>
          <w:tcPr>
            <w:tcW w:w="1500" w:type="dxa"/>
            <w:vAlign w:val="bottom"/>
          </w:tcPr>
          <w:p>
            <w:pPr>
              <w:jc w:val="right"/>
              <w:ind w:right="141"/>
              <w:spacing w:after="0"/>
              <w:rPr>
                <w:sz w:val="20"/>
                <w:szCs w:val="20"/>
                <w:color w:val="auto"/>
              </w:rPr>
            </w:pPr>
            <w:r>
              <w:rPr>
                <w:rFonts w:ascii="Arial" w:cs="Arial" w:eastAsia="Arial" w:hAnsi="Arial"/>
                <w:sz w:val="18"/>
                <w:szCs w:val="18"/>
                <w:b w:val="1"/>
                <w:bCs w:val="1"/>
                <w:color w:val="auto"/>
              </w:rPr>
              <w:t>20-8236097</w:t>
            </w:r>
          </w:p>
        </w:tc>
      </w:tr>
      <w:tr>
        <w:trPr>
          <w:trHeight w:val="140"/>
        </w:trPr>
        <w:tc>
          <w:tcPr>
            <w:tcW w:w="5220" w:type="dxa"/>
            <w:vAlign w:val="bottom"/>
          </w:tcPr>
          <w:p>
            <w:pPr>
              <w:jc w:val="center"/>
              <w:ind w:right="2859"/>
              <w:spacing w:after="0" w:line="141" w:lineRule="exact"/>
              <w:rPr>
                <w:sz w:val="20"/>
                <w:szCs w:val="20"/>
                <w:color w:val="auto"/>
              </w:rPr>
            </w:pPr>
            <w:r>
              <w:rPr>
                <w:rFonts w:ascii="Arial" w:cs="Arial" w:eastAsia="Arial" w:hAnsi="Arial"/>
                <w:sz w:val="14"/>
                <w:szCs w:val="14"/>
                <w:color w:val="auto"/>
                <w:w w:val="95"/>
              </w:rPr>
              <w:t>(State or other jurisdiction of</w:t>
            </w:r>
          </w:p>
        </w:tc>
        <w:tc>
          <w:tcPr>
            <w:tcW w:w="1500" w:type="dxa"/>
            <w:vAlign w:val="bottom"/>
          </w:tcPr>
          <w:p>
            <w:pPr>
              <w:jc w:val="center"/>
              <w:ind w:left="121"/>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5220" w:type="dxa"/>
            <w:vAlign w:val="bottom"/>
          </w:tcPr>
          <w:p>
            <w:pPr>
              <w:jc w:val="center"/>
              <w:ind w:right="2859"/>
              <w:spacing w:after="0"/>
              <w:rPr>
                <w:sz w:val="20"/>
                <w:szCs w:val="20"/>
                <w:color w:val="auto"/>
              </w:rPr>
            </w:pPr>
            <w:r>
              <w:rPr>
                <w:rFonts w:ascii="Arial" w:cs="Arial" w:eastAsia="Arial" w:hAnsi="Arial"/>
                <w:sz w:val="14"/>
                <w:szCs w:val="14"/>
                <w:color w:val="auto"/>
                <w:w w:val="94"/>
              </w:rPr>
              <w:t>incorporation or organization)</w:t>
            </w:r>
          </w:p>
        </w:tc>
        <w:tc>
          <w:tcPr>
            <w:tcW w:w="1500" w:type="dxa"/>
            <w:vAlign w:val="bottom"/>
          </w:tcPr>
          <w:p>
            <w:pPr>
              <w:jc w:val="center"/>
              <w:ind w:left="101"/>
              <w:spacing w:after="0"/>
              <w:rPr>
                <w:sz w:val="20"/>
                <w:szCs w:val="20"/>
                <w:color w:val="auto"/>
              </w:rPr>
            </w:pPr>
            <w:r>
              <w:rPr>
                <w:rFonts w:ascii="Arial" w:cs="Arial" w:eastAsia="Arial" w:hAnsi="Arial"/>
                <w:sz w:val="14"/>
                <w:szCs w:val="14"/>
                <w:color w:val="auto"/>
                <w:w w:val="96"/>
              </w:rPr>
              <w:t>Identification Number)</w:t>
            </w:r>
          </w:p>
        </w:tc>
      </w:tr>
      <w:tr>
        <w:trPr>
          <w:trHeight w:val="231"/>
        </w:trPr>
        <w:tc>
          <w:tcPr>
            <w:tcW w:w="5220" w:type="dxa"/>
            <w:vAlign w:val="bottom"/>
          </w:tcPr>
          <w:p>
            <w:pPr>
              <w:jc w:val="center"/>
              <w:ind w:right="2859"/>
              <w:spacing w:after="0"/>
              <w:rPr>
                <w:sz w:val="20"/>
                <w:szCs w:val="20"/>
                <w:color w:val="auto"/>
              </w:rPr>
            </w:pPr>
            <w:r>
              <w:rPr>
                <w:rFonts w:ascii="Arial" w:cs="Arial" w:eastAsia="Arial" w:hAnsi="Arial"/>
                <w:sz w:val="18"/>
                <w:szCs w:val="18"/>
                <w:b w:val="1"/>
                <w:bCs w:val="1"/>
                <w:color w:val="auto"/>
                <w:w w:val="93"/>
              </w:rPr>
              <w:t>2400 Market Street</w:t>
            </w:r>
          </w:p>
        </w:tc>
        <w:tc>
          <w:tcPr>
            <w:tcW w:w="1500" w:type="dxa"/>
            <w:vAlign w:val="bottom"/>
          </w:tcPr>
          <w:p>
            <w:pPr>
              <w:spacing w:after="0"/>
              <w:rPr>
                <w:sz w:val="20"/>
                <w:szCs w:val="20"/>
                <w:color w:val="auto"/>
              </w:rPr>
            </w:pPr>
          </w:p>
        </w:tc>
      </w:tr>
      <w:tr>
        <w:trPr>
          <w:trHeight w:val="229"/>
        </w:trPr>
        <w:tc>
          <w:tcPr>
            <w:tcW w:w="5220" w:type="dxa"/>
            <w:vAlign w:val="bottom"/>
          </w:tcPr>
          <w:p>
            <w:pPr>
              <w:ind w:left="200"/>
              <w:spacing w:after="0"/>
              <w:rPr>
                <w:sz w:val="20"/>
                <w:szCs w:val="20"/>
                <w:color w:val="auto"/>
              </w:rPr>
            </w:pPr>
            <w:r>
              <w:rPr>
                <w:rFonts w:ascii="Arial" w:cs="Arial" w:eastAsia="Arial" w:hAnsi="Arial"/>
                <w:sz w:val="18"/>
                <w:szCs w:val="18"/>
                <w:b w:val="1"/>
                <w:bCs w:val="1"/>
                <w:color w:val="auto"/>
              </w:rPr>
              <w:t>Philadelphia, Pennsylvania</w:t>
            </w:r>
          </w:p>
        </w:tc>
        <w:tc>
          <w:tcPr>
            <w:tcW w:w="150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182"/>
        </w:trPr>
        <w:tc>
          <w:tcPr>
            <w:tcW w:w="5220" w:type="dxa"/>
            <w:vAlign w:val="bottom"/>
          </w:tcPr>
          <w:p>
            <w:pPr>
              <w:jc w:val="center"/>
              <w:ind w:right="2859"/>
              <w:spacing w:after="0"/>
              <w:rPr>
                <w:sz w:val="20"/>
                <w:szCs w:val="20"/>
                <w:color w:val="auto"/>
              </w:rPr>
            </w:pPr>
            <w:r>
              <w:rPr>
                <w:rFonts w:ascii="Arial" w:cs="Arial" w:eastAsia="Arial" w:hAnsi="Arial"/>
                <w:sz w:val="14"/>
                <w:szCs w:val="14"/>
                <w:color w:val="auto"/>
                <w:w w:val="95"/>
              </w:rPr>
              <w:t>(Address of principal executive offices)</w:t>
            </w:r>
          </w:p>
        </w:tc>
        <w:tc>
          <w:tcPr>
            <w:tcW w:w="1500" w:type="dxa"/>
            <w:vAlign w:val="bottom"/>
          </w:tcPr>
          <w:p>
            <w:pPr>
              <w:jc w:val="center"/>
              <w:ind w:left="101"/>
              <w:spacing w:after="0"/>
              <w:rPr>
                <w:sz w:val="20"/>
                <w:szCs w:val="20"/>
                <w:color w:val="auto"/>
              </w:rPr>
            </w:pPr>
            <w:r>
              <w:rPr>
                <w:rFonts w:ascii="Arial" w:cs="Arial" w:eastAsia="Arial" w:hAnsi="Arial"/>
                <w:sz w:val="14"/>
                <w:szCs w:val="14"/>
                <w:color w:val="auto"/>
                <w:w w:val="96"/>
              </w:rPr>
              <w:t>(Zip Code)</w:t>
            </w:r>
          </w:p>
        </w:tc>
      </w:tr>
      <w:tr>
        <w:trPr>
          <w:trHeight w:val="377"/>
        </w:trPr>
        <w:tc>
          <w:tcPr>
            <w:tcW w:w="5220" w:type="dxa"/>
            <w:vAlign w:val="bottom"/>
          </w:tcPr>
          <w:p>
            <w:pPr>
              <w:jc w:val="right"/>
              <w:ind w:right="1039"/>
              <w:spacing w:after="0"/>
              <w:rPr>
                <w:sz w:val="20"/>
                <w:szCs w:val="20"/>
                <w:color w:val="auto"/>
              </w:rPr>
            </w:pPr>
            <w:r>
              <w:rPr>
                <w:rFonts w:ascii="Arial" w:cs="Arial" w:eastAsia="Arial" w:hAnsi="Arial"/>
                <w:sz w:val="18"/>
                <w:szCs w:val="18"/>
                <w:b w:val="1"/>
                <w:bCs w:val="1"/>
                <w:color w:val="auto"/>
              </w:rPr>
              <w:t>(215) 238-3000</w:t>
            </w:r>
          </w:p>
        </w:tc>
        <w:tc>
          <w:tcPr>
            <w:tcW w:w="1500" w:type="dxa"/>
            <w:vAlign w:val="bottom"/>
          </w:tcPr>
          <w:p>
            <w:pPr>
              <w:spacing w:after="0"/>
              <w:rPr>
                <w:sz w:val="24"/>
                <w:szCs w:val="24"/>
                <w:color w:val="auto"/>
              </w:rPr>
            </w:pPr>
          </w:p>
        </w:tc>
      </w:tr>
      <w:tr>
        <w:trPr>
          <w:trHeight w:val="218"/>
        </w:trPr>
        <w:tc>
          <w:tcPr>
            <w:tcW w:w="5220" w:type="dxa"/>
            <w:vAlign w:val="bottom"/>
          </w:tcPr>
          <w:p>
            <w:pPr>
              <w:jc w:val="center"/>
              <w:ind w:left="1779"/>
              <w:spacing w:after="0"/>
              <w:rPr>
                <w:sz w:val="20"/>
                <w:szCs w:val="20"/>
                <w:color w:val="auto"/>
              </w:rPr>
            </w:pPr>
            <w:r>
              <w:rPr>
                <w:rFonts w:ascii="Arial" w:cs="Arial" w:eastAsia="Arial" w:hAnsi="Arial"/>
                <w:sz w:val="14"/>
                <w:szCs w:val="14"/>
                <w:color w:val="auto"/>
                <w:w w:val="92"/>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50"/>
        </w:trPr>
        <w:tc>
          <w:tcPr>
            <w:tcW w:w="3240" w:type="dxa"/>
            <w:vAlign w:val="bottom"/>
            <w:gridSpan w:val="3"/>
          </w:tcPr>
          <w:p>
            <w:pPr>
              <w:spacing w:after="0"/>
              <w:rPr>
                <w:sz w:val="20"/>
                <w:szCs w:val="20"/>
                <w:color w:val="auto"/>
              </w:rPr>
            </w:pPr>
            <w:r>
              <w:rPr>
                <w:rFonts w:ascii="Arial" w:cs="Arial" w:eastAsia="Arial" w:hAnsi="Arial"/>
                <w:sz w:val="18"/>
                <w:szCs w:val="18"/>
                <w:color w:val="auto"/>
                <w:w w:val="95"/>
              </w:rPr>
              <w:t>Common Stock, par value $0.01 per share</w:t>
            </w:r>
          </w:p>
        </w:tc>
        <w:tc>
          <w:tcPr>
            <w:tcW w:w="240" w:type="dxa"/>
            <w:vAlign w:val="bottom"/>
          </w:tcPr>
          <w:p>
            <w:pPr>
              <w:spacing w:after="0"/>
              <w:rPr>
                <w:sz w:val="21"/>
                <w:szCs w:val="21"/>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8"/>
                <w:szCs w:val="18"/>
                <w:color w:val="auto"/>
              </w:rPr>
              <w:t>ARMK</w:t>
            </w:r>
          </w:p>
        </w:tc>
        <w:tc>
          <w:tcPr>
            <w:tcW w:w="28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6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6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37"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w:t>
      </w:r>
    </w:p>
    <w:p>
      <w:pPr>
        <w:spacing w:after="0" w:line="37"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89" w:lineRule="exact"/>
        <w:rPr>
          <w:sz w:val="24"/>
          <w:szCs w:val="24"/>
          <w:color w:val="auto"/>
        </w:rPr>
      </w:pPr>
    </w:p>
    <w:p>
      <w:pPr>
        <w:ind w:right="20" w:firstLine="44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6" w:lineRule="exact"/>
        <w:rPr>
          <w:sz w:val="24"/>
          <w:szCs w:val="24"/>
          <w:color w:val="auto"/>
        </w:rPr>
      </w:pPr>
    </w:p>
    <w:p>
      <w:pPr>
        <w:ind w:right="60" w:firstLine="445"/>
        <w:spacing w:after="0" w:line="29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registrant was required to submit such files).</w:t>
      </w:r>
    </w:p>
    <w:p>
      <w:pPr>
        <w:spacing w:after="0" w:line="1"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96" w:lineRule="exact"/>
        <w:rPr>
          <w:sz w:val="24"/>
          <w:szCs w:val="24"/>
          <w:color w:val="auto"/>
        </w:rPr>
      </w:pPr>
    </w:p>
    <w:p>
      <w:pPr>
        <w:ind w:right="12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p>
      <w:pPr>
        <w:ind w:left="100"/>
        <w:spacing w:after="0" w:line="207" w:lineRule="exact"/>
        <w:tabs>
          <w:tab w:leader="none" w:pos="1940" w:val="left"/>
          <w:tab w:leader="none" w:pos="3700" w:val="left"/>
          <w:tab w:leader="none" w:pos="5760" w:val="left"/>
          <w:tab w:leader="none" w:pos="8360" w:val="left"/>
          <w:tab w:leader="none" w:pos="109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rFonts w:ascii="MS PGothic" w:cs="MS PGothic" w:eastAsia="MS PGothic" w:hAnsi="MS PGothic"/>
          <w:sz w:val="18"/>
          <w:szCs w:val="18"/>
          <w:color w:val="auto"/>
        </w:rPr>
        <w:tab/>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ab/>
        <w:t xml:space="preserve">☐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ab/>
        <w:t xml:space="preserve">☐ </w:t>
      </w:r>
      <w:r>
        <w:rPr>
          <w:rFonts w:ascii="Arial" w:cs="Arial" w:eastAsia="Arial" w:hAnsi="Arial"/>
          <w:sz w:val="18"/>
          <w:szCs w:val="18"/>
          <w:color w:val="auto"/>
        </w:rPr>
        <w:t>Emerging growth company</w:t>
      </w:r>
      <w:r>
        <w:rPr>
          <w:rFonts w:ascii="MS PGothic" w:cs="MS PGothic" w:eastAsia="MS PGothic" w:hAnsi="MS PGothic"/>
          <w:sz w:val="18"/>
          <w:szCs w:val="18"/>
          <w:color w:val="auto"/>
        </w:rPr>
        <w:tab/>
        <w:t>☐</w:t>
      </w:r>
    </w:p>
    <w:p>
      <w:pPr>
        <w:spacing w:after="0" w:line="190" w:lineRule="exact"/>
        <w:rPr>
          <w:sz w:val="24"/>
          <w:szCs w:val="24"/>
          <w:color w:val="auto"/>
        </w:rPr>
      </w:pPr>
    </w:p>
    <w:p>
      <w:pPr>
        <w:ind w:right="6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ind w:firstLine="405"/>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left="420"/>
        <w:spacing w:after="0" w:line="207" w:lineRule="exact"/>
        <w:tabs>
          <w:tab w:leader="none" w:pos="8740" w:val="left"/>
          <w:tab w:leader="none" w:pos="9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1" w:name="page2"/>
    <w:bookmarkEnd w:id="1"/>
    <w:p>
      <w:pPr>
        <w:ind w:right="340" w:firstLine="405"/>
        <w:spacing w:after="0" w:line="277" w:lineRule="auto"/>
        <w:rPr>
          <w:sz w:val="20"/>
          <w:szCs w:val="20"/>
          <w:color w:val="auto"/>
        </w:rPr>
      </w:pPr>
      <w:r>
        <w:rPr>
          <w:rFonts w:ascii="Arial" w:cs="Arial" w:eastAsia="Arial" w:hAnsi="Arial"/>
          <w:sz w:val="18"/>
          <w:szCs w:val="18"/>
          <w:color w:val="auto"/>
        </w:rPr>
        <w:t>As of April 2, 2021, the aggregate market value of the common stock of the registrant held by non-affiliates of the registrant was approximately $9,877.1 million.</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October 29, 2021, the number of shares of the registrant's common stock outstanding is 256,041,639.</w:t>
      </w:r>
    </w:p>
    <w:p>
      <w:pPr>
        <w:spacing w:after="0" w:line="63"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Portions of the definitive proxy statement to be filed with the Securities and Exchange Commission pursuant to Regulation 14A relating to the registrant's 2022 Annual Meeting of Stockholders, to be held on February 1, 2022, will be incorporated by reference in this Form 10-K in response to portions of Part III. The definitive proxy statement will be filed with the SEC not later than 120 days after the registrant's fiscal year ended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Page</w:t>
            </w:r>
          </w:p>
        </w:tc>
      </w:tr>
      <w:tr>
        <w:trPr>
          <w:trHeight w:val="183"/>
        </w:trPr>
        <w:tc>
          <w:tcPr>
            <w:tcW w:w="20" w:type="dxa"/>
            <w:vAlign w:val="bottom"/>
          </w:tcPr>
          <w:p>
            <w:pPr>
              <w:spacing w:after="0"/>
              <w:rPr>
                <w:sz w:val="15"/>
                <w:szCs w:val="15"/>
                <w:color w:val="auto"/>
              </w:rPr>
            </w:pPr>
          </w:p>
        </w:tc>
        <w:tc>
          <w:tcPr>
            <w:tcW w:w="2420" w:type="dxa"/>
            <w:vAlign w:val="bottom"/>
            <w:gridSpan w:val="10"/>
          </w:tcPr>
          <w:p>
            <w:pPr>
              <w:spacing w:after="0" w:line="182" w:lineRule="exact"/>
              <w:rPr>
                <w:rFonts w:ascii="Arial" w:cs="Arial" w:eastAsia="Arial" w:hAnsi="Arial"/>
                <w:sz w:val="18"/>
                <w:szCs w:val="18"/>
                <w:color w:val="0000FF"/>
              </w:rPr>
            </w:pPr>
            <w:hyperlink w:anchor="page53">
              <w:r>
                <w:rPr>
                  <w:rFonts w:ascii="Arial" w:cs="Arial" w:eastAsia="Arial" w:hAnsi="Arial"/>
                  <w:sz w:val="18"/>
                  <w:szCs w:val="18"/>
                  <w:color w:val="0000FF"/>
                </w:rPr>
                <w:t>PART I</w:t>
              </w:r>
            </w:hyperlink>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4"/>
          </w:tcPr>
          <w:p>
            <w:pPr>
              <w:jc w:val="right"/>
              <w:ind w:right="20"/>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724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Item 1A.</w:t>
              </w:r>
            </w:hyperlink>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Risk Factors</w:t>
              </w:r>
            </w:hyperlink>
          </w:p>
        </w:tc>
        <w:tc>
          <w:tcPr>
            <w:tcW w:w="1540" w:type="dxa"/>
            <w:vAlign w:val="bottom"/>
            <w:gridSpan w:val="3"/>
          </w:tcPr>
          <w:p>
            <w:pPr>
              <w:jc w:val="right"/>
              <w:spacing w:after="0"/>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Item 1B.</w:t>
              </w:r>
            </w:hyperlink>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Unresolved Staff Comments</w:t>
              </w:r>
            </w:hyperlink>
          </w:p>
        </w:tc>
        <w:tc>
          <w:tcPr>
            <w:tcW w:w="15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Item 2.</w:t>
              </w:r>
            </w:hyperlink>
          </w:p>
        </w:tc>
        <w:tc>
          <w:tcPr>
            <w:tcW w:w="6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Properties</w:t>
              </w:r>
            </w:hyperlink>
          </w:p>
        </w:tc>
        <w:tc>
          <w:tcPr>
            <w:tcW w:w="15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3.</w:t>
              </w:r>
            </w:hyperlink>
          </w:p>
        </w:tc>
        <w:tc>
          <w:tcPr>
            <w:tcW w:w="720" w:type="dxa"/>
            <w:vAlign w:val="bottom"/>
            <w:gridSpan w:val="3"/>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15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4.</w:t>
              </w:r>
            </w:hyperlink>
          </w:p>
        </w:tc>
        <w:tc>
          <w:tcPr>
            <w:tcW w:w="7240" w:type="dxa"/>
            <w:vAlign w:val="bottom"/>
            <w:gridSpan w:val="2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154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PART II</w:t>
              </w:r>
            </w:hyperlink>
          </w:p>
        </w:tc>
        <w:tc>
          <w:tcPr>
            <w:tcW w:w="480" w:type="dxa"/>
            <w:vAlign w:val="bottom"/>
            <w:tcBorders>
              <w:top w:val="single" w:sz="8" w:color="0000FF"/>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26</w:t>
              </w:r>
            </w:hyperlink>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5.</w:t>
              </w:r>
            </w:hyperlink>
          </w:p>
        </w:tc>
        <w:tc>
          <w:tcPr>
            <w:tcW w:w="7240" w:type="dxa"/>
            <w:vAlign w:val="bottom"/>
            <w:gridSpan w:val="24"/>
          </w:tcPr>
          <w:p>
            <w:pPr>
              <w:spacing w:after="0"/>
              <w:rPr>
                <w:rFonts w:ascii="Arial" w:cs="Arial" w:eastAsia="Arial" w:hAnsi="Arial"/>
                <w:sz w:val="18"/>
                <w:szCs w:val="18"/>
                <w:color w:val="0000FF"/>
                <w:w w:val="96"/>
              </w:rPr>
            </w:pPr>
            <w:hyperlink w:anchor="page30">
              <w:r>
                <w:rPr>
                  <w:rFonts w:ascii="Arial" w:cs="Arial" w:eastAsia="Arial" w:hAnsi="Arial"/>
                  <w:sz w:val="18"/>
                  <w:szCs w:val="18"/>
                  <w:color w:val="0000FF"/>
                  <w:w w:val="96"/>
                </w:rPr>
                <w:t>Market for Registrant's Common Equity, Related Stockholder Matters and Issuer Purchases of</w:t>
              </w:r>
            </w:hyperlink>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26</w:t>
              </w:r>
            </w:hyperlink>
          </w:p>
        </w:tc>
        <w:tc>
          <w:tcPr>
            <w:tcW w:w="2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Borders>
              <w:bottom w:val="single" w:sz="8" w:color="0000FF"/>
            </w:tcBorders>
          </w:tcPr>
          <w:p>
            <w:pPr>
              <w:spacing w:after="0"/>
              <w:rPr>
                <w:sz w:val="13"/>
                <w:szCs w:val="13"/>
                <w:color w:val="auto"/>
              </w:rPr>
            </w:pPr>
          </w:p>
        </w:tc>
        <w:tc>
          <w:tcPr>
            <w:tcW w:w="11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6"/>
              </w:rPr>
            </w:pPr>
            <w:hyperlink w:anchor="page30">
              <w:r>
                <w:rPr>
                  <w:rFonts w:ascii="Arial" w:cs="Arial" w:eastAsia="Arial" w:hAnsi="Arial"/>
                  <w:sz w:val="18"/>
                  <w:szCs w:val="18"/>
                  <w:color w:val="0000FF"/>
                  <w:w w:val="86"/>
                </w:rPr>
                <w:t>Equity Securities</w:t>
              </w:r>
            </w:hyperlink>
          </w:p>
        </w:tc>
        <w:tc>
          <w:tcPr>
            <w:tcW w:w="5540" w:type="dxa"/>
            <w:vAlign w:val="bottom"/>
            <w:tcBorders>
              <w:top w:val="single" w:sz="8" w:color="0000FF"/>
            </w:tcBorders>
            <w:gridSpan w:val="16"/>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6.</w:t>
              </w:r>
            </w:hyperlink>
          </w:p>
        </w:tc>
        <w:tc>
          <w:tcPr>
            <w:tcW w:w="720" w:type="dxa"/>
            <w:vAlign w:val="bottom"/>
            <w:gridSpan w:val="3"/>
          </w:tcPr>
          <w:p>
            <w:pPr>
              <w:spacing w:after="0"/>
              <w:rPr>
                <w:sz w:val="18"/>
                <w:szCs w:val="18"/>
                <w:color w:val="auto"/>
              </w:rPr>
            </w:pPr>
          </w:p>
        </w:tc>
        <w:tc>
          <w:tcPr>
            <w:tcW w:w="7240" w:type="dxa"/>
            <w:vAlign w:val="bottom"/>
            <w:gridSpan w:val="24"/>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[Reserved]</w:t>
              </w:r>
            </w:hyperlink>
          </w:p>
        </w:tc>
        <w:tc>
          <w:tcPr>
            <w:tcW w:w="15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7.</w:t>
              </w:r>
            </w:hyperlink>
          </w:p>
        </w:tc>
        <w:tc>
          <w:tcPr>
            <w:tcW w:w="720" w:type="dxa"/>
            <w:vAlign w:val="bottom"/>
            <w:gridSpan w:val="3"/>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15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Item 7A.</w:t>
              </w:r>
            </w:hyperlink>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5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8.</w:t>
              </w:r>
            </w:hyperlink>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Financial Statements and Supplementary Data</w:t>
              </w:r>
            </w:hyperlink>
          </w:p>
        </w:tc>
        <w:tc>
          <w:tcPr>
            <w:tcW w:w="15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gridSpan w:val="5"/>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Item 9.</w:t>
              </w:r>
            </w:hyperlink>
          </w:p>
        </w:tc>
        <w:tc>
          <w:tcPr>
            <w:tcW w:w="7240" w:type="dxa"/>
            <w:vAlign w:val="bottom"/>
            <w:gridSpan w:val="2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Changes in and Disagreements With Accountants on Accounting and Financial Disclosure</w:t>
              </w:r>
            </w:hyperlink>
          </w:p>
        </w:tc>
        <w:tc>
          <w:tcPr>
            <w:tcW w:w="15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Item 9A.</w:t>
              </w:r>
            </w:hyperlink>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Controls and Procedures</w:t>
              </w:r>
            </w:hyperlink>
          </w:p>
        </w:tc>
        <w:tc>
          <w:tcPr>
            <w:tcW w:w="1540" w:type="dxa"/>
            <w:vAlign w:val="bottom"/>
            <w:gridSpan w:val="3"/>
          </w:tcPr>
          <w:p>
            <w:pPr>
              <w:jc w:val="right"/>
              <w:spacing w:after="0"/>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Item 9B.</w:t>
              </w:r>
            </w:hyperlink>
          </w:p>
        </w:tc>
        <w:tc>
          <w:tcPr>
            <w:tcW w:w="660" w:type="dxa"/>
            <w:vAlign w:val="bottom"/>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Other Information</w:t>
              </w:r>
            </w:hyperlink>
          </w:p>
        </w:tc>
        <w:tc>
          <w:tcPr>
            <w:tcW w:w="1540" w:type="dxa"/>
            <w:vAlign w:val="bottom"/>
            <w:gridSpan w:val="3"/>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48</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gridSpan w:val="4"/>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 xml:space="preserve">Item </w:t>
              </w:r>
            </w:hyperlink>
            <w:r>
              <w:rPr>
                <w:rFonts w:ascii="Arial" w:cs="Arial" w:eastAsia="Arial" w:hAnsi="Arial"/>
                <w:sz w:val="18"/>
                <w:szCs w:val="18"/>
                <w:color w:val="0000FF"/>
                <w:w w:val="88"/>
              </w:rPr>
              <w:t>9C.</w:t>
            </w:r>
          </w:p>
        </w:tc>
        <w:tc>
          <w:tcPr>
            <w:tcW w:w="660" w:type="dxa"/>
            <w:vAlign w:val="bottom"/>
          </w:tcPr>
          <w:p>
            <w:pPr>
              <w:spacing w:after="0"/>
              <w:rPr>
                <w:sz w:val="19"/>
                <w:szCs w:val="19"/>
                <w:color w:val="auto"/>
              </w:rPr>
            </w:pPr>
          </w:p>
        </w:tc>
        <w:tc>
          <w:tcPr>
            <w:tcW w:w="7240" w:type="dxa"/>
            <w:vAlign w:val="bottom"/>
            <w:gridSpan w:val="24"/>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Disclosure Regarding Foreign Jurisdictions that Prevent Inspections</w:t>
              </w:r>
            </w:hyperlink>
          </w:p>
        </w:tc>
        <w:tc>
          <w:tcPr>
            <w:tcW w:w="1540" w:type="dxa"/>
            <w:vAlign w:val="bottom"/>
            <w:gridSpan w:val="3"/>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48</w:t>
              </w:r>
            </w:hyperlink>
          </w:p>
        </w:tc>
        <w:tc>
          <w:tcPr>
            <w:tcW w:w="20" w:type="dxa"/>
            <w:vAlign w:val="bottom"/>
          </w:tcPr>
          <w:p>
            <w:pPr>
              <w:spacing w:after="0"/>
              <w:rPr>
                <w:sz w:val="19"/>
                <w:szCs w:val="19"/>
                <w:color w:val="auto"/>
              </w:rPr>
            </w:pPr>
          </w:p>
        </w:tc>
      </w:tr>
      <w:tr>
        <w:trPr>
          <w:trHeight w:val="460"/>
        </w:trPr>
        <w:tc>
          <w:tcPr>
            <w:tcW w:w="20" w:type="dxa"/>
            <w:vAlign w:val="bottom"/>
          </w:tcPr>
          <w:p>
            <w:pPr>
              <w:spacing w:after="0"/>
              <w:rPr>
                <w:sz w:val="24"/>
                <w:szCs w:val="24"/>
                <w:color w:val="auto"/>
              </w:rPr>
            </w:pPr>
          </w:p>
        </w:tc>
        <w:tc>
          <w:tcPr>
            <w:tcW w:w="1120" w:type="dxa"/>
            <w:vAlign w:val="bottom"/>
            <w:gridSpan w:val="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PART III</w:t>
              </w:r>
            </w:hyperlink>
          </w:p>
        </w:tc>
        <w:tc>
          <w:tcPr>
            <w:tcW w:w="640" w:type="dxa"/>
            <w:vAlign w:val="bottom"/>
            <w:tcBorders>
              <w:top w:val="single" w:sz="8" w:color="0000FF"/>
            </w:tcBorders>
            <w:gridSpan w:val="4"/>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w w:val="86"/>
              </w:rPr>
            </w:pPr>
            <w:hyperlink w:anchor="page53">
              <w:r>
                <w:rPr>
                  <w:rFonts w:ascii="Arial" w:cs="Arial" w:eastAsia="Arial" w:hAnsi="Arial"/>
                  <w:sz w:val="18"/>
                  <w:szCs w:val="18"/>
                  <w:color w:val="0000FF"/>
                  <w:w w:val="86"/>
                </w:rPr>
                <w:t>Item 10.</w:t>
              </w:r>
            </w:hyperlink>
          </w:p>
        </w:tc>
        <w:tc>
          <w:tcPr>
            <w:tcW w:w="720" w:type="dxa"/>
            <w:vAlign w:val="bottom"/>
            <w:gridSpan w:val="3"/>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Directors, Executive Officers and Corporate Governance</w:t>
              </w:r>
            </w:hyperlink>
          </w:p>
        </w:tc>
        <w:tc>
          <w:tcPr>
            <w:tcW w:w="13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49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w w:val="86"/>
              </w:rPr>
            </w:pPr>
            <w:hyperlink w:anchor="page53">
              <w:r>
                <w:rPr>
                  <w:rFonts w:ascii="Arial" w:cs="Arial" w:eastAsia="Arial" w:hAnsi="Arial"/>
                  <w:sz w:val="18"/>
                  <w:szCs w:val="18"/>
                  <w:color w:val="0000FF"/>
                  <w:w w:val="86"/>
                </w:rPr>
                <w:t>Item 11.</w:t>
              </w:r>
            </w:hyperlink>
          </w:p>
        </w:tc>
        <w:tc>
          <w:tcPr>
            <w:tcW w:w="720" w:type="dxa"/>
            <w:vAlign w:val="bottom"/>
            <w:gridSpan w:val="3"/>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Executive Compensation</w:t>
              </w:r>
            </w:hyperlink>
          </w:p>
        </w:tc>
        <w:tc>
          <w:tcPr>
            <w:tcW w:w="154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w w:val="86"/>
              </w:rPr>
            </w:pPr>
            <w:hyperlink w:anchor="page53">
              <w:r>
                <w:rPr>
                  <w:rFonts w:ascii="Arial" w:cs="Arial" w:eastAsia="Arial" w:hAnsi="Arial"/>
                  <w:sz w:val="18"/>
                  <w:szCs w:val="18"/>
                  <w:color w:val="0000FF"/>
                  <w:w w:val="86"/>
                </w:rPr>
                <w:t>Item 12.</w:t>
              </w:r>
            </w:hyperlink>
          </w:p>
        </w:tc>
        <w:tc>
          <w:tcPr>
            <w:tcW w:w="720" w:type="dxa"/>
            <w:vAlign w:val="bottom"/>
            <w:gridSpan w:val="3"/>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w w:val="98"/>
              </w:rPr>
            </w:pPr>
            <w:hyperlink w:anchor="page53">
              <w:r>
                <w:rPr>
                  <w:rFonts w:ascii="Arial" w:cs="Arial" w:eastAsia="Arial" w:hAnsi="Arial"/>
                  <w:sz w:val="18"/>
                  <w:szCs w:val="18"/>
                  <w:color w:val="0000FF"/>
                  <w:w w:val="98"/>
                </w:rPr>
                <w:t>Security Ownership of Certain Beneficial Owners and Management and Related Stockholder</w:t>
              </w:r>
            </w:hyperlink>
          </w:p>
        </w:tc>
        <w:tc>
          <w:tcPr>
            <w:tcW w:w="154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Matters</w:t>
              </w:r>
            </w:hyperlink>
          </w:p>
        </w:tc>
        <w:tc>
          <w:tcPr>
            <w:tcW w:w="6140" w:type="dxa"/>
            <w:vAlign w:val="bottom"/>
            <w:tcBorders>
              <w:top w:val="single" w:sz="8" w:color="0000FF"/>
            </w:tcBorders>
            <w:gridSpan w:val="20"/>
          </w:tcPr>
          <w:p>
            <w:pPr>
              <w:spacing w:after="0"/>
              <w:rPr>
                <w:sz w:val="13"/>
                <w:szCs w:val="13"/>
                <w:color w:val="auto"/>
              </w:rPr>
            </w:pPr>
          </w:p>
        </w:tc>
        <w:tc>
          <w:tcPr>
            <w:tcW w:w="54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Item 13.</w:t>
              </w:r>
            </w:hyperlink>
          </w:p>
        </w:tc>
        <w:tc>
          <w:tcPr>
            <w:tcW w:w="700" w:type="dxa"/>
            <w:vAlign w:val="bottom"/>
            <w:gridSpan w:val="2"/>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Certain Relationships and Related Transactions, and Director Independence</w:t>
              </w:r>
            </w:hyperlink>
          </w:p>
        </w:tc>
        <w:tc>
          <w:tcPr>
            <w:tcW w:w="154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gridSpan w:val="3"/>
          </w:tcPr>
          <w:p>
            <w:pPr>
              <w:spacing w:after="0"/>
              <w:rPr>
                <w:rFonts w:ascii="Arial" w:cs="Arial" w:eastAsia="Arial" w:hAnsi="Arial"/>
                <w:sz w:val="18"/>
                <w:szCs w:val="18"/>
                <w:color w:val="0000FF"/>
                <w:w w:val="89"/>
              </w:rPr>
            </w:pPr>
            <w:hyperlink w:anchor="page53">
              <w:r>
                <w:rPr>
                  <w:rFonts w:ascii="Arial" w:cs="Arial" w:eastAsia="Arial" w:hAnsi="Arial"/>
                  <w:sz w:val="18"/>
                  <w:szCs w:val="18"/>
                  <w:color w:val="0000FF"/>
                  <w:w w:val="89"/>
                </w:rPr>
                <w:t>Item 14.</w:t>
              </w:r>
            </w:hyperlink>
          </w:p>
        </w:tc>
        <w:tc>
          <w:tcPr>
            <w:tcW w:w="700" w:type="dxa"/>
            <w:vAlign w:val="bottom"/>
            <w:gridSpan w:val="2"/>
          </w:tcPr>
          <w:p>
            <w:pPr>
              <w:spacing w:after="0"/>
              <w:rPr>
                <w:sz w:val="19"/>
                <w:szCs w:val="19"/>
                <w:color w:val="auto"/>
              </w:rPr>
            </w:pPr>
          </w:p>
        </w:tc>
        <w:tc>
          <w:tcPr>
            <w:tcW w:w="7240" w:type="dxa"/>
            <w:vAlign w:val="bottom"/>
            <w:gridSpan w:val="24"/>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Principal Accountant Fees and Services</w:t>
              </w:r>
            </w:hyperlink>
          </w:p>
        </w:tc>
        <w:tc>
          <w:tcPr>
            <w:tcW w:w="154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49</w:t>
              </w:r>
            </w:hyperlink>
          </w:p>
        </w:tc>
        <w:tc>
          <w:tcPr>
            <w:tcW w:w="20" w:type="dxa"/>
            <w:vAlign w:val="bottom"/>
          </w:tcPr>
          <w:p>
            <w:pPr>
              <w:spacing w:after="0"/>
              <w:rPr>
                <w:sz w:val="19"/>
                <w:szCs w:val="19"/>
                <w:color w:val="auto"/>
              </w:rPr>
            </w:pPr>
          </w:p>
        </w:tc>
      </w:tr>
      <w:tr>
        <w:trPr>
          <w:trHeight w:val="460"/>
        </w:trPr>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53">
              <w:r>
                <w:rPr>
                  <w:rFonts w:ascii="Arial" w:cs="Arial" w:eastAsia="Arial" w:hAnsi="Arial"/>
                  <w:sz w:val="18"/>
                  <w:szCs w:val="18"/>
                  <w:color w:val="0000FF"/>
                  <w:w w:val="94"/>
                </w:rPr>
                <w:t>PART IV</w:t>
              </w:r>
            </w:hyperlink>
          </w:p>
        </w:tc>
        <w:tc>
          <w:tcPr>
            <w:tcW w:w="44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50</w:t>
              </w:r>
            </w:hyperlink>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Item 15.</w:t>
              </w:r>
            </w:hyperlink>
          </w:p>
        </w:tc>
        <w:tc>
          <w:tcPr>
            <w:tcW w:w="700" w:type="dxa"/>
            <w:vAlign w:val="bottom"/>
            <w:gridSpan w:val="2"/>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Exhibits and Financial Statement Schedules</w:t>
              </w:r>
            </w:hyperlink>
          </w:p>
        </w:tc>
        <w:tc>
          <w:tcPr>
            <w:tcW w:w="154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50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gridSpan w:val="3"/>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Item 16.</w:t>
              </w:r>
            </w:hyperlink>
          </w:p>
        </w:tc>
        <w:tc>
          <w:tcPr>
            <w:tcW w:w="700" w:type="dxa"/>
            <w:vAlign w:val="bottom"/>
            <w:gridSpan w:val="2"/>
          </w:tcPr>
          <w:p>
            <w:pPr>
              <w:spacing w:after="0"/>
              <w:rPr>
                <w:sz w:val="18"/>
                <w:szCs w:val="18"/>
                <w:color w:val="auto"/>
              </w:rPr>
            </w:pPr>
          </w:p>
        </w:tc>
        <w:tc>
          <w:tcPr>
            <w:tcW w:w="7240" w:type="dxa"/>
            <w:vAlign w:val="bottom"/>
            <w:gridSpan w:val="24"/>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Form 10-K Summary</w:t>
              </w:r>
            </w:hyperlink>
          </w:p>
        </w:tc>
        <w:tc>
          <w:tcPr>
            <w:tcW w:w="154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c>
          <w:tcPr>
            <w:tcW w:w="20" w:type="dxa"/>
            <w:vAlign w:val="bottom"/>
          </w:tcPr>
          <w:p>
            <w:pPr>
              <w:spacing w:after="0"/>
              <w:rPr>
                <w:sz w:val="18"/>
                <w:szCs w:val="18"/>
                <w:color w:val="auto"/>
              </w:rPr>
            </w:pPr>
          </w:p>
        </w:tc>
      </w:tr>
      <w:tr>
        <w:trPr>
          <w:trHeight w:val="1094"/>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-3505200</wp:posOffset>
            </wp:positionV>
            <wp:extent cx="381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5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Some of the factors that we believe could affect or continue to affect our results include without limitation: the severity and duration of the COVID-19 pandemic; the pandemic's impact on the United States and global economies, including particularly the client sectors we serve and governmental responses to the pandemic; unfavorable economic conditions; natural disasters, global calamities, climate change,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and other factors set forth under the headings Item 1A "Risk Factors," Item 3 "Legal Proceedings" and Item 7 "Management's Discussion and Analysis of Financial Condition and Results of Operations" and other sections of this Annual Report on Form 10-K.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 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Aramark (the “Company,” “we” or “us”) is a leading global provider of food, facilities and uniform services to education, healthcare, business &amp; industry, and sports, leisure &amp; corrections clients. Our core market is the United States, which is supplemented by an additional 18-country footprint. Based on total revenue in fiscal 2021, we hold a top 3 position in North America in food and facilities services and the #2 position in North America in uniform services. Internationally, we hold a top 3 position in food and facilities services based on total revenue in fiscal 2021 in most countries in which we have significant operations. Our approximately 248,300 employees partner with thousands of education, healthcare, business and sports, leisure &amp; corrections clients to serve millions of consumers including students, patients, employees, sports fans and guests worldwide.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our business in three reportable segments that share many of the same operating characteristics: Food and Support Services United States ("FSS United States"), Food and Support Services International ("FSS International") and Uniform and Career Apparel ("Uniform"). The following chart shows a breakdown of our revenue and operating income by our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65405</wp:posOffset>
            </wp:positionV>
            <wp:extent cx="4543425" cy="934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43425" cy="934720"/>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7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40" w:type="dxa"/>
            <w:vAlign w:val="bottom"/>
            <w:tcBorders>
              <w:bottom w:val="single" w:sz="8" w:color="auto"/>
              <w:right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6"/>
                <w:szCs w:val="16"/>
                <w:b w:val="1"/>
                <w:bCs w:val="1"/>
                <w:color w:val="auto"/>
              </w:rPr>
              <w:t>Reportable Segments:</w:t>
            </w:r>
          </w:p>
        </w:tc>
        <w:tc>
          <w:tcPr>
            <w:tcW w:w="500" w:type="dxa"/>
            <w:vAlign w:val="bottom"/>
            <w:tcBorders>
              <w:left w:val="single" w:sz="8" w:color="auto"/>
            </w:tcBorders>
          </w:tcPr>
          <w:p>
            <w:pPr>
              <w:spacing w:after="0"/>
              <w:rPr>
                <w:sz w:val="18"/>
                <w:szCs w:val="18"/>
                <w:color w:val="auto"/>
              </w:rPr>
            </w:pPr>
          </w:p>
        </w:tc>
        <w:tc>
          <w:tcPr>
            <w:tcW w:w="2160" w:type="dxa"/>
            <w:vAlign w:val="bottom"/>
            <w:tcBorders>
              <w:right w:val="single" w:sz="8" w:color="auto"/>
            </w:tcBorders>
            <w:gridSpan w:val="4"/>
          </w:tcPr>
          <w:p>
            <w:pPr>
              <w:jc w:val="right"/>
              <w:ind w:right="500"/>
              <w:spacing w:after="0" w:line="195" w:lineRule="exact"/>
              <w:rPr>
                <w:sz w:val="20"/>
                <w:szCs w:val="20"/>
                <w:color w:val="auto"/>
              </w:rPr>
            </w:pPr>
            <w:r>
              <w:rPr>
                <w:rFonts w:ascii="Arial" w:cs="Arial" w:eastAsia="Arial" w:hAnsi="Arial"/>
                <w:sz w:val="22"/>
                <w:szCs w:val="22"/>
                <w:b w:val="1"/>
                <w:bCs w:val="1"/>
                <w:color w:val="auto"/>
                <w:w w:val="86"/>
              </w:rPr>
              <w:t>FSS United States</w:t>
            </w:r>
          </w:p>
        </w:tc>
        <w:tc>
          <w:tcPr>
            <w:tcW w:w="0" w:type="dxa"/>
            <w:vAlign w:val="bottom"/>
          </w:tcPr>
          <w:p>
            <w:pPr>
              <w:spacing w:after="0"/>
              <w:rPr>
                <w:sz w:val="1"/>
                <w:szCs w:val="1"/>
                <w:color w:val="auto"/>
              </w:rPr>
            </w:pPr>
          </w:p>
        </w:tc>
      </w:tr>
      <w:tr>
        <w:trPr>
          <w:trHeight w:val="34"/>
        </w:trPr>
        <w:tc>
          <w:tcPr>
            <w:tcW w:w="2760" w:type="dxa"/>
            <w:vAlign w:val="bottom"/>
            <w:vMerge w:val="restart"/>
          </w:tcPr>
          <w:p>
            <w:pPr>
              <w:spacing w:after="0"/>
              <w:rPr>
                <w:sz w:val="20"/>
                <w:szCs w:val="20"/>
                <w:color w:val="auto"/>
              </w:rPr>
            </w:pPr>
            <w:r>
              <w:rPr>
                <w:rFonts w:ascii="Arial" w:cs="Arial" w:eastAsia="Arial" w:hAnsi="Arial"/>
                <w:sz w:val="16"/>
                <w:szCs w:val="16"/>
                <w:b w:val="1"/>
                <w:bCs w:val="1"/>
                <w:color w:val="auto"/>
              </w:rPr>
              <w:t>FY 2021 Revenue</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500" w:type="dxa"/>
            <w:vAlign w:val="bottom"/>
            <w:tcBorders>
              <w:left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2760" w:type="dxa"/>
            <w:vAlign w:val="bottom"/>
            <w:vMerge w:val="continue"/>
          </w:tcPr>
          <w:p>
            <w:pPr>
              <w:spacing w:after="0"/>
              <w:rPr>
                <w:sz w:val="24"/>
                <w:szCs w:val="24"/>
                <w:color w:val="auto"/>
              </w:rPr>
            </w:pPr>
          </w:p>
        </w:tc>
        <w:tc>
          <w:tcPr>
            <w:tcW w:w="2040" w:type="dxa"/>
            <w:vAlign w:val="bottom"/>
            <w:gridSpan w:val="3"/>
          </w:tcPr>
          <w:p>
            <w:pPr>
              <w:ind w:left="1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6,809.3</w:t>
            </w:r>
          </w:p>
        </w:tc>
        <w:tc>
          <w:tcPr>
            <w:tcW w:w="0" w:type="dxa"/>
            <w:vAlign w:val="bottom"/>
          </w:tcPr>
          <w:p>
            <w:pPr>
              <w:spacing w:after="0"/>
              <w:rPr>
                <w:sz w:val="1"/>
                <w:szCs w:val="1"/>
                <w:color w:val="auto"/>
              </w:rPr>
            </w:pPr>
          </w:p>
        </w:tc>
      </w:tr>
      <w:tr>
        <w:trPr>
          <w:trHeight w:val="227"/>
        </w:trPr>
        <w:tc>
          <w:tcPr>
            <w:tcW w:w="2760" w:type="dxa"/>
            <w:vAlign w:val="bottom"/>
          </w:tcPr>
          <w:p>
            <w:pPr>
              <w:spacing w:after="0" w:line="227" w:lineRule="exact"/>
              <w:rPr>
                <w:sz w:val="20"/>
                <w:szCs w:val="20"/>
                <w:color w:val="auto"/>
              </w:rPr>
            </w:pPr>
            <w:r>
              <w:rPr>
                <w:rFonts w:ascii="Arial" w:cs="Arial" w:eastAsia="Arial" w:hAnsi="Arial"/>
                <w:sz w:val="16"/>
                <w:szCs w:val="16"/>
                <w:b w:val="1"/>
                <w:bCs w:val="1"/>
                <w:color w:val="auto"/>
              </w:rPr>
              <w:t>FY 2021 Operating Income</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w:t>
            </w:r>
          </w:p>
        </w:tc>
        <w:tc>
          <w:tcPr>
            <w:tcW w:w="2040" w:type="dxa"/>
            <w:vAlign w:val="bottom"/>
            <w:gridSpan w:val="3"/>
          </w:tcPr>
          <w:p>
            <w:pPr>
              <w:ind w:left="13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6"/>
                <w:szCs w:val="16"/>
                <w:b w:val="1"/>
                <w:bCs w:val="1"/>
                <w:color w:val="auto"/>
              </w:rPr>
              <w:t>Services:</w:t>
            </w:r>
          </w:p>
        </w:tc>
        <w:tc>
          <w:tcPr>
            <w:tcW w:w="2040" w:type="dxa"/>
            <w:vAlign w:val="bottom"/>
            <w:gridSpan w:val="3"/>
          </w:tcPr>
          <w:p>
            <w:pPr>
              <w:ind w:left="20"/>
              <w:spacing w:after="0"/>
              <w:rPr>
                <w:sz w:val="20"/>
                <w:szCs w:val="20"/>
                <w:color w:val="auto"/>
              </w:rPr>
            </w:pPr>
            <w:r>
              <w:rPr>
                <w:rFonts w:ascii="Arial" w:cs="Arial" w:eastAsia="Arial" w:hAnsi="Arial"/>
                <w:sz w:val="16"/>
                <w:szCs w:val="16"/>
                <w:color w:val="auto"/>
                <w:w w:val="95"/>
              </w:rPr>
              <w:t>Food, hospitality and facilities</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4"/>
        </w:trPr>
        <w:tc>
          <w:tcPr>
            <w:tcW w:w="2760" w:type="dxa"/>
            <w:vAlign w:val="bottom"/>
          </w:tcPr>
          <w:p>
            <w:pPr>
              <w:spacing w:after="0"/>
              <w:rPr>
                <w:sz w:val="20"/>
                <w:szCs w:val="20"/>
                <w:color w:val="auto"/>
              </w:rPr>
            </w:pPr>
            <w:r>
              <w:rPr>
                <w:rFonts w:ascii="Arial" w:cs="Arial" w:eastAsia="Arial" w:hAnsi="Arial"/>
                <w:sz w:val="16"/>
                <w:szCs w:val="16"/>
                <w:b w:val="1"/>
                <w:bCs w:val="1"/>
                <w:color w:val="auto"/>
              </w:rPr>
              <w:t>Sectors:</w:t>
            </w:r>
          </w:p>
        </w:tc>
        <w:tc>
          <w:tcPr>
            <w:tcW w:w="2660" w:type="dxa"/>
            <w:vAlign w:val="bottom"/>
            <w:gridSpan w:val="5"/>
          </w:tcPr>
          <w:p>
            <w:pPr>
              <w:ind w:left="20"/>
              <w:spacing w:after="0"/>
              <w:rPr>
                <w:sz w:val="20"/>
                <w:szCs w:val="20"/>
                <w:color w:val="auto"/>
              </w:rPr>
            </w:pPr>
            <w:r>
              <w:rPr>
                <w:rFonts w:ascii="Arial" w:cs="Arial" w:eastAsia="Arial" w:hAnsi="Arial"/>
                <w:sz w:val="16"/>
                <w:szCs w:val="16"/>
                <w:color w:val="auto"/>
                <w:w w:val="98"/>
              </w:rPr>
              <w:t>Business &amp; industry, sports, leisure &amp;</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2660" w:type="dxa"/>
            <w:vAlign w:val="bottom"/>
            <w:gridSpan w:val="5"/>
          </w:tcPr>
          <w:p>
            <w:pPr>
              <w:ind w:left="20"/>
              <w:spacing w:after="0" w:line="162" w:lineRule="exact"/>
              <w:rPr>
                <w:sz w:val="20"/>
                <w:szCs w:val="20"/>
                <w:color w:val="auto"/>
              </w:rPr>
            </w:pPr>
            <w:r>
              <w:rPr>
                <w:rFonts w:ascii="Arial" w:cs="Arial" w:eastAsia="Arial" w:hAnsi="Arial"/>
                <w:sz w:val="16"/>
                <w:szCs w:val="16"/>
                <w:color w:val="auto"/>
                <w:w w:val="95"/>
              </w:rPr>
              <w:t>corrections, education, healthcare and</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17"/>
                <w:szCs w:val="17"/>
                <w:color w:val="auto"/>
              </w:rPr>
            </w:pPr>
          </w:p>
        </w:tc>
        <w:tc>
          <w:tcPr>
            <w:tcW w:w="2040" w:type="dxa"/>
            <w:vAlign w:val="bottom"/>
            <w:gridSpan w:val="3"/>
          </w:tcPr>
          <w:p>
            <w:pPr>
              <w:ind w:left="20"/>
              <w:spacing w:after="0"/>
              <w:rPr>
                <w:sz w:val="20"/>
                <w:szCs w:val="20"/>
                <w:color w:val="auto"/>
              </w:rPr>
            </w:pPr>
            <w:r>
              <w:rPr>
                <w:rFonts w:ascii="Arial" w:cs="Arial" w:eastAsia="Arial" w:hAnsi="Arial"/>
                <w:sz w:val="16"/>
                <w:szCs w:val="16"/>
                <w:color w:val="auto"/>
              </w:rPr>
              <w:t>facilities and other</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9"/>
        <w:spacing w:after="0"/>
        <w:rPr>
          <w:sz w:val="20"/>
          <w:szCs w:val="20"/>
          <w:color w:val="auto"/>
        </w:rPr>
      </w:pPr>
      <w:r>
        <w:rPr>
          <w:rFonts w:ascii="Arial" w:cs="Arial" w:eastAsia="Arial" w:hAnsi="Arial"/>
          <w:sz w:val="22"/>
          <w:szCs w:val="22"/>
          <w:b w:val="1"/>
          <w:bCs w:val="1"/>
          <w:u w:val="single" w:color="auto"/>
          <w:color w:val="auto"/>
        </w:rPr>
        <w:t>FSS International</w:t>
      </w:r>
    </w:p>
    <w:p>
      <w:pPr>
        <w:spacing w:after="0" w:line="129" w:lineRule="exact"/>
        <w:rPr>
          <w:sz w:val="20"/>
          <w:szCs w:val="20"/>
          <w:color w:val="auto"/>
        </w:rPr>
      </w:pPr>
    </w:p>
    <w:p>
      <w:pPr>
        <w:jc w:val="both"/>
        <w:ind w:left="1340"/>
        <w:spacing w:after="0"/>
        <w:tabs>
          <w:tab w:leader="none" w:pos="20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2,866.2</w:t>
      </w:r>
    </w:p>
    <w:p>
      <w:pPr>
        <w:spacing w:after="0" w:line="32" w:lineRule="exact"/>
        <w:rPr>
          <w:sz w:val="20"/>
          <w:szCs w:val="20"/>
          <w:color w:val="auto"/>
        </w:rPr>
      </w:pPr>
    </w:p>
    <w:p>
      <w:pPr>
        <w:jc w:val="both"/>
        <w:ind w:left="1340"/>
        <w:spacing w:after="0"/>
        <w:tabs>
          <w:tab w:leader="none" w:pos="22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58.2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hospitality and facilities</w:t>
      </w:r>
    </w:p>
    <w:p>
      <w:pPr>
        <w:spacing w:after="0" w:line="194" w:lineRule="exact"/>
        <w:rPr>
          <w:sz w:val="20"/>
          <w:szCs w:val="20"/>
          <w:color w:val="auto"/>
        </w:rPr>
      </w:pPr>
    </w:p>
    <w:p>
      <w:pPr>
        <w:jc w:val="both"/>
        <w:ind w:right="140"/>
        <w:spacing w:after="0" w:line="230" w:lineRule="auto"/>
        <w:rPr>
          <w:sz w:val="20"/>
          <w:szCs w:val="20"/>
          <w:color w:val="auto"/>
        </w:rPr>
      </w:pPr>
      <w:r>
        <w:rPr>
          <w:rFonts w:ascii="Arial" w:cs="Arial" w:eastAsia="Arial" w:hAnsi="Arial"/>
          <w:sz w:val="16"/>
          <w:szCs w:val="16"/>
          <w:color w:val="auto"/>
        </w:rPr>
        <w:t>Business &amp; industry, sports, leisure &amp; corrections, education, healthcare and facilities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
        <w:spacing w:after="0"/>
        <w:rPr>
          <w:sz w:val="20"/>
          <w:szCs w:val="20"/>
          <w:color w:val="auto"/>
        </w:rPr>
      </w:pPr>
      <w:r>
        <w:rPr>
          <w:rFonts w:ascii="Arial" w:cs="Arial" w:eastAsia="Arial" w:hAnsi="Arial"/>
          <w:sz w:val="22"/>
          <w:szCs w:val="22"/>
          <w:b w:val="1"/>
          <w:bCs w:val="1"/>
          <w:u w:val="single" w:color="auto"/>
          <w:color w:val="auto"/>
        </w:rPr>
        <w:t>Uniform</w:t>
      </w:r>
    </w:p>
    <w:p>
      <w:pPr>
        <w:spacing w:after="0" w:line="129" w:lineRule="exact"/>
        <w:rPr>
          <w:sz w:val="20"/>
          <w:szCs w:val="20"/>
          <w:color w:val="auto"/>
        </w:rPr>
      </w:pPr>
    </w:p>
    <w:tbl>
      <w:tblPr>
        <w:tblLayout w:type="fixed"/>
        <w:tblInd w:w="1320" w:type="dxa"/>
        <w:tblCellMar>
          <w:top w:w="0" w:type="dxa"/>
          <w:left w:w="0" w:type="dxa"/>
          <w:bottom w:w="0" w:type="dxa"/>
          <w:right w:w="0" w:type="dxa"/>
        </w:tblCellMar>
      </w:tblPr>
      <w:tr>
        <w:trPr>
          <w:trHeight w:val="206"/>
        </w:trPr>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2,420.5</w:t>
            </w:r>
          </w:p>
        </w:tc>
      </w:tr>
      <w:tr>
        <w:trPr>
          <w:trHeight w:val="216"/>
        </w:trPr>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120.8</w:t>
            </w:r>
          </w:p>
        </w:tc>
      </w:tr>
    </w:tbl>
    <w:p>
      <w:pPr>
        <w:spacing w:after="0" w:line="10" w:lineRule="exact"/>
        <w:rPr>
          <w:sz w:val="20"/>
          <w:szCs w:val="20"/>
          <w:color w:val="auto"/>
        </w:rPr>
      </w:pPr>
    </w:p>
    <w:p>
      <w:pPr>
        <w:ind w:right="540"/>
        <w:spacing w:after="0" w:line="281" w:lineRule="auto"/>
        <w:rPr>
          <w:sz w:val="20"/>
          <w:szCs w:val="20"/>
          <w:color w:val="auto"/>
        </w:rPr>
      </w:pPr>
      <w:r>
        <w:rPr>
          <w:rFonts w:ascii="Arial" w:cs="Arial" w:eastAsia="Arial" w:hAnsi="Arial"/>
          <w:sz w:val="14"/>
          <w:szCs w:val="14"/>
          <w:color w:val="auto"/>
        </w:rPr>
        <w:t>Rental, sale and maintenance of uniform apparel and other items</w:t>
      </w:r>
    </w:p>
    <w:p>
      <w:pPr>
        <w:spacing w:after="0" w:line="1" w:lineRule="exact"/>
        <w:rPr>
          <w:sz w:val="20"/>
          <w:szCs w:val="20"/>
          <w:color w:val="auto"/>
        </w:rPr>
      </w:pPr>
    </w:p>
    <w:p>
      <w:pPr>
        <w:ind w:right="420"/>
        <w:spacing w:after="0" w:line="230" w:lineRule="auto"/>
        <w:rPr>
          <w:sz w:val="20"/>
          <w:szCs w:val="20"/>
          <w:color w:val="auto"/>
        </w:rPr>
      </w:pPr>
      <w:r>
        <w:rPr>
          <w:rFonts w:ascii="Arial" w:cs="Arial" w:eastAsia="Arial" w:hAnsi="Arial"/>
          <w:sz w:val="16"/>
          <w:szCs w:val="16"/>
          <w:color w:val="auto"/>
        </w:rPr>
        <w:t>Business, public institutions, manufacturing, transportation and service industries</w:t>
      </w:r>
    </w:p>
    <w:p>
      <w:pPr>
        <w:spacing w:after="0" w:line="164" w:lineRule="exact"/>
        <w:rPr>
          <w:sz w:val="20"/>
          <w:szCs w:val="20"/>
          <w:color w:val="auto"/>
        </w:rPr>
      </w:pPr>
    </w:p>
    <w:p>
      <w:pPr>
        <w:sectPr>
          <w:pgSz w:w="11900" w:h="16838" w:orient="portrait"/>
          <w:cols w:equalWidth="0" w:num="3">
            <w:col w:w="5440" w:space="240"/>
            <w:col w:w="2600" w:space="320"/>
            <w:col w:w="2620"/>
          </w:cols>
          <w:pgMar w:left="320" w:top="179" w:right="359" w:bottom="1440" w:gutter="0" w:footer="0" w:header="0"/>
          <w:type w:val="continuous"/>
        </w:sect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Dollars in millions. Operating income excludes $119.4 million related to corporate expenses.</w:t>
      </w:r>
    </w:p>
    <w:p>
      <w:pPr>
        <w:spacing w:after="0" w:line="10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 fiscal 2021, we generated $12.1 billion of revenue, $191.4 million of operating income and $90.8 million of net loss attributable to Aramark stockholders.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0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Since our founding in 1959, we have broadened our service offerings and expanded our client base through a combination of organic growth and acquisitions, with the goal of further developing our food, facilities and uniform capabilities, as well as growing our international presence. In 1984, we completed a management buyout, after which our management and employees increased their Company ownership to approximately 90% of our equity capital leading up to our December 2001 public offering. On January 26, 2007, we delisted from the New York Stock Exchange (“NYSE”) in conjunction with a going-private transaction executed with certain private equity investment funds, as well as approximately 250 senior management personnel. On December 17, 2013, we completed an initial public offering of our common stock. On October 6, 2019, we entered into a Stewardship Framework Agreement (the “Stewardship Framework Agreement”) with MR BridgeStone Advisor LLC (“Mantle Ridge”), on behalf of itself and its affiliated funds (such funds, together with Mantle Ridge, collectively, the “Mantle Ridge Group”), pursuant to which several new directors were elected to our Board of Directors and John Zillmer was appointed as our Chief Executive Officer.</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on our Business</w:t>
      </w:r>
    </w:p>
    <w:p>
      <w:pPr>
        <w:spacing w:after="0" w:line="10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COVID-19 pandemic ("COVID-19") has disrupted and is expected to continue to disrupt our business, which has and could continue to materially affect our operating results, cash flows and/or financial condition for an extended period of time. The decline in our operations from COVID-19 caused a deterioration in our revenues, operating income (loss) and net (loss)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income for the fiscal years ended October 1, 2021 and October 2, 2020. Our financial results began to improve during the second half of fiscal 2021 as lockdowns were lifted and operations began to re-open as well as from actions to reduce variable and fixed costs, including headcount reductions primarily taken during the second half of fiscal 2020. We continue to apply effective cost discipline to mitigate the negative impact of COVID-19 as well as take advantage of relief provisions, including the Coronavirus Aid, Relief and Economic Security Act ("CARES Act"), the Consolidated Appropriations Act of 2021 ("CAA") and other United States and foreign governmental programs.</w:t>
      </w:r>
    </w:p>
    <w:p>
      <w:pPr>
        <w:spacing w:after="0" w:line="1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response to COVID-19, we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available liquidity, focusing on flexible, low fixed-cost operations and diversifying our service offerings, geographic mix and client portfolio. We continue to evaluate and react to the potential effects of a prolonged disruption and the continued impact on our results of operations. These items may include, but are not limited to: the financial condition of our clients, mainly within the Uniform segment; supply chain disruptions that caused delivery delays, lower fill rates and higher substitution rates for a wide-range of products; and increases in inflation causing food supply chain and labor challenges. We expect these items to continue into fiscal 2022, along with the potential for costs related to COVID-19 testing or vaccine mandates. However, we continue to evaluate and react in order to take appropriate actions to mitigate the risk in these areas. The ongoing impact of COVID-19, including the emergence of COVID-19 variants, on our longer-term operational and financial performance will depend on future developments, many of which are outside of our control, and all of which are highly uncertain and cannot be predicted.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Food and Support Services</w:t>
      </w:r>
    </w:p>
    <w:p>
      <w:pPr>
        <w:spacing w:after="0" w:line="108"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Our Food and Support Services segments manage a number of interrelated services, including food, hospitality, procurement and facility services, for school districts, colleges &amp; universities, healthcare and senior living facilities, businesses, sports, entertainment &amp; recreational venues, conference &amp; convention centers, national &amp; state parks and correctional institutions.</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the exclusive provider of food and beverage services at most of the locations we serve and are responsible for hiring, training and supervising the majority of the food service personnel in addition to ordering, receiving, preparing and serving food and beverage items sold at those facilities. Our facilities services capabilities are broad, and include plant operations and maintenance, custodial/housekeeping, energy management, grounds keeping, and capital project management. In governmental, business, educational and healthcare facilities (for example, offices and industrial plants, schools and universities and hospitals and senior living), our clients provide us with a captive customer base through their on-site employees, students and patients. At sports, entertainment and recreational facilities, our clients attract patrons to their site, usually for specific events such as sporting events and conventions.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manage our FSS business in two geographic reportable segments split between our United States and International operations. In fiscal 2021, our FSS United States segment generated $6,809.3 million in revenue, or 56% of our total revenue, and our FSS International segment generated $2,866.2 million in revenue, or 24% of our total revenue. No individual client represents more than 2% of our total revenue, other than, collectively, a number of United States government agencies.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Clients and Services</w:t>
      </w:r>
    </w:p>
    <w:p>
      <w:pPr>
        <w:spacing w:after="0" w:line="104" w:lineRule="exact"/>
        <w:rPr>
          <w:sz w:val="20"/>
          <w:szCs w:val="20"/>
          <w:color w:val="auto"/>
        </w:rPr>
      </w:pPr>
    </w:p>
    <w:p>
      <w:pPr>
        <w:ind w:right="80"/>
        <w:spacing w:after="0" w:line="334" w:lineRule="auto"/>
        <w:rPr>
          <w:sz w:val="20"/>
          <w:szCs w:val="20"/>
          <w:color w:val="auto"/>
        </w:rPr>
      </w:pPr>
      <w:r>
        <w:rPr>
          <w:rFonts w:ascii="Arial" w:cs="Arial" w:eastAsia="Arial" w:hAnsi="Arial"/>
          <w:sz w:val="16"/>
          <w:szCs w:val="16"/>
          <w:color w:val="auto"/>
        </w:rPr>
        <w:t>Our Food and Support Services segments serve a number of sectors across 19 countries around the world. Our Food and Support Services operations focus on serving clients in five principal sectors: Education, Healthcare, Business &amp; Industry, Sports, Leisure &amp; Corrections and Facilities &amp; Other.</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Education. </w:t>
      </w:r>
      <w:r>
        <w:rPr>
          <w:rFonts w:ascii="Arial" w:cs="Arial" w:eastAsia="Arial" w:hAnsi="Arial"/>
          <w:sz w:val="18"/>
          <w:szCs w:val="18"/>
          <w:color w:val="auto"/>
        </w:rPr>
        <w:t>Within the Education sector, we serve Higher Education and K-12 clients. We deliver a wide range of food and food-related services,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procurement services, at more than 1,460 colleges, universities, school systems &amp; districts and private schools. We offer our education clients a single source provider for food-related managed service solutions, including dining, catering, food service management and convenience-oriented retail operations.</w:t>
      </w:r>
    </w:p>
    <w:p>
      <w:pPr>
        <w:spacing w:after="0" w:line="6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Healthcare. </w:t>
      </w:r>
      <w:r>
        <w:rPr>
          <w:rFonts w:ascii="Arial" w:cs="Arial" w:eastAsia="Arial" w:hAnsi="Arial"/>
          <w:sz w:val="18"/>
          <w:szCs w:val="18"/>
          <w:color w:val="auto"/>
        </w:rPr>
        <w:t>We provide a wide range of non-clinical food and food-related support services to approximately 573 healthcare and senior living clients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651 facilities across our global footprint. Our food and food-related services include patient food and nutrition, retail food, environmental services and procurement services.</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Business &amp; Industry</w:t>
      </w:r>
      <w:r>
        <w:rPr>
          <w:rFonts w:ascii="Arial" w:cs="Arial" w:eastAsia="Arial" w:hAnsi="Arial"/>
          <w:sz w:val="18"/>
          <w:szCs w:val="18"/>
          <w:color w:val="auto"/>
        </w:rPr>
        <w:t>. We provide a comprehensive range of business dining services, including on-site restaurants, catering, convenience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dining.</w:t>
      </w:r>
    </w:p>
    <w:p>
      <w:pPr>
        <w:spacing w:after="0" w:line="3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also provide beverage and vending services to business &amp; industry clients at thousands of locations. Our service and product offerings include a full range of coffee offerings, “grab and go” food operations, mailed gift boxes, convenience stores, micromarkets and a proprietary drinking water filtration system.</w:t>
      </w:r>
    </w:p>
    <w:p>
      <w:pPr>
        <w:spacing w:after="0" w:line="62"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i w:val="1"/>
          <w:iCs w:val="1"/>
          <w:color w:val="auto"/>
        </w:rPr>
        <w:t>Sports, Leisure &amp; Corrections</w:t>
      </w:r>
      <w:r>
        <w:rPr>
          <w:rFonts w:ascii="Arial" w:cs="Arial" w:eastAsia="Arial" w:hAnsi="Arial"/>
          <w:sz w:val="18"/>
          <w:szCs w:val="18"/>
          <w:color w:val="auto"/>
        </w:rPr>
        <w:t>. We provide concessions, banquet and catering services, retail services and merchandise sales, recreational and lodging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 facility management services at sports, entertainment and recreational facilities. We serve hundreds of venues for professional (including minor league affiliates) and college sports teams, including for 29 teams in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Major League Baseball, the National Basketball Association, the National Football League and the National Hockey League and at more than 100 colleges and universities. We also serve convention and civic centers, national and state parks and other resort operations, plus other popular tourist attractions in the United States. Additionally, we provide correctional food services, operate commissaries, laundry facilities and property rooms.</w:t>
      </w:r>
    </w:p>
    <w:p>
      <w:pPr>
        <w:spacing w:after="0" w:line="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Facilities &amp; Other. </w:t>
      </w:r>
      <w:r>
        <w:rPr>
          <w:rFonts w:ascii="Arial" w:cs="Arial" w:eastAsia="Arial" w:hAnsi="Arial"/>
          <w:sz w:val="18"/>
          <w:szCs w:val="18"/>
          <w:color w:val="auto"/>
        </w:rPr>
        <w:t>We provide a variety of support services to more than 430 facilities clients and more than 825 locations. These services include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of housekeeping, plant operations and maintenance, energy management, custodial, groundskeeping, landscaping, transportation, capital program management and payment services and other facility consulting services relating to building operations. We also provide procurement services for a number of clients in a variety of industries.</w:t>
      </w:r>
    </w:p>
    <w:p>
      <w:pPr>
        <w:spacing w:after="0" w:line="6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Our FSS International segment provides a similar range of services as those provided to our FSS United States segment clients and operates in all of our sectors. We have operations in 18 countries outside the United States. Our largest international operations are in Canada, Chile, China, Germany, Ireland and the United Kingdom. We also have a strong presence in Japan through our 50% ownership of AIM Services Co., Ltd., which is a leader in providing outsourced food services in Japan. In addition to the core Business &amp; Industry sector, our FSS International segment serves many sports stadiums across Europe, and numerous educational institutions, healthcare institutions and convention centers globally. There are particular risks attendant with our international operations. Please see Item 1A. “Risk Factors.”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Purchasing</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negotiate the pricing and other terms for the majority of our purchases of food and related products in the United States and Canada directly with national manufacturers and suppliers. Due to our ability to negotiate favorable terms with our suppliers, we receive vendor consideration, including volume discounts, rebates and other applicable credits. See “Types of Contracts” below. We purchase most products and other items through food service distribution companies, including Sysco Corporation, US Foods, Performance Food Group and other regional distributors. Sysco is our primary distributor with respect to our food and facilities business, while US Foods is our primary distributor with respect to our procurement services business. Our distributors are responsible for tracking our orders and delivering products to our specific locations. Our location managers also purchase a number of items, including bread, dairy products and alcoholic beverages from local suppliers, and we purchase certain items directly from manufacturers.</w:t>
      </w:r>
    </w:p>
    <w:p>
      <w:pPr>
        <w:spacing w:after="0" w:line="4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terms of our agreements with our distributors vary. Some agreements are for an indefinite term, subject to termination by either party after a notice period, which is generally 60 to 120 days, while others are for a fixed term with termination rights only for cause. The pricing and other financial terms of these agreements are renegotiated periodically.</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relationship with Sysco is important to our operations and we have had distribution agreements in place for 40 years. We have a master distribution agreement with Sysco that covers a significant amount of our purchases of products and items in the United States and another distribution agreement with Sysco that covers our purchases of products in Canada. In fiscal 2021, Sysco distributed approximately 50% of our food and non-food products in the United States and Canada based on purchase dollars, and we believe that we are one of their largest clients. However, we believe that the products acquired through Sysco can, in significant cases, be purchased through other sources and that termination of our relationship with them or any disruption of their business would cause only short-term disruptions to our operations.</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our FSS International segment (other than Canada), our approach to purchasing is substantially similar. On a country-by-country basis, we negotiate pricing and other terms for a majority of our purchases of food and related products with manufacturers and suppliers operating in the applicable country, and we purchase these products and other items through distributors in that country. Due to our ability to negotiate favorable terms with our suppliers, we receive vendor consideration, including volume discounts, rebates and other applicable credits. See “Types of Contracts” below. As in the United States and Canada, our location managers also purchase a number of items, including bread, dairy products and alcoholic beverages from local suppliers, and we purchase certain items directly from manufacturers. Generally, our agreements with our distributors in the FSS International segment are subject to termination by either party after a notice period, which is generally 60 days. The pricing and other financial terms of these agreements are renegotiated periodically.</w:t>
      </w:r>
    </w:p>
    <w:p>
      <w:pPr>
        <w:spacing w:after="0" w:line="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relationship with distributors in the countries outside the United States and Canada is important to our operations, but from an overall volume standpoint, no distributor outside the United States and Canada distributes a significant volume of products. We believe that products we acquire from our distributors in countries outside the United States and Canada can, in significant cases, be purchased from other sources, and that the termination of our relationships with our distributors outside the United States and Canada, or the disruption of their business operations, would cause only short-term disruption to our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We maintain selling and marketing excellence by focusing on optimizing resource allocation and deployment. We target growth by aligning our efforts directly with the sectors and services in which we operate to deliver differentiated and innovative solutions. We have established consistent tools, methodologies and training to efficiently support the development of our</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employees as they work within our individual businesses to help ensure a close connection to the business, their teammates and client partners. One key effort in our approach is identifying and matching individuals at various levels in our organization with individuals in a variety of roles at both existing and potential clients. We believe that these connections throughout various levels within the client organization allow us to develop strong relationships with the client and gain a better understanding of the clients' requirements. Based on the knowledge of the clients' requirements and the sector, our goal is to develop solutions for the client that are unique and that help to differentiate us from our competitors.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Contracts</w:t>
      </w:r>
    </w:p>
    <w:p>
      <w:pPr>
        <w:spacing w:after="0" w:line="10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use contracts with our customers that allow us to manage our potential upside and downside risk in connection with our various business interactions. Our contracts may require that consent be obtained in order to raise prices on the food, beverages and merchandise we sell within a particular facility. The contracts that we enter into vary in length. Contracts generally are for fixed terms, many of which are in excess of one year. Contracts for education and sports and leisure services typically require larger capital investments, but have correspondingly longer fixed terms, usually from five to fifteen years.</w:t>
      </w:r>
    </w:p>
    <w:p>
      <w:pPr>
        <w:spacing w:after="0" w:line="3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When we enter into new contracts, or extend or renew existing contracts, particularly those for stadiums, arenas, convention centers, colleges and universities and business dining accounts, we are sometimes contractually required to make some form of up-front or future investment, which often includes capital expenditures to help finance improvement or renovation, typically to the food and beverage facilities of the venue from which we operate. Contractually required capital expenditures typically take the form of investments in leasehold improvements, equipment and/or grants to clients. At the end of the contract term or upon its earlier termination, assets such as equipment and leasehold improvements typically become the property of the client, but generally the client must reimburse us for any undepreciated or unamortized capital investments.</w:t>
      </w:r>
    </w:p>
    <w:p>
      <w:pPr>
        <w:spacing w:after="0" w:line="43"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Food and Support Services contracts are generally obtained and renewed either through a competitive process or on a negotiated basis, although contracts in the public sector, including school districts and correctional clients, are frequently awarded on a competitive bid basis, as required by applicable law. Contracts in the private sector may be entered into without a formal bid process, but we and other companies will often compete in the process leading up to the award or the completion of contract negotiations. Typically, after the award, final contract terms are negotiated and agreed upon.</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two general contract types in our Food and Support Services segments: profit and loss contracts and client interest contracts. These contracts differ in their provision for the amount of financial risk that we bear and, accordingly, the potential compensation, profits or fees we may receive. Payments made to clients and management fees, if any, may vary significantly among contracts based upon various factors, including the type of facility involved, the term of the contract, the services we provide and the amount of capital we invest.</w:t>
      </w:r>
    </w:p>
    <w:p>
      <w:pPr>
        <w:spacing w:after="0" w:line="65"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Profit and Loss Contracts. </w:t>
      </w:r>
      <w:r>
        <w:rPr>
          <w:rFonts w:ascii="Arial" w:cs="Arial" w:eastAsia="Arial" w:hAnsi="Arial"/>
          <w:sz w:val="17"/>
          <w:szCs w:val="17"/>
          <w:color w:val="auto"/>
        </w:rPr>
        <w:t>Under profit and loss contracts, we receive all revenue from, and bear all expenses of, the provision of our services at a client</w:t>
      </w:r>
      <w:r>
        <w:rPr>
          <w:rFonts w:ascii="Arial" w:cs="Arial" w:eastAsia="Arial" w:hAnsi="Arial"/>
          <w:sz w:val="17"/>
          <w:szCs w:val="17"/>
          <w:i w:val="1"/>
          <w:iCs w:val="1"/>
          <w:color w:val="auto"/>
        </w:rPr>
        <w:t xml:space="preserve"> </w:t>
      </w:r>
      <w:r>
        <w:rPr>
          <w:rFonts w:ascii="Arial" w:cs="Arial" w:eastAsia="Arial" w:hAnsi="Arial"/>
          <w:sz w:val="17"/>
          <w:szCs w:val="17"/>
          <w:color w:val="auto"/>
        </w:rPr>
        <w:t>location. Expenses under profit and loss contracts sometimes include payments made to the client, typically calculated as a fixed or variable percentage of various categories of revenue, and, in some cases, require minimum guaranteed payments. We benefit from greater upside potential with a profit and loss contract, although we do consequently bear greater downside risk than with a client interest contract. For fiscal 2021, approximately two-thirds of our Food and Support Services revenue was derived from profit and loss contracts.</w:t>
      </w:r>
    </w:p>
    <w:p>
      <w:pPr>
        <w:spacing w:after="0" w:line="4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Client Interest Contracts. </w:t>
      </w:r>
      <w:r>
        <w:rPr>
          <w:rFonts w:ascii="Arial" w:cs="Arial" w:eastAsia="Arial" w:hAnsi="Arial"/>
          <w:sz w:val="16"/>
          <w:szCs w:val="16"/>
          <w:color w:val="auto"/>
        </w:rPr>
        <w:t>Client interest contracts include management fee contracts, under which our clients reimburse our operating costs and pay us 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client satisfaction surveys. Client interest contracts also include limited profit and loss contracts, under which we receive a percentage of any profits earned from the provision of our services at the facility and we generally receive no payments if there are losses. As discussed above under “Purchasing,” we earn vendor consideration, including discounts, rebates and other applicable credits that we typically retain except in those cases where the contract and/or applicable law requires us to credit these to our clients. For our client interest contracts, both our upside potential and downside risk are reduced compared to our profit and loss contracts. For fiscal 2021, approximately one-third of our Food and Support Services revenue was derived from client interest contracts.</w:t>
      </w:r>
    </w:p>
    <w:p>
      <w:pPr>
        <w:spacing w:after="0" w:line="4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response to the changed circumstances caused by COVID-19, we partnered with clients, mainly within the Business &amp; Industry sector, to renegotiate or temporarily suspend certain terms and financial structures, particularly in profit and loss contracts, in order to mitigate lost revenues caused by partial or full closure of client premises.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is significant competition in the Food and Support Services business from local, regional, national and international companies, as well as from the businesses, healthcare institutions, senior living facilities, colleges and universities, correctional facilities, school districts and public assembly facilities that decide to provide these services themselves. Institutions may decide to operate their own services or outsource to one of our competitors following the expiration or termination of contracts with us.</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our FSS United States segment, our external competitors include other multi-regional food and support service providers, such as Compass Group plc,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Delaware North Companies Inc. and Sodexo SA. Internationally, our external food service and support service competitors include Compass Group plc,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Elior SA, ISS and Sodexo SA. We also face competition from many regional and local service providers.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competitive factors are the principal drivers of our success:</w:t>
      </w:r>
    </w:p>
    <w:p>
      <w:pPr>
        <w:spacing w:after="0" w:line="10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quality and breadth of services and management talent;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innovation;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reputation within the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strength and stability;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purchasing scale.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 and operating results have varied, and we expect them to continue to vary,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During the ongoing COVID-19 pandemic, and in following periods, our business and results of operations have not and may continue to not experience our historically typical patterns of seasonality.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Uniform</w:t>
      </w:r>
    </w:p>
    <w:p>
      <w:pPr>
        <w:spacing w:after="0" w:line="10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Our Uniform segment provides a full service employee uniform solution, including design, sourcing and manufacturing, delivery, cleaning and maintenance on a contract basis. We directly market personalized uniforms and accessories, provide managed restroom services and rent uniforms, work clothing, outerwear, particulate-free garments and non-garment items and related services, including mats, linens, shop towels and first aid supplies, to clients in a wide range of industries in the United States, Puerto Rico, Canada and through a joint venture in Japan, including the manufacturing, transportation, construction, restaurant and hotel, healthcare and pharmaceutical industries.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Clients use our uniforms to meet a variety of needs, including:</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corporate identity and brand awareness;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projecting a professional image;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protecting workers—work clothes can help protect workers from difficult environments such as heavy soils, heat, flame or chemicals;</w:t>
      </w:r>
    </w:p>
    <w:p>
      <w:pPr>
        <w:spacing w:after="0" w:line="101" w:lineRule="exact"/>
        <w:rPr>
          <w:rFonts w:ascii="Arial" w:cs="Arial" w:eastAsia="Arial" w:hAnsi="Arial"/>
          <w:sz w:val="17"/>
          <w:szCs w:val="17"/>
          <w:color w:val="auto"/>
        </w:rPr>
      </w:pPr>
    </w:p>
    <w:p>
      <w:pPr>
        <w:ind w:left="660" w:right="7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products—uniforms can help protect products against contamination in the food, pharmaceutical, electronics, health care and automotive industries.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fiscal 2021, our Uniform segment generated $2,420.5 million in revenue, or 20% of our total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Clients and Services</w:t>
      </w:r>
    </w:p>
    <w:p>
      <w:pPr>
        <w:spacing w:after="0" w:line="10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serve businesses of all sizes in many different industries. We have a diverse client base, in which none of our clients individually represents a material portion of our revenue. We typically visit our clients' sites weekly, delivering clean, finished uniforms and, at the same time, removing the soiled uniforms or other items for cleaning, repair or replacement. We also offer products for direct sale.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cleanroom service offers advanced static dissipative garments, barrier apparel, sterile garments and cleanroom application accessories for clients with contamination-free operations in the technology, healthcare and pharmaceutical industries.</w:t>
      </w:r>
    </w:p>
    <w:p>
      <w:pPr>
        <w:spacing w:after="0" w:line="3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conduct our direct marketing business through three primary brands - WearGuard, Crest and Aramark. We design, source or manufacture and distribute distinctive image apparel to workers in a wide variety of industries through the internet at www.shoparamark.com, dedicated sales representatives and telemarketing sales channels. We customize and embroider personalized uniforms and logos for clients through an extensive computer assisted design center and distribute work clothing, outerwear, business casual apparel and footwear throughout the United States, Puerto Rico and Canada.</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9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operate our uniform rental business using a network of over 350 laundry plants, satellite plants, depots, distribution centers and manufacturing plants supporting approximately 3,400 pick-up and delivery routes. We operate a fleet of service vehicles that pick up and deliver uniforms for cleaning and maintenance. We conduct our direct marketing activities principally from our facilities in Salem, Virginia; Norwell and Rockland, Massachusetts; and Reno, Nevada. We market our own brands of apparel and offer a variety of customized personalization options such as embroidery and logos. We also source uniforms and other products to our specifications from a number of domestic and international suppliers and also manufacture a significant portion of our uniform requirements. We purchase uniform and textile products as well as equipment and supplies from domestic and international suppliers. The loss of any one supplier would not have a significant impact on us. We operate cutting and sewing plants in Mexico, which satisfy a substantial amount of our standard uniform inventory needs.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sales representatives and route sales drivers are responsible for selling our services to current and potential clients and developing new accounts through the use of an extensive, proprietary database of pre-screened and qualified business prospects. We build our brand identity through local advertising, promotional initiatives and through our distinctive service vehicles. Our clients frequently come to us through client referrals, either from our uniform rental business or from our other service sectors. Our customer service representatives generally interact on a weekly basis with their clients, while our support personnel are charged with expeditiously handling client requirements regarding the outfitting of new client employees and other customer service needs.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Contracts</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typically serve our rental clients under written service contracts for an initial term of three to five years. While clients are not required to make an up-front investment for their uniforms, in the case of nonstandard uniforms and certain specialty programs, clients typically agree to reimburse us for our costs if they terminate their agreement early. With the exception of certain governmental bid business, most of our direct marketing business is conducted under invoice arrangement with repeat clients.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Although the United States rental industry has experienced some consolidation, there is significant competition in all the areas that we serve, and such competition varies across geographies. Although many competitors are smaller local and regional firms, we also face competition from other large national firms such as Cintas Corporation and UniFirst Corporation. We believe that the primary competitive factors that affect our operations are quality, service, design, consistency of product, distribution capability, particularly for large multi-location clients, and price. We believe that our ability to compete effectively is enhanced by the quality and breadth of our product line as well as our nationwide reach.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54"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 xml:space="preserve">The pillar of our ESG platform is our 2025 sustainability plan, Be Well. Do Well., which accelerates our sustainability efforts and centers on positively impacting both </w:t>
      </w:r>
      <w:r>
        <w:rPr>
          <w:rFonts w:ascii="Arial" w:cs="Arial" w:eastAsia="Arial" w:hAnsi="Arial"/>
          <w:sz w:val="17"/>
          <w:szCs w:val="17"/>
          <w:i w:val="1"/>
          <w:iCs w:val="1"/>
          <w:color w:val="auto"/>
        </w:rPr>
        <w:t>people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planet.</w:t>
      </w:r>
      <w:r>
        <w:rPr>
          <w:rFonts w:ascii="Arial" w:cs="Arial" w:eastAsia="Arial" w:hAnsi="Arial"/>
          <w:sz w:val="17"/>
          <w:szCs w:val="17"/>
          <w:color w:val="auto"/>
        </w:rPr>
        <w:t xml:space="preserve"> As part of this strategy, introduced in 2019, we identified priorities that align with our business objectives, with a focus on efforts to help people and our planet, as we serve our clients, employees, shareholders and other stakeholders. We aim to enable the equity and wellbeing of </w:t>
      </w:r>
      <w:r>
        <w:rPr>
          <w:rFonts w:ascii="Arial" w:cs="Arial" w:eastAsia="Arial" w:hAnsi="Arial"/>
          <w:sz w:val="17"/>
          <w:szCs w:val="17"/>
          <w:i w:val="1"/>
          <w:iCs w:val="1"/>
          <w:color w:val="auto"/>
        </w:rPr>
        <w:t>people</w:t>
      </w:r>
      <w:r>
        <w:rPr>
          <w:rFonts w:ascii="Arial" w:cs="Arial" w:eastAsia="Arial" w:hAnsi="Arial"/>
          <w:sz w:val="17"/>
          <w:szCs w:val="17"/>
          <w:color w:val="auto"/>
        </w:rPr>
        <w:t xml:space="preserve"> by engaging employees, empowering healthy consumers, supporting local communities and sourcing ethically and inclusively. Our </w:t>
      </w:r>
      <w:r>
        <w:rPr>
          <w:rFonts w:ascii="Arial" w:cs="Arial" w:eastAsia="Arial" w:hAnsi="Arial"/>
          <w:sz w:val="17"/>
          <w:szCs w:val="17"/>
          <w:i w:val="1"/>
          <w:iCs w:val="1"/>
          <w:color w:val="auto"/>
        </w:rPr>
        <w:t xml:space="preserve">planet </w:t>
      </w:r>
      <w:r>
        <w:rPr>
          <w:rFonts w:ascii="Arial" w:cs="Arial" w:eastAsia="Arial" w:hAnsi="Arial"/>
          <w:sz w:val="17"/>
          <w:szCs w:val="17"/>
          <w:color w:val="auto"/>
        </w:rPr>
        <w:t>goal is to reduce our greenhouse gas emissions by sourcing responsibly, operating efficiently, minimizing food waste and reducing packaging. On</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17, 2021 we announced our commitment to set science-based targets to reduce greenhouse gas ("GHG") emissions, in line with the Science Based Targets initiative ("SBTi"). This commitment is in addition to our previously announced goal to reduce GHG emissions by 15%, from our 2019 baseline, by the end of 2025 (in the United States), and will align us with the Science Based Target initiative’s new Net-Zero Standard. Our Board of Directors generally oversees our ESG goals and objectives, and supports implementation of our ESG priorities and commitments, progress towards which we will report in our 2021 Be Well. Do Well. Impact Report, to be released in January 2022. You can read more about Be Well. Do Well. and our sustainability programs and initiatives on our website (www.aramark.com/sustainability). Nothing on our website shall be deemed incorporated by reference into this Annual Report on Form 10-K.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9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a company focused on delivering food, facilities and uniforms services in thousands of client locations across 19 countries, our human capital is material to our operations and core to the long-term success of Aramark.</w:t>
      </w:r>
    </w:p>
    <w:p>
      <w:pPr>
        <w:spacing w:after="0" w:line="35"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b w:val="1"/>
          <w:bCs w:val="1"/>
          <w:i w:val="1"/>
          <w:iCs w:val="1"/>
          <w:color w:val="auto"/>
        </w:rPr>
        <w:t xml:space="preserve">Our People. </w:t>
      </w:r>
      <w:r>
        <w:rPr>
          <w:rFonts w:ascii="Arial" w:cs="Arial" w:eastAsia="Arial" w:hAnsi="Arial"/>
          <w:sz w:val="18"/>
          <w:szCs w:val="18"/>
          <w:color w:val="auto"/>
        </w:rPr>
        <w:t>The significant impact of the COVID-19 pandemic on our business and operations has resulted in material variances in our human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metrics in fiscal 2021 and fiscal 2020 compared to prior years. As of October 1, 2021, we had a total of approximately 248,300 employees, including seasonal employees, consisting of approximately 27,600 management or salaried employees and approximately 220,700 frontline or hourly employees, up from an aggregate of approximately 247,900</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rPr>
          <w:sz w:val="20"/>
          <w:szCs w:val="20"/>
          <w:color w:val="auto"/>
        </w:rPr>
      </w:pPr>
      <w:r>
        <w:rPr>
          <w:rFonts w:ascii="Arial" w:cs="Arial" w:eastAsia="Arial" w:hAnsi="Arial"/>
          <w:sz w:val="17"/>
          <w:szCs w:val="17"/>
          <w:color w:val="auto"/>
        </w:rPr>
        <w:t>employees as of the end of fiscal 2020. The approximate number of employees as of October 1, 2021 by segment was as follows: FSS United States: 129,750; FSS International: 101,000; and Uniform: 17,100. In addition, the Aramark corporate staff consisted of approximately 450 employees. The number of frontline or hourly employees fluctuates significantly through the course of the year due to the seasonal nature of some of our business and other operating requirements. We generally experience our highest level of employment during the fourth fiscal quarter. As of October 1, 2021, approximately 42,000 employees in the United States and Canada were covered by approximately 650 collective bargaining agreements. We have experienced no material interruptions of operations due to disputes with our employees.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Diversity, Equity and Inclusion. </w:t>
      </w:r>
      <w:r>
        <w:rPr>
          <w:rFonts w:ascii="Arial" w:cs="Arial" w:eastAsia="Arial" w:hAnsi="Arial"/>
          <w:sz w:val="16"/>
          <w:szCs w:val="16"/>
          <w:color w:val="auto"/>
        </w:rPr>
        <w:t>Diversity, Equity and Inclusion are core to our culture, and we believe that a diverse workforce is critical to our success.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2021, our active United States employee base reflected the following gender, racial and ethnic demographic information: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United States</w:t>
            </w:r>
          </w:p>
        </w:tc>
        <w:tc>
          <w:tcPr>
            <w:tcW w:w="9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Male</w:t>
            </w:r>
          </w:p>
        </w:tc>
        <w:tc>
          <w:tcPr>
            <w:tcW w:w="8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Female</w:t>
            </w:r>
          </w:p>
        </w:tc>
        <w:tc>
          <w:tcPr>
            <w:tcW w:w="100" w:type="dxa"/>
            <w:vAlign w:val="bottom"/>
            <w:vMerge w:val="restart"/>
          </w:tcPr>
          <w:p>
            <w:pPr>
              <w:spacing w:after="0"/>
              <w:rPr>
                <w:sz w:val="16"/>
                <w:szCs w:val="16"/>
                <w:color w:val="auto"/>
              </w:rPr>
            </w:pPr>
          </w:p>
        </w:tc>
        <w:tc>
          <w:tcPr>
            <w:tcW w:w="9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White</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Minority</w:t>
            </w:r>
          </w:p>
        </w:tc>
        <w:tc>
          <w:tcPr>
            <w:tcW w:w="100" w:type="dxa"/>
            <w:vAlign w:val="bottom"/>
            <w:vMerge w:val="restart"/>
          </w:tcPr>
          <w:p>
            <w:pPr>
              <w:spacing w:after="0"/>
              <w:rPr>
                <w:sz w:val="16"/>
                <w:szCs w:val="16"/>
                <w:color w:val="auto"/>
              </w:rPr>
            </w:pPr>
          </w:p>
        </w:tc>
        <w:tc>
          <w:tcPr>
            <w:tcW w:w="9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Black</w:t>
            </w: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Hispanic</w:t>
            </w: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Asian</w:t>
            </w: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American</w:t>
            </w: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Pacific</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2 or more</w:t>
            </w:r>
          </w:p>
        </w:tc>
        <w:tc>
          <w:tcPr>
            <w:tcW w:w="0" w:type="dxa"/>
            <w:vAlign w:val="bottom"/>
          </w:tcPr>
          <w:p>
            <w:pPr>
              <w:spacing w:after="0"/>
              <w:rPr>
                <w:sz w:val="1"/>
                <w:szCs w:val="1"/>
                <w:color w:val="auto"/>
              </w:rPr>
            </w:pPr>
          </w:p>
        </w:tc>
      </w:tr>
      <w:tr>
        <w:trPr>
          <w:trHeight w:val="213"/>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7"/>
              </w:rPr>
              <w:t>Employee Population</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Indian</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Islander</w:t>
            </w: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races</w:t>
            </w:r>
          </w:p>
        </w:tc>
        <w:tc>
          <w:tcPr>
            <w:tcW w:w="0" w:type="dxa"/>
            <w:vAlign w:val="bottom"/>
          </w:tcPr>
          <w:p>
            <w:pPr>
              <w:spacing w:after="0"/>
              <w:rPr>
                <w:sz w:val="1"/>
                <w:szCs w:val="1"/>
                <w:color w:val="auto"/>
              </w:rPr>
            </w:pPr>
          </w:p>
        </w:tc>
      </w:tr>
      <w:tr>
        <w:trPr>
          <w:trHeight w:val="212"/>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41.11 %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46.21 %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29.64 %</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16.22 %</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4.65 %</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0.69 %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13"/>
        </w:trPr>
        <w:tc>
          <w:tcPr>
            <w:tcW w:w="1720" w:type="dxa"/>
            <w:vAlign w:val="bottom"/>
            <w:gridSpan w:val="2"/>
          </w:tcPr>
          <w:p>
            <w:pPr>
              <w:ind w:left="20"/>
              <w:spacing w:after="0"/>
              <w:rPr>
                <w:sz w:val="20"/>
                <w:szCs w:val="20"/>
                <w:color w:val="auto"/>
              </w:rPr>
            </w:pPr>
            <w:r>
              <w:rPr>
                <w:rFonts w:ascii="Arial" w:cs="Arial" w:eastAsia="Arial" w:hAnsi="Arial"/>
                <w:sz w:val="16"/>
                <w:szCs w:val="16"/>
                <w:color w:val="auto"/>
              </w:rPr>
              <w:t>Hourly Employees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39.65 %</w:t>
            </w:r>
          </w:p>
        </w:tc>
        <w:tc>
          <w:tcPr>
            <w:tcW w:w="800" w:type="dxa"/>
            <w:vAlign w:val="bottom"/>
          </w:tcPr>
          <w:p>
            <w:pPr>
              <w:jc w:val="right"/>
              <w:spacing w:after="0"/>
              <w:rPr>
                <w:sz w:val="20"/>
                <w:szCs w:val="20"/>
                <w:color w:val="auto"/>
              </w:rPr>
            </w:pPr>
            <w:r>
              <w:rPr>
                <w:rFonts w:ascii="Arial" w:cs="Arial" w:eastAsia="Arial" w:hAnsi="Arial"/>
                <w:sz w:val="16"/>
                <w:szCs w:val="16"/>
                <w:color w:val="auto"/>
              </w:rPr>
              <w:t>60.35 %</w:t>
            </w:r>
          </w:p>
        </w:tc>
        <w:tc>
          <w:tcPr>
            <w:tcW w:w="10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43.10 %</w:t>
            </w:r>
          </w:p>
        </w:tc>
        <w:tc>
          <w:tcPr>
            <w:tcW w:w="900" w:type="dxa"/>
            <w:vAlign w:val="bottom"/>
          </w:tcPr>
          <w:p>
            <w:pPr>
              <w:jc w:val="right"/>
              <w:spacing w:after="0"/>
              <w:rPr>
                <w:sz w:val="20"/>
                <w:szCs w:val="20"/>
                <w:color w:val="auto"/>
              </w:rPr>
            </w:pPr>
            <w:r>
              <w:rPr>
                <w:rFonts w:ascii="Arial" w:cs="Arial" w:eastAsia="Arial" w:hAnsi="Arial"/>
                <w:sz w:val="16"/>
                <w:szCs w:val="16"/>
                <w:color w:val="auto"/>
              </w:rPr>
              <w:t>56.90 %</w:t>
            </w: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31.51 %</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17.10 %</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4.91 %</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0.71 %</w:t>
            </w:r>
          </w:p>
        </w:tc>
        <w:tc>
          <w:tcPr>
            <w:tcW w:w="940" w:type="dxa"/>
            <w:vAlign w:val="bottom"/>
          </w:tcPr>
          <w:p>
            <w:pPr>
              <w:jc w:val="right"/>
              <w:spacing w:after="0"/>
              <w:rPr>
                <w:sz w:val="20"/>
                <w:szCs w:val="20"/>
                <w:color w:val="auto"/>
              </w:rPr>
            </w:pPr>
            <w:r>
              <w:rPr>
                <w:rFonts w:ascii="Arial" w:cs="Arial" w:eastAsia="Arial" w:hAnsi="Arial"/>
                <w:sz w:val="16"/>
                <w:szCs w:val="16"/>
                <w:color w:val="auto"/>
              </w:rPr>
              <w:t>0.26 %</w:t>
            </w:r>
          </w:p>
        </w:tc>
        <w:tc>
          <w:tcPr>
            <w:tcW w:w="860" w:type="dxa"/>
            <w:vAlign w:val="bottom"/>
          </w:tcPr>
          <w:p>
            <w:pPr>
              <w:jc w:val="right"/>
              <w:spacing w:after="0"/>
              <w:rPr>
                <w:sz w:val="20"/>
                <w:szCs w:val="20"/>
                <w:color w:val="auto"/>
              </w:rPr>
            </w:pPr>
            <w:r>
              <w:rPr>
                <w:rFonts w:ascii="Arial" w:cs="Arial" w:eastAsia="Arial" w:hAnsi="Arial"/>
                <w:sz w:val="16"/>
                <w:szCs w:val="16"/>
                <w:color w:val="auto"/>
              </w:rPr>
              <w:t>2.41 %</w:t>
            </w:r>
          </w:p>
        </w:tc>
        <w:tc>
          <w:tcPr>
            <w:tcW w:w="0" w:type="dxa"/>
            <w:vAlign w:val="bottom"/>
          </w:tcPr>
          <w:p>
            <w:pPr>
              <w:spacing w:after="0"/>
              <w:rPr>
                <w:sz w:val="1"/>
                <w:szCs w:val="1"/>
                <w:color w:val="auto"/>
              </w:rPr>
            </w:pPr>
          </w:p>
        </w:tc>
      </w:tr>
      <w:tr>
        <w:trPr>
          <w:trHeight w:val="219"/>
        </w:trPr>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Salaried Employees</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51.22 %</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67.70 %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32.30 %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16.81 %</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10.09 %</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2.88 %</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0.53 %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1.83 %</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October 1, 2021, 36% of our board of directors and 50% of our CEO's direct reports were female. Continuing to increase diversity in executive and all levels of the leadership pipeline will remain an organizational priority in the coming years. We have 11 active employee resource groups, examples include those supporting Women, Hispanics and Latinos, People of African Descent, the LGBTQ+ community and individuals with disabilities, which have 78 local hubs across the United States and play a key role in creating a culture of inclusion. In 2021, Aramark was once again listed on Diversity Inc’s Top Companies for Diversity.</w:t>
      </w:r>
    </w:p>
    <w:p>
      <w:pPr>
        <w:spacing w:after="0" w:line="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Talent Acquisition, Development and Retention</w:t>
      </w:r>
      <w:r>
        <w:rPr>
          <w:rFonts w:ascii="Arial" w:cs="Arial" w:eastAsia="Arial" w:hAnsi="Arial"/>
          <w:sz w:val="17"/>
          <w:szCs w:val="17"/>
          <w:color w:val="auto"/>
        </w:rPr>
        <w:t>. Hiring, developing and retaining employees is critically important to our operations and we are focused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creating experiences and programs that foster growth, performance and retention. Acquiring the right talent at speed and scale is a core capability that we regularly monitor and manage, given the need to rapidly staff our frontline operations. As an example, in our FSS United States segment, in fiscal 2021, we hired 59,000 new employees, up from 47,000 in fiscal 2020, made up of 93% hourly employees and 7% salaried employees, despite a 15% decrease in applicant flow. We sponsor numerous training, education and leadership development programs for our employees, from hourly associates to upper levels of management, designed to enhance leadership and managerial capability, ensure quality execution of our programs, drive client satisfaction and increase return on investment. Our Frontline Education Program provides eligible hourly associates with full tuition coverage of college degrees at leading universities in the United States.</w:t>
      </w:r>
    </w:p>
    <w:p>
      <w:pPr>
        <w:spacing w:after="0" w:line="5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Compensation, Benefits, Safety and Wellness. </w:t>
      </w:r>
      <w:r>
        <w:rPr>
          <w:rFonts w:ascii="Arial" w:cs="Arial" w:eastAsia="Arial" w:hAnsi="Arial"/>
          <w:sz w:val="16"/>
          <w:szCs w:val="16"/>
          <w:color w:val="auto"/>
        </w:rPr>
        <w:t>In addition to offering market competitive salaries and wages, we offer comprehensive health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benefits to eligible employees. Our core health and welfare benefits are supplemented with specific programs to manage or improve common health conditions, a variety of voluntary benefits and paid time away from work programs. We also provide a number of innovative programs designed to promote physical, emotional and financial well-being. In 2021, we launched the Aramark Employee Stock Purchase Plan ("ESPP") to eligible employees in the United States, Puerto Rico and Canada. Our ESPP offers eligible employees the opportunity to purchase discounted Aramark stock through regular payroll deductions. Our commitment to the safety of our employees and a “zero harm” culture, continues to be a top priority, and through Aramark SAFE, our global safety management system, we empower our employees to identify, evaluate and manage risk throughout our locations.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is subject to various federal, state, international, national, provincial and local laws and regulations, in areas such as environmental, labor, employment, immigration, privacy and data security, tax codes, health and safety laws and liquor licensing and dram shop matters. In addition, our facilities and products are subject to periodic inspection by federal, state, local and international authorities. In the context of the ongoing COVID-19 pandemic, we are subject to new, varied and ever-changing rules and regulations at the state and local level, which have materially impacted our operations across client locations and operating sectors. We have established, and periodically update, various internal controls and procedures designed to maintain compliance with applicable laws and regulations. Our compliance programs are subject to legislative changes, or changes in regulatory interpretation, implementation or enforcement. From time to time both federal and state government agencies have conducted audits of certain of our practices as part of routine inquiries of providers of services under government contracts, or otherwise. Like others in our business, we receive requests for information from governmental agencies in connection with these audits. If we fail to comply with applicable laws, we may be subject to investigations, criminal sanctions or civil remedies, including fines, penalties, damages, reimbursement, injunctions, seizures, disgorgements, debarments from government contracts or loss of liquor licenses.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subject to various laws and regulations, including, but not limited to, those governing:</w:t>
      </w:r>
    </w:p>
    <w:p>
      <w:pPr>
        <w:spacing w:after="0" w:line="9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alcohol licensing and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of sales and other taxes;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minimum wage, overtime, classification, wage payment and employment discrimination;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immigration;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governmental funded entitlement programs and cost and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false claims, whistleblowers and consumer protection;</w:t>
      </w:r>
    </w:p>
    <w:p>
      <w:pPr>
        <w:spacing w:after="0" w:line="90"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protection and environmental sustainability matters such as packaging and waste, animal health and welfare, deforestation and land use;</w:t>
      </w:r>
    </w:p>
    <w:p>
      <w:pPr>
        <w:spacing w:after="0" w:line="48"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food safety, sanitation, labeling and human health and safety, including COVID-19 vaccine and testing mandates and other safety related regulations;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customs and import and export controls;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Foreign Corrupt Practices Act, the U.K. Bribery Act and other anti-corruption laws;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antitrust, competition, procurement and lobbying;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minority, women and disadvantaged business enterprise statutes;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motor carrier safety;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laws and regulations relating to each of our food and support services segments are numerous and complex. There are a variety of laws and regulations at various governmental levels relating to the handling, preparation, transportation and serving of food, including in some cases requirements relating to the temperature of food, the cleanliness of food production facilities, and the hygiene of food-handling personnel, which are enforced primarily at the local public health department level. While we attempt to comply with applicable laws and regulations, there can be no assurance that we are in full compliance at all times with all of the applicable laws and regulations or that we will be able to comply with any future laws and regulations. Furthermore, legislation and regulatory attention to food safety is very high. Additional or amended regulations in this area may significantly increase the cost of compliance or expose us to liability.</w:t>
      </w:r>
    </w:p>
    <w:p>
      <w:pPr>
        <w:spacing w:after="0" w:line="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various government agencies impose nutritional guidelines and other requirements on us at certain of the healthcare, education and corrections facilities we serve, including more recently COVID-19 vaccine and testing mandates and other safety related regulations. We may also be subject to laws and regulations that limit or restrict the use of trans fats in the food we serve or other requirements relating to ingredient or nutrient labeling. There can be no assurance that legislation, or changes in regulatory implementation or interpretation of government regulations, would not limit our activities in the future or significantly increase the cost of regulatory compliance.</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Because we serve alcoholic beverages at many sports, entertainment and recreational facilities, including convention centers and national and state parks, we also hold liquor licenses incidental to our food service operations and are subject to the liquor license requirements of the jurisdictions in which we hold a liquor license. As of October 1, 2021, our subsidiaries held liquor licenses in 46 states and additionally the District of Columbia, 4 Canadian provinces and certain other countries. Typically, liquor licenses must be renewed annually and may be revoked or suspended for cause at any time. Alcoholic beverage control regulations relate to numerous aspects of our operations, including minimum age of patrons and employees, hours of operation, advertising, wholesale purchasing, inventory control and handling and storage, dispensing and service of alcoholic beverages. While we have not encountered any material problems relating to liquor licenses to date, the failure to receive or retain a liquor license in a particular location could adversely affect our ability to obtain such a license elsewhere.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 Our service of alcoholic beverages is also subject to alcoholic beverage service laws, commonly called dram shop statutes. Dram shop statutes generally prohibit serving alcoholic beverages to certain persons such as minors or visibly intoxicated persons. If we violate dram shop laws, we may be liable to the patron and/or to third parties for the acts of the visibly intoxicated patron. We sponsor regular training programs designed to minimize the likelihood of such a situation and to take advantage of certain safe harbors and affirmative defenses enacted for the benefit of alcoholic beverage service providers. However, we cannot guarantee that intoxicated or minor patrons will not be served or that liability for their acts will not be imposed on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uniform rental business and our food and support service business are subject to various environmental protection laws and regulations, including the United States Federal Clean Water Act, Clean Air Act, Resource Conservation and Recovery Act, Comprehensive Environmental Response, Compensation, and Liability Act and similar local, state, federal and international laws and regulations governing the use, management, shipping and disposal of chemicals and hazardous materials. In particular, industrial laundries use certain detergents and 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 Our industrial laundries are subject to certain volume and chemical air and water pollution discharge limits, monitoring, permitting and recordkeeping requirements. We own or operate aboveground and underground storage tank systems at some locations to store petroleum products for use in our or our clients' operations. Certain of these storage tank systems also are subject to performance standards, periodic monitoring and recordkeeping requirements. We also may use and manage chemicals and hazardous materials in our operations from time to time. We are mindful of the environmental concerns surrounding the use, management, shipping and disposal of these chemicals and hazardous materials, and have taken and continue to take measures to comply with environmental protection laws and regulations. Given the regulated nature of some of our operations, we could face penalties and fines for non-compliance. In the past, we have settled, or contributed to the settlement of, actions or claims relating to the management of underground storage tanks and the handling and disposal of chemicals or hazardous materials, either on or off-site. We may, in the future, be required to expend material amounts to rectify the consequences of any such events. Under environmental laws, we may be liable for the costs of removal or remediation of certain hazardous materials located on or in or migrating from our owned or leased property or our clients' properties, as well as related costs of investigation and property damage. Such laws may impose liability without regard to our fault, knowledge or responsibility for the presence of such hazardous substances. We may not know whether our clients' properties or our acquired or leased properties have been operated in compliance with environmental laws and regulations or that our future uses or conditions will not result in the imposition of liability upon us under such laws or expose us to third-party actions such as tort suits. As of October 1, 2021, we do not anticipate any expenditures for environmental remediation that would have a material effect on our financial condition.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the patents, trademarks, trade names and licenses that are necessary for the operation of our business. Other than the Aramark brand, which includes our corporate starperson logo design, the Aramark word mark (our name) and the Avendra brand, we do not consider our patents, trademarks, trade names and licenses to be material to the operation of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file annual, quarterly and current reports and other information with the Securities and Exchange Commission (the “SEC”). These filings are available to the public over the internet at the SEC's website at www.sec.gov.</w:t>
      </w:r>
    </w:p>
    <w:p>
      <w:pPr>
        <w:spacing w:after="0" w:line="4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principal internet address is www.aramark.com. We make available free of charge on www.aramark.com our annual, quarterly and current reports, and amendments to those reports, as soon as reasonably practicable after we electronically file such material with, or furnish it to, the SEC.</w:t>
      </w:r>
    </w:p>
    <w:p>
      <w:pPr>
        <w:spacing w:after="0" w:line="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Business Conduct Policy includes a code of ethics for our principal executive officer, our principal financial officer and our principal accounting officer and applies to all of our employees and non-employee directors. Our Business Conduct Policy is available on the Investor Relations section of our website at www.aramark.com and is available in print to any person who requests it by writing or telephoning us at the address or telephone number set forth below.</w:t>
      </w:r>
    </w:p>
    <w:p>
      <w:pPr>
        <w:spacing w:after="0" w:line="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You may request a copy of our SEC filings (excluding exhibits) and our Business Conduct Policy at no cost by writing or telephoning us at the following address or telephone number: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Aramark</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2400 Market Street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Philadelphia, PA 19103</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(215) 238-3000</w:t>
      </w:r>
    </w:p>
    <w:p>
      <w:pPr>
        <w:spacing w:after="0" w:line="9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references to our website and the SEC's website are intended to be inactive textual references only and the contents of those websites are not incorporated by reference herein.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Economic and External Risks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The ultimate scale and scope of the coronavirus (COVID-19) pandemic and the pace and degree of recovery are unknown and are expected to continue to adversely impact our business for an extended period. The overall impact on our business, operating results, cash flows and/or financial condition has been material and we anticipate it will continue to be material.</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COVID-19 pandemic has disrupted and is expected to continue to disrupt our business, and has materially affected and is anticipated to continue to materially affect our operating results, cash flows and/or financial condition for an extended period of time. The ultimate scale and scope of the COVID-19 pandemic has heightened, and may continue to heighten, the potential adverse effects on our business (including our equity method investments), operating results, cash flows and/or financial condition described in certain of the other risk factors contained in this Annual Report on Form 10-K. In addition, the COVID-19 pandemic and the pace of recovery has, in some cases, adversely impacted our business and financial condition in specific ways, and we expect it to continue to do so, including its impact on:</w:t>
      </w:r>
    </w:p>
    <w:p>
      <w:pPr>
        <w:spacing w:after="0" w:line="57" w:lineRule="exact"/>
        <w:rPr>
          <w:sz w:val="20"/>
          <w:szCs w:val="20"/>
          <w:color w:val="auto"/>
        </w:rPr>
      </w:pPr>
    </w:p>
    <w:p>
      <w:pPr>
        <w:ind w:left="660" w:right="2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overall economic conditions, which have and will likely continue to be adversely impacted by the COVID-19 pandemic and recurring outbreaks and related shutdowns;</w:t>
      </w:r>
    </w:p>
    <w:p>
      <w:pPr>
        <w:spacing w:after="0" w:line="48" w:lineRule="exact"/>
        <w:rPr>
          <w:rFonts w:ascii="Arial" w:cs="Arial" w:eastAsia="Arial" w:hAnsi="Arial"/>
          <w:sz w:val="18"/>
          <w:szCs w:val="18"/>
          <w:color w:val="auto"/>
        </w:rPr>
      </w:pPr>
    </w:p>
    <w:p>
      <w:pPr>
        <w:ind w:left="660" w:right="40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sufficient qualified personnel due to employee illness, quarantine, willingness to return to work, vaccine and/or testing mandates, face-coverings and other safety requirements, general scarcity of employees, or travel and other restrictions;</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health of our clients and consumers and their demand and ability to pay for certain of our services;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and medium sized businesses within our Uniform segment and their ability to remain in business or return to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new business, expand or otherwise execute on strategic plans;</w:t>
      </w:r>
    </w:p>
    <w:p>
      <w:pPr>
        <w:spacing w:after="0" w:line="103" w:lineRule="exact"/>
        <w:rPr>
          <w:rFonts w:ascii="Arial" w:cs="Arial" w:eastAsia="Arial" w:hAnsi="Arial"/>
          <w:sz w:val="18"/>
          <w:szCs w:val="18"/>
          <w:color w:val="auto"/>
        </w:rPr>
      </w:pPr>
    </w:p>
    <w:p>
      <w:pPr>
        <w:ind w:left="660" w:right="580" w:hanging="328"/>
        <w:spacing w:after="0" w:line="27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restart operations in an effective manner after COVID-19 related shutdowns including possible shutdowns in connection with variants;</w:t>
      </w:r>
    </w:p>
    <w:p>
      <w:pPr>
        <w:spacing w:after="0" w:line="1" w:lineRule="exact"/>
        <w:rPr>
          <w:rFonts w:ascii="Arial" w:cs="Arial" w:eastAsia="Arial" w:hAnsi="Arial"/>
          <w:sz w:val="18"/>
          <w:szCs w:val="18"/>
          <w:color w:val="auto"/>
        </w:rPr>
      </w:pPr>
    </w:p>
    <w:p>
      <w:pPr>
        <w:ind w:left="660" w:right="400" w:hanging="328"/>
        <w:spacing w:after="0" w:line="24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costs related to cleaning, vaccination, testing and other protocols to provide safe working conditions for our employees, clients and consumers;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comply with new legal or regulatory requirements enacted in connection with the COVID-19 pandemic in a cost-effective manner;</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actions or proceedings related to COVID-19;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effect certain cost savings initiatives and achieve synergies from acquisitions;</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partial or full closure of client premises for unknown periods of time resulting in non-provision or reduced or modified provision of services to the client, resulting in reduced or no revenue generation in those units;</w:t>
      </w:r>
    </w:p>
    <w:p>
      <w:pPr>
        <w:spacing w:after="0" w:line="48"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pace of return of employees to offices or patrons to conferences and convention centers where we provide food and other services, and the pace at which clients and customers resume certain services, such as catering;</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major league sports clients operating with capacity and other operational limitations and fewer spectators;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postponement of large events leading to postponement of revenue and a decrease in our margin;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willingness of end consumers to go to the facilities where we operate during the pandemic or for some period thereafter;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maintain a safe and cost-effective supply chain as COVID-19 may continue to adversely affect our suppliers and distributors;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ability to service our indebtedness;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certain tax attributes, including net operating loss carryforwards and foreign tax credits; and</w:t>
      </w:r>
    </w:p>
    <w:p>
      <w:pPr>
        <w:spacing w:after="0" w:line="90"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impairment analysis, including the effect of changing assumptions or estimates in the fair value calculations or variation from expectations of future cash flows or growth rates, including those assumptions relating to the duration and severity of COVID-19.</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duration and extent of the impact from COVID-19 depends on future developments that cannot be accurately predicted at this time, such as the severity and transmission rate of the virus, including different variants, the extent and effectiveness of</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governmental responses and other preventative, treatment and containment actions or developments, including the distribution and acceptance of vaccines, availability of testing, shifts in behavior going forward, and the impact of these and other factors on our employees, clients, customers, suppliers and partners. In addition, even after the COVID-19 pandemic subsides, the increase in and acceptance of remote and hybrid working arrangements may continue to adversely impact our revenues and business model in our business dining operations. There is the risk that certain mitigation and cost-saving initiatives to date may not be sustainable or repeatable, including our ability to furlough employees for an indefinite duration, to further reduce our cost structure or renegotiate client contracts, or that the prolonged effects of COVID-19 may be different than what we have experienced thus far, including permanent closures of client facilities or reductions in service offerings. Further, while we have benefited from government assistance programs, including the CARES Act, to date, there is no assurance that such programs will continue indefinitely. We anticipate that the impacts of COVID-19 on our overall business environment, operating results, cash flows and/or financial condition will continue to be material for an unknown duration.</w:t>
      </w:r>
    </w:p>
    <w:p>
      <w:pPr>
        <w:spacing w:after="0" w:line="3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Unfavorable economic conditions have in the past, are currently and in the future could, adversely affect our results of operations and financial condition.</w:t>
      </w:r>
    </w:p>
    <w:p>
      <w:pPr>
        <w:spacing w:after="0" w:line="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past, national and international economic downturns have reduced demand for our services and any such downturns are currently, and in the future could continue to reduce demand for our services in each of our reportable segments, resulting in the loss of business or increased pressure to contract for business on less favorable terms than our generally preferred terms. Economic hardship in our client base has also impacted and may continue to impact our business. For example, in early stages of the COVID-19 pandemic, or in the past, such as in the period of economic distress following the financial crisis of 2008, certain of our businesses were negatively affected by reduced employment levels at our clients’ locations and declining levels of business and consumer spending. In addition, financial distress and insolvency experienced by clients, especially larger clients, in the past has, currently does, and in the future could make it difficult for us to collect amounts we are owed and could result in the voiding or modification of existing contracts. For example, in response to the changed circumstances caused by shutdowns earlier in the COVID-19 pandemic, we worked with clients to renegotiate contracts and financial structures in order to mitigate lost revenues caused by partial or full closure of client premises. Similarly, financial distress or insolvency, if experienced by our key vendors and service providers such as insurance carriers, could significantly increase our costs.</w:t>
      </w:r>
    </w:p>
    <w:p>
      <w:pPr>
        <w:spacing w:after="0" w:line="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portion of our food and support services business that provides services in public facilities such as convention centers and tourist and recreational attractions is particularly sensitive to an economic downturn, as expenditures to take vacations or hold or attend conventions are funded to a partial or total extent by discretionary income. A decrease in such discretionary income on the part of potential attendees at our clients' facilities has in the past resulted, and in the future could result, in a reduction in our revenue. Further, because our exposure to the ultimate consumer of what we provide is limited by our dependence on our clients to attract those consumers to their facilities and events, our ability to respond to such a reduction in attendance, and therefore our revenue, is limited. For example, partial or full closure of client facilities due to COVID-19 or operation of such facilities including sports stadiums with significantly fewer or no attendees has led and may continue to lead to reduced revenues if capacity restrictions are instituted. There are many factors that could reduce the numbers of events in a facility or attendance at an event, including the continuing COVID-19 pandemic, labor disruptions involving sports leagues, poor performance by the teams playing in a facility, number of playoff games, short-term weather conditions or more prolonged climate change and adverse economic conditions which would adversely affect revenue and profits.</w:t>
      </w:r>
    </w:p>
    <w:p>
      <w:pPr>
        <w:spacing w:after="0" w:line="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Natural disasters, global calamities, climate change, political unrest, sports strikes and other adverse incidents beyond our control could adversely affect our revenue and operating results.</w:t>
      </w:r>
    </w:p>
    <w:p>
      <w:pPr>
        <w:spacing w:after="0" w:line="4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Natural disasters, including hurricanes and earthquakes, global calamities, such as the ongoing COVID-19 pandemic, or political unrest, have affected, and in the future could affect our revenue and operating results. As noted, our revenue and operating results have been and will likely continue to be materially impacted by the COVID-19 pandemic. In the past, due to more geographically isolated natural disasters, such as wildfires in the western United States and hurricanes and extreme cold conditions in the southern United States, we experienced lost and closed client locations, business disruptions and delays, the loss of inventory and other assets, asset impairments and the effect of the temporary conversion of a number of our client locations to provide food and shelter to those left homeless by storms. The effects of global climate change will likely increase the frequency and severity of such natural disasters and may also impact the availability of water resources, forests or other natural resources. In addition, any terrorist attacks or incidents prompted by political unrest, particularly at venues that we serve, and the national and global military, diplomatic and financial response to such attacks or other threats, also may adversely affect our revenue and operating results. Sports strikes, particularly those that persist for an extended time period, can reduce our revenue and have an adverse impact on our results of operations. Any decrease in the number of games played, or the occurrence of games with limited or no fans attending, has resulted and would in the future result in a loss of revenue and reduced profits at the venues we service.</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failure to retain our current clients, renew our existing client contracts on comparable terms and obtain new client contracts could adversely affect our business.</w:t>
      </w:r>
    </w:p>
    <w:p>
      <w:pPr>
        <w:spacing w:after="0" w:line="4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success depends on our ability to retain our current clients, renew our existing client contracts and obtain new business on commercially-favorable terms. Our ability to do so generally depends on a variety of factors, including the quality, price and responsiveness of our services, as well as our ability to market these services effectively and differentiate ourselves from our competitors. In addition, clients are increasingly focused on and requiring us to set targets and meet standards related to environmental sustainability matters, such as packaging and waste, animal health and welfare, deforestation and land use. When we renew existing client contracts, it is often on terms that are less favorable or less profitable for us than the initial contract terms. There can be no assurance that we will be able to obtain new business, renew existing client contracts at the same or higher levels of pricing or that our current clients will not turn to competitors, cease operations, elect to self-operate or terminate contracts with us. These risks may be exacerbated by the ongoing COVID-19 pandemic due to, among other things, increased cost pressure at our clients, tight labor markets and heightened competition in a contracted marketplace. In addition, consolidation by our clients in the industries we serve could result in our losing business if the combined entity chooses a different provider. The failure to renew a significant number of our existing contracts, including on the same or more favorable terms, would have a material adverse effect on our business and results of operations and the failure to obtain new business could have an adverse impact on our growth and financial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if clients reduce their outsourcing or use of preferred vendors.</w:t>
      </w:r>
    </w:p>
    <w:p>
      <w:pPr>
        <w:spacing w:after="0" w:line="90"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Our business and growth strategies depend in large part on the continuation of a current trend toward outsourcing services. Clients will outsource if they perceive that outsourcing may provide quality services at a lower overall cost and permit them to focus on their core business activities. We cannot be certain this trend will continue or not be reversed or that clients that have outsourced functions will not decide to perform these functions themselves.</w:t>
      </w:r>
    </w:p>
    <w:p>
      <w:pPr>
        <w:spacing w:after="0" w:line="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labor unions representing employees of some of our current and prospective clients have occasionally opposed the outsourcing trend as they believed that current union jobs for their memberships might be lost. In these cases, unions typically seek to prevent public sector entities from outsourcing and if that fails, ensure that jobs that are outsourced continue to be unionized, which can reduce our pricing and operational flexibility with respect to such businesses.</w:t>
      </w:r>
    </w:p>
    <w:p>
      <w:pPr>
        <w:spacing w:after="0" w:line="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have also identified a trend among some of our clients towards the retention of a limited number of preferred vendors to provide all or a large part of their required services. We cannot be certain this trend will continue or not be reversed or, if it does continue, that we will be selected and retained as a preferred vendor to provide these services. Unfavorable developments with respect to either outsourcing or the use of preferred vendors could have a material adverse effect on our business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industries could adversely affect our results of operations.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is significant competition in the food and support services business from local, regional, national and international companies, of varying sizes, many of which have substantial financial resources. Our ability to successfully compete depends on our ability to provide quality services at a reasonable price and to provide value to our clients and consumers. Certain of our competitors have been and may in the future be willing to underbid us or accept a lower profit margin or expend more capital in order to obtain or retain business. Also, certain regional and local service providers may be better established than we are within a specific geographic region. In addition, existing or potential clients may elect to self-operate their food and support services, eliminating the opportunity for us to serve them or compete for the account. We may also face increased competition from offsite food delivery at our clients as online restaurant aggregators and similar businesses, as well as other providers with potentially disruptive business models have been successful at applying technology developments to local food service. While we have a significant international presence, certain of our competitors have more extensive portfolios of services and a broader geographic footprint than we do. Therefore, we may be placed at a competitive disadvantage for clients who require multiservice or multinational bids.</w:t>
      </w:r>
    </w:p>
    <w:p>
      <w:pPr>
        <w:spacing w:after="0" w:line="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 number of major national competitors in the uniform rental industry with significant financial resources. In addition, there are regional and local uniform suppliers whom we believe have strong client loyalty. While many clients focus primarily on quality of service, uniform rental is also a price-sensitive service and if existing or future competitors seek to gain clients or accounts by reducing prices, we may be required to lower prices, which would reduce our revenue and profits. The uniform rental business requires investment capital for growth. Failure to maintain capital investment in this business would put us at a competitive disadvantage. In addition, to maintain a cost structure that allows for competitive pricing, it is important for us to source garments and other products internationally, including from China and Mexico. To the extent we are not able to effectively source such products internationally and gain the related cost savings, we may be at a disadvantage in relation to some of our competitors.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Increased operating costs and obstacles to cost recovery due to the pricing and cancellation terms of our food and support services contracts may constrain our ability to make a profit.</w:t>
      </w:r>
    </w:p>
    <w:p>
      <w:pPr>
        <w:spacing w:after="0" w:line="3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profitability can be adversely affected to the extent we are faced with cost increases for food, wages, other labor related expenses (including workers' compensation, state unemployment insurance and federal or state mandated health benefits and other healthcare costs, as well as the costs of COVID-19 testing or vaccine mandates), insurance, fuel, utilities, transportation, shipping, piece goods, clothing and equipment, especially to the extent we are unable to recover such increased costs through increases in prices for our products and services, due to general economic conditions, competitive conditions or contractual provisions in our client contracts. For example, when federal, state, foreign or local minimum wage rates increase, we may have to increase the wages of both minimum wage employees and employees whose wages are above the minimum wage. We may also face increased operating costs resulting from changes in federal, state or local laws and regulations relating to employment matters, including those relating to the classification of employees, employee eligibility for overtime and secure scheduling requirements, which often incorporate a premium pay mandate for scheduling deviations. Oil and natural gas prices have fluctuated significantly in the last several years. Substantial increases in the cost of fuel and utilities have historically resulted in substantial cost increases in our uniform rental business, and to a lesser extent in our food and support services segments. In addition, United States and foreign trade policies, tariffs and other impositions on imported goods, trade sanctions imposed on certain countries, the limitation on the importation of certain types of goods or of goods containing certain materials from other countries could increase costs in our uniform rental business. From time to time we have experienced increases in our food costs. Food prices can fluctuate as a result of permanent or temporary changes in supply, including as a result of incidences of severe weather such as droughts, heavy rains and late freezes or more prolonged climate change, natural disasters or pandemics, or to the extent we are unable to negotiate favorable terms on volume discounts, rebates or other applicable credits with our suppliers. Increasing client and consumer demands relating to sustainability, including that we set reduced emissions and other sustainability targets and take actions to meet them, also can result in increased costs for our food and support services segment. We have two main types of contracts in our food and facilities business: profit and loss contracts in which we bear all of the expenses of the contract but gain the benefit of the revenue, and client interest contracts in which our clients share some or all of the expenses and gain some or all of the revenue. Approximately two-thirds of our food and support services revenue in fiscal 2021 is from profit and loss contracts under which we have limited ability to pass on cost increases to our clients. Therefore, absent our ability to negotiate contractual changes, including pricing, we may have to absorb cost increases, which may adversely impact our operating results.</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amount of risk that we bear and our profit potential vary depending on the type of contract under which we provide food and support services. We may be unable to fully recover costs on contracts that limit our ability to increase prices. In addition, we provide many of our services under contracts of indefinite term, which are subject to termination on short notice by either party without cause. Some of our profit and loss and client interest contracts contain minimum guaranteed remittances to our client regardless of our revenue or profit at the facility, typically contingent on certain future events. If revenue does not exceed costs under a contract that contains minimum guaranteed payments, we will bear any losses which are incurred, as well as the guaranteed payment. Generally, our contracts also limit our ability to raise prices on the food, beverages and merchandise we sell within a particular facility without the client's consent. In addition, some of our contracts exclude certain events or products from the scope of the contract, or give the client the right to modify the terms under which we may operate at certain events. Guaranteed payments or other guaranteed amounts to a client under a profit and loss contract that is not profitable, the refusal by individual clients to permit the sale of some products at their venues, the imposition by clients of limits on prices which are not economically feasible for us, or decisions by clients to curtail their use of the services we provide could adversely affect our revenue and results of operations. During earlier stages of the COVID-19 pandemic, we renegotiated client contracts, particularly profit and loss contracts, to modify certain financial terms and increase profitability, which partially offset losses due to client closures and reduced utilization of services. To the extent the impacts of COVID-19 continue for an extended period of time beyond the term of any future modifications, we may not be able to continue to renegotiate or modify contracts, which could more materially impact our profitability going forward.</w:t>
      </w:r>
    </w:p>
    <w:p>
      <w:pPr>
        <w:spacing w:after="0" w:line="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international business faces risks that differ from those we face in the United States that could have an effect on our results of operations and financial condition.</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 significant portion of our revenue is derived from international business. During fiscal 2021, approximately 24% of our revenue was generated outside of the United States. We currently have a presence in 18 countries outside of the United States with approximately 101,000 personnel. We also provide our services on a more limited basis in several additional countries and in offshore locations. Our international operations are subject to risks that are different from those we face in the United States, including the requirement to comply with changing, conflicting and unclear national and local regulatory requirements; compliance with the Foreign Corrupt Practices Act, U.K. Bribery Act and other anti-corruption law compliance matters, as well as cybersecurity, data protection and supply chain laws; potential difficulties in staffing and labor disputes; differing local labor laws; managing and obtaining support and distribution for local operations; credit risk or financial condition of local clients;</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potential imposition of restrictions on investments; potentially adverse tax consequences, including imposition or increase of withholding, VAT and other taxes on remittances and other payments by subsidiaries; foreign exchange controls; local political and social conditions; geopolitical tensions, including, for example, tensions between the United States and China; and the ability to comply with terms of government assistance programs, including those addressing COVID-19 impact. In addition, the operating results of our non-United States subsidiaries are translated into United States dollars and those results are affected by movements in foreign currencies relative to the United States dollar.</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Local labor and employment laws in countries outside of the United States can make it more difficult and costly to reduce labor costs in connection with</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decreases in demand for our services. Recently, in certain countries we were unable to reduce our international labor costs to reflect the adverse impact of the COVID-19 pandemic to the same extent as we were able to in the United States and therefore the decrease in our international operating income as a percentage of the decrease in our revenues was higher than in our United States business. We expect to experience similar difficulties in reducing operating expenses in the future.</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will continue to explore and consider opportunities to develop our business in emerging countries over the long term. Emerging international operations present several additional risks, including greater fluctuation in currencies relative to the United States dollar; economic and governmental instability; civil disturbances; volatility in gross domestic production; and nationalization and expropriation of private assets.</w:t>
      </w:r>
    </w:p>
    <w:p>
      <w:pPr>
        <w:spacing w:after="0" w:line="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can be no assurance that the foregoing factors will not have a material adverse effect on our international operations or on our consolidated financial condition and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suppliers and service providers could adversely affect our results of operations.</w:t>
      </w:r>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raw materials we use in our business and the finished products we sell are sourced from a wide variety of domestic and international suppliers. We seek to require our suppliers and service providers to comply with applicable laws and otherwise be certified as meeting our supplier standards of conduct. Our ability to find qualified suppliers who meet our standards, including with respect to requirements around sustainably-sourced food and other products, and to access raw materials and finished products in a timely and efficient manner is a challenge, especially with respect to suppliers located and goods sourced outside the United States and other countries in which we operate. Insolvency experienced by suppliers could make it difficult for us to source the items we need to run our business. Political and economic stability in the countries in which foreign suppliers are located, the financial stability of suppliers, suppliers' failure to meet our standards, labor problems experienced by our suppliers, the availability of raw materials and labor to suppliers, cybersecurity issues, currency exchange rates, transport availability and cost, tariffs, inflation and other factors relating to the suppliers and the countries in which they are located are beyond our control. For example, current global supply chain disruptions caused by the COVID-19 pandemic have resulted in delivery delays as well as lower fill rates and higher substitution rates for a wide-range of products. While we have been able to somewhat mitigate the impact of these supply chain issues on our business primarily due to our scale, there is no guarantee that we will be able to continue to do so on comparable terms in the future if supply chain disruptions continue or worsen. Domestic foreign trade policies, tariffs and other impositions on imported goods, trade sanctions imposed on certain countries, the limitation on the importation of certain types of goods or of goods containing certain materials from other countries and other factors relating to foreign trade are beyond our control. If one of our suppliers were to violate the law, or engage in conduct that results in adverse publicity, our reputation may be harmed simply due to our association with that supplier. These and other factors affecting our suppliers and our access to raw materials and finished products could adversely affect our results of operations.</w:t>
      </w:r>
    </w:p>
    <w:p>
      <w:pPr>
        <w:spacing w:after="0" w:line="5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large food service distribution companies to distribute our food and non-food products and a disruption in our relationship with them or their business could result in short-term disruptions to our operations and cost structure.</w:t>
      </w:r>
    </w:p>
    <w:p>
      <w:pPr>
        <w:spacing w:after="0" w:line="3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Although we negotiate the pricing and other terms for the majority of our purchases of food and related products in the United States and Canada directly with national manufacturers, we purchase these products and other items through national distributors and suppliers, including Sysco Corporation, US Foods, Performance Food Group and regional distributors. Sysco, which distributed approximately 50% of our food and non-food products in the United States and Canada in fiscal 2021 based on purchase dollars, and other distributors are responsible for tracking our orders and delivering products to our specific locations. If our relationship with, or the business of, Sysco or another primary distributor were to be disrupted, we would have to arrange alternative distributors and our operations and cost structure could be adversely affected in the short term. For example, current labor shortages and other labor disputes at our primary distributors have exacerbated many of the current supply chain issues impacting our business. A cyber or other incident could also disrupt our distributors' operations and therefore impact our business in the short term. Similarly, a sudden termination of the relationship with a significant provider in other geographic areas could in the short term adversely affect our ability to provide services and disrupt our client relationships in such areas.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contract intensive and may lead to client disputes.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is contract intensive, and we are parties to many contracts with clients all over the world. Our client interest contracts provide that client billings, and for some contracts the sharing of profits and losses, are based on our determinations of costs of service. Contract terms under which we base these determinations and, for certain government contracts, regulations governing our cost determinations, may be subject to differing interpretations which could result in disputes with our clients from time to time. Clients generally have the right to audit our contracts, and we periodically review our compliance with contract terms and provisions. If clients were to dispute our contract determinations, the resolution of such disputes in a manner adverse to our interests could negatively affect revenue and operating results. While we do not believe any reviews, audits or other such matters should result in material adjustments, if a large number of our client arrangements were modified in response to any such matter, the effect could be materially adverse to our business or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involves risks.</w:t>
      </w:r>
    </w:p>
    <w:p>
      <w:pPr>
        <w:spacing w:after="0" w:line="10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may seek to acquire companies or interests in companies, or enter into joint ventures that complement our business. Our inability to complete acquisitions, integrate acquired companies successfully or enter into joint ventures may render us less competitive. At any given time, we may be evaluating one or more acquisitions or engaging in acquisition negotiations. We cannot be sure that we will be able to continue to identify acquisition candidates or joint venture partners on commercially reasonable terms or at all. If we make acquisitions, we also cannot be sure that any benefits anticipated from the acquisitions will actually be realized. Likewise, we cannot be sure we will be able to obtain necessary financing for acquisitions. Such financing could be restricted by the terms of our debt agreements or it could be more expensive than our current debt. The amount of such debt financing for acquisitions could be significant and the terms of such debt instruments could be more restrictive than our current covenants. In addition, our ability to control the planning and operations of our joint ventures and other less than majority-owned affiliates may be subject to numerous restrictions imposed by the joint venture agreements and majority stockholders. Our joint venture partners may also have interests which differ from ours.</w:t>
      </w:r>
    </w:p>
    <w:p>
      <w:pPr>
        <w:spacing w:after="0" w:line="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process of integrating acquired operations into our existing operations may result in operating, contract and supply chain difficulties, such as the failure to retain existing clients or attract new clients, maintain relationships with suppliers and other contractual parties, or retain and integrate acquired personnel. In addition, cost savings that we expect to achieve, for example, from the elimination of duplicative expenses and the realization of economies of scale or synergies, may take longer than expected to realize or may ultimately be smaller than we expect. Also, in connection with any acquisition, we could fail to discover liabilities of the acquired company for which we may be responsible as a successor owner or operator in spite of any investigation we make prior to the acquisition, or significant compliance issues which require remediation, resulting in additional unanticipated costs and risk creation. In addition, labor laws in certain countries may require us to retain more employees than would otherwise be optimal from entities we acquire. Such integration difficulties may divert significant financial, operational and managerial resources from our existing operations and make it more difficult to achieve our operating and strategic objectives, which could have a material adverse effect on our business, financial condition or results of operations. Similarly, our business depends on effective information technology and financial reporting systems. Delays in or poor execution of the integration of these systems could disrupt our operations and increase costs, and could also potentially adversely impact the effectiveness of our disclosure controls and internal controls over financial reporting.</w:t>
      </w:r>
    </w:p>
    <w:p>
      <w:pPr>
        <w:spacing w:after="0" w:line="5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Possible future acquisitions could also result in additional contingent liabilities and amortization expenses related to intangible assets being incurred, which could have a material adverse effect on our business, financial condition or results of operations. In addition, goodwill and other intangible assets resulting from business combinations represent a significant portion of our assets. If goodwill or other intangible assets were deemed to be impaired, we would need to take a charge to earnings to write down these assets to their fair value.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Labor-Related Risks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or further unionization of our workforce may increase our costs and work stoppages could damage our business.</w:t>
      </w:r>
    </w:p>
    <w:p>
      <w:pPr>
        <w:spacing w:after="0" w:line="10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Approximately 42,000 employees in our United States and Canadian operations are represented by unions and covered by collective bargaining agreements. The continued or further unionization of a significantly greater portion of our workforce could increase our overall costs at the affected locations and adversely affect our flexibility to run our business in the most efficient manner to remain competitive or acquire new business. In addition, any significant increase in the number of work stoppages at our various operations could adversely affect our business, financial condition or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liability as a result of our participation in multiemployer defined benefit pension plans.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 number of our locations operate under collective bargaining agreements. Under some of these agreements, we are obligated to contribute to multiemployer defined benefit pension plans. As a contributing employer to such plans, should we trigger either a “complete” or “partial" withdrawal, or should the plan experience a "mass" withdrawal, we could be subject to withdrawal liability for our proportionate share of any unfunded vested benefits which may exist for the particular plan. In addition, if a</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multiemployer defined benefit pension plan fails to satisfy the minimum funding standards, we could be liable to increase our contributions to meet minimum funding standards. Also, if another participating employer withdraws from the plan or experiences financial difficulty, including bankruptcy, our obligation could increase. The financial status of a small number of the plans to which we contribute has deteriorated in the recent past and continues to deteriorate. We proactively monitor the financial status of these and the other multiemployer defined benefit pension plans in which we participate. In addition, any increased funding obligations for underfunded multiemployer defined benefit pension plans could have an adverse financial impact on us.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may suffer if we lose key management personnel, are unable to hire and retain sufficient qualified personnel or if labor costs increase.</w:t>
      </w:r>
    </w:p>
    <w:p>
      <w:pPr>
        <w:spacing w:after="0" w:line="13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believe much of our future growth and success, particularly in the midst of the COVID-19 pandemic, depends on the continued availability, service and wellbeing of key executive and management talent. The loss of any of our key executive or senior management personnel could harm our business. In addition, from time to time, we have had difficulty in hiring and retaining qualified management personnel, particularly at the entry management level. We will continue to have significant requirements to hire such personnel. At times when the United States or other geographic regions experience reduced levels of unemployment or a general scarcity of labor like we have seen in recent periods, there may be a shortage of qualified workers at all levels. Given that our workforce requires large numbers of entry level and skilled workers and managers, low levels of unemployment when such conditions exist, a general difficulty finding sufficient employees or mismatches between the labor markets and our skill requirements can compromise our ability in certain areas of our businesses to continue to provide quality service or compete for new business. We are also impacted by the costs and other effects of compliance with United States and international regulations affecting our workforce. These regulations are increasingly focused on employment issues, including wage and hour, healthcare, immigration, retirement and other employee benefits and workplace practices. Compliance and claims of non-compliance with these regulations could result in liability and expense to us. Historically, we have also regularly hired a large number of part-time and seasonal workers, particularly in our food and support services segments. Any difficulty we may encounter in hiring such workers, including difficulties caused by COVID-19 vaccine and/or testing requirements, immigration policies and general labor shortages, could result in significant increases in labor costs, which could have a material adverse effect on our business, financial condition and results of operations. Competition for labor has at times resulted in wage increases in the past and future competition could substantially increase our labor costs. Due to the labor intensive nature of our businesses and the fact that approximately two-thirds of our food and support services segments' revenue is from profit and loss contracts under which we have limited ability to pass along cost increases, a shortage of labor or increases in wage levels in excess of normal levels could have a material adverse effect on our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Regulatory, Safety and Security Risks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 and governmental regulations relating to food and beverages may subject us to significant liability and reputational harm.</w:t>
      </w:r>
    </w:p>
    <w:p>
      <w:pPr>
        <w:spacing w:after="0" w:line="1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laws and regulations relating to each of our food and support services segments are numerous and complex. A variety of laws and regulations at various governmental levels relate to the handling, preparation, transportation and serving of food (including, in some cases, requirements relating to the temperature of food). In addition, the cleanliness of food production facilities and the hygiene of food-handling personnel are enforced primarily at the local public health department level. There can be no assurance that we are in full compliance with all applicable laws and regulations at all times, in particular as we offer more innovative and broad service offerings, or that we will be able to comply with any future laws and regulations. Furthermore, legislation and regulatory attention to food safety is very high. Additional or amended laws or regulations in this area may significantly increase the cost of compliance, expose us to liabilities, or cause reputational harm.</w:t>
      </w:r>
    </w:p>
    <w:p>
      <w:pPr>
        <w:spacing w:after="0" w:line="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serve alcoholic beverages at many facilities, and must comply with applicable licensing laws, as well as state and local service laws, commonly called dram shop statutes in the United States. Dram shop statutes generally prohibit serving alcoholic beverages to certain persons, such as an individual who is visibly intoxicated or a minor. If we violate dram shop laws, we may be liable to the patron and/or third parties for the acts of the patron. Although we sponsor regular training programs designed to minimize the likelihood of such a situation and to take advantage of certain safe harbors and affirmative defenses established for the benefit of alcoholic beverages service providers, we cannot guarantee that visibly intoxicated or minor patrons will not be served or that liability for their acts will not be imposed on us. There can be no assurance that additional laws or regulations in this area would not limit our activities in the future or significantly increase the cost of regulatory compliance. We must also obtain and comply with the terms of licenses in order to sell alcoholic beverages in the states in which we serve alcoholic beverages. Some of our contracts require us to pay liquidated damages during any period in which the liquor license for the facility is suspended as a result of our actions, and most contracts are subject to termination if the liquor license for the facility is lost as a result of our actions.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60"/>
        <w:spacing w:after="0" w:line="356" w:lineRule="auto"/>
        <w:rPr>
          <w:sz w:val="20"/>
          <w:szCs w:val="20"/>
          <w:color w:val="auto"/>
        </w:rPr>
      </w:pPr>
      <w:r>
        <w:rPr>
          <w:rFonts w:ascii="Arial" w:cs="Arial" w:eastAsia="Arial" w:hAnsi="Arial"/>
          <w:sz w:val="15"/>
          <w:szCs w:val="15"/>
          <w:b w:val="1"/>
          <w:bCs w:val="1"/>
          <w:i w:val="1"/>
          <w:iCs w:val="1"/>
          <w:color w:val="auto"/>
        </w:rPr>
        <w:t>If we fail to comply with requirements imposed by applicable law or other governmental regulations, we could become subject to lawsuits, investigations and other liabilities and restrictions on our operations that could significantly and adversely affect our business.</w:t>
      </w:r>
    </w:p>
    <w:p>
      <w:pPr>
        <w:spacing w:after="0" w:line="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subject to governmental regulation at the federal, state, international, national, provincial and local levels in many areas of our business, such as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supply chain laws, food safety, labeling and sanitation laws, government funded entitlement programs, government assistance programs, cost and accounting principles, the Foreign Corrupt Practices Act, the U.K. Bribery Act, other anti-corruption laws, lobbying laws, motor carrier safety laws, data privacy and security laws, and alcohol licensing and service laws. In the context of the ongoing COVID-19 pandemic, we are subject to new, varied and ever-changing rules and regulations at the state and local level, including vaccine and testing mandates and other operational requirements, capacity limitations, cleaning and sanitation standards and travel restrictions, which have materially impacted our operations across client locations and business sectors.</w:t>
      </w:r>
    </w:p>
    <w:p>
      <w:pPr>
        <w:spacing w:after="0" w:line="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time to time, government agencies have conducted reviews and audits of certain of our practices as part of routine inquiries of providers of services under government contracts, or otherwise. Like others in our business, we also receive requests for information from government agencies in connection with these reviews and audits. While we attempt to comply with all applicable laws and regulations, there can be no assurance that we are in full compliance with all applicable laws and regulations or interpretations of these laws and regulations at all times or that we will be able to comply with any future laws, regulations or interpretations of these laws and regulations.</w:t>
      </w:r>
    </w:p>
    <w:p>
      <w:pPr>
        <w:spacing w:after="0" w:line="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we fail to comply with applicable laws and regulations, including those referred to above, we may be subject to investigations, criminal sanctions or civil remedies, including fines, penalties, damages, reimbursement, injunctions, seizures, disgorgements or debarments from government contracts or the loss of liquor licenses or the ability to operate our motor vehicles. The cost of compliance or the consequences of non-compliance, including debarments, could have a material adverse effect on our business and results of operations and cause reputational harm. In addition, government agencies may make changes in the regulatory frameworks within which we operate that may require either the corporation as a whole or individual businesses to incur substantial increases in costs in order to comply with such laws and regulations.</w:t>
      </w:r>
    </w:p>
    <w:p>
      <w:pPr>
        <w:spacing w:after="0" w:line="4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new interpretations of or changes in the enforcement of the governmental regulatory framework may affect our contracts and contract terms and may reduce our revenue or profits.</w:t>
      </w:r>
    </w:p>
    <w:p>
      <w:pPr>
        <w:spacing w:after="0" w:line="4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portion of our revenue, estimated to be approximately 15% in fiscal 2021, is derived from business with United States federal, state and local governments and agencies. Changes or new interpretations in, or changes in the enforcement of, the statutory or regulatory framework applicable to services provided under government contracts or bidding procedures, including an adverse change in government spending policies or appropriations, budget priorities or revenue levels, particularly by our food and support services businesses, could result in fewer new contracts or contract renewals, modifications to the methods we apply to price government contracts, or in contract terms of shorter duration than we have historically experienced. Any of these changes could result in lower revenue or profits than we have historically achieved, which could have an adverse effect on our results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or changes in income tax rates or laws of tax matters could adversely impact our financial results.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a multinational corporation, we are subject to income taxes, as well as non-income-based taxes, in both the United States and various foreign jurisdictions. Significant judgment is required in determining our worldwide provision (benefit) for income taxes and other tax liabilities. Changes in tax laws or tax rulings may have a significant adverse impact on our effective tax rate. For example, in particular, the United States is actively considering changes in relevant tax laws applicable to corporate multinationals, including a potential increase in the United States Corporate Income tax rate as well as changes to the taxation of earnings from international operations. If enacted, the impact of these potential new rules could be material to our tax provision and value of deferred tax assets and liabilities.</w:t>
      </w:r>
    </w:p>
    <w:p>
      <w:pPr>
        <w:spacing w:after="0" w:line="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Given the unpredictability of possible further changes to the United States or foreign tax laws and regulations and their potential interdependency, it is very difficult to predict the cumulative effect of such tax laws and regulations on our results of operations and cash flow, but such laws and regulations (and changes thereto) could adversely impact our financial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regulations may subject us to significant liability and limit our ability to grow.</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various environmental protection laws and regulations, including the United States Federal Clean Water Act, Clean Air Act, Resource Conservation and Recovery Act, Comprehensive Environmental Response, Compensation, and Liability Act and similar federal, state and local statutes and regulations governing the use, management, and disposal of chemicals and hazardous materials. In particular, industrial laundries in our uniform rental business use certain detergents and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cleaning chemicals to launder garments and other merchandise. The residues from such detergents and chemicals and residues from soiled garments and other merchandise laundered at our facilities may result in potential discharges to air and to water (through sanitary sewer systems and publicly owned treatment works) and may be contained in waste generated by our wastewater treatment systems.</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industrial laundries are subject to certain volume and chemical air and water pollution discharge limits and monitoring, permitting and recordkeeping requirements.</w:t>
      </w:r>
    </w:p>
    <w:p>
      <w:pPr>
        <w:spacing w:after="0" w:line="4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own or operate aboveground and underground storage tank systems at some locations to store petroleum products for use in our or our clients' operations, including some national parks. Certain of these storage tank systems also are subject to performance standards and periodic monitoring and recordkeeping requirements. We also may use and manage chemicals and hazardous materials in our operations from time to time. In the course of our business, we may be subject to penalties and fines and reputational harm for non-compliance with environmental protection laws and regulations and we may settle, or contribute to the settlement of, actions or claims relating to the management of underground storage tanks and the handling and disposal of chemicals or hazardous materials. We may, in the future, be required to expend material amounts to rectify the consequences of any such events.</w:t>
      </w:r>
    </w:p>
    <w:p>
      <w:pPr>
        <w:spacing w:after="0" w:line="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changes to environmental laws may subject us to additional costs or cause us to change aspects of our business. In particular, new laws and regulations related to climate change, including those related to single use plastics, disposable packaging and food waste, could affect our operations or result in significant additional expense and operating restrictions on us. Under United States federal and state environmental protection laws, as an owner or operator of real estate we may be liable for the costs of removal or remediation of certain hazardous materials located on or in or migrating from our owned or leased property or our client's properties, as well as related costs of investigation and property damage, without regard to our fault, knowledge, or responsibility for the presence of such hazardous materials. There can be no assurance that locations that we own, lease or otherwise operate, either for ourselves or for our clients, or that we may acquire in the future, have been operated in compliance with environmental laws and regulations or that future uses or conditions will not result in the imposition of liability upon us under such laws or expose us to third-party actions such as tort suits. In addition, such regulations may limit our ability to identify suitable sites for new or expanded facilities. In connection with our present or past operations and the present or past operations of our predecessors or companies that we have acquired, hazardous substances may migrate from properties on which we operate or which were operated by our predecessors or companies we acquired to other properties. We may be subject to significant liabilities to the extent that human health is adversely affected or the value of such properties is diminished by such migration.</w:t>
      </w:r>
    </w:p>
    <w:p>
      <w:pPr>
        <w:spacing w:after="0" w:line="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failure to maintain food safety throughout our supply chain and food-borne illness concerns may result in reputational harm and claims of illness or injury that could adversely affect us.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Food safety is a top priority for us and we dedicate substantial resources to ensuring that our consumers enjoy safe, quality food products. Claims of illness or injury relating to food quality, food handling or allergens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Even instances of food-borne illness, food tampering or contamination at a location served by one of our competitors could result in negative publicity regarding the food service industry generally and could negatively impact our revenue. Future food safety issues may also from time to time disrupt our business. In addition, product recalls or health concerns associated with food contamination may also increase our raw material costs.</w:t>
      </w:r>
    </w:p>
    <w:p>
      <w:pPr>
        <w:spacing w:after="0" w:line="4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Our operations and reputation may be adversely affected by disruptions to or breaches of our information systems or if our data is otherwise compromised.</w:t>
      </w:r>
    </w:p>
    <w:p>
      <w:pPr>
        <w:spacing w:after="0" w:line="3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are increasingly utilizing information technology systems, including with respect to administrative functions, financial and operational data, ordering, point-of-sale processing and payment and the management of our supply chain, to enhance the efficiency of our business and to improve the overall experience of our customers. We maintain confidential, proprietary and personal information about, or on behalf of, our potential, current and former clients, customers, employees and other third parties in these systems or engage third parties in connection with storage and processing of this information. Such information includes employee, client and third party data, including credit card numbers, social security numbers, healthcare information and other personal information. Our systems and the systems of our vendors and other third parties are subject to damage or interruption from power outages, computer or telecommunication failures, computer viruses, catastrophic events and implementation delays or difficulties, as well as usage errors by our employees or third party service providers. These systems are also vulnerable to an increasing threat of rapidly evolving cyber-based attacks, including malicious software, attempts to gain unauthorized access to data, including through phishing emails, attempts to fraudulently induce employees or others to</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disclose information, the exploitation of software and operating vulnerabilities, and physical device tampering/skimming at card reader units. The techniques used to obtain unauthorized access, disable or degrade service or sabotage systems change frequently, may be difficult to detect for a long time and often are not recognized until after an attack is launched or occurs. As a result, we and such third parties may be unable to anticipate these techniques or to implement adequate preventative measures. In addition, we or such third parties may decide to upgrade existing information technology systems from time to time to support the needs of our business and growth strategy and the risk of system disruption is increased when significant system changes are undertaken. We maintain a global cybersecurity program aligned with the five pillars of the National Institute of Standards and Technology Cybersecurity Framework: Identification, Prevention, Detection, Response and Recovery. Our cross functional Cyber Governance Committee is responsible for prioritizing and managing evolving cyber risks. During the normal course of business, we have experienced and expect to continue to experience cyber-based attacks and other attempts to compromise our information systems, although none, to our knowledge, has had a material adverse effect on our business, financial condition or results of operations. Any damage to, or compromise or breach of our systems or the systems of our vendors could impair our ability to conduct our business, result in transaction errors, result in corruption or loss of accounting or other data, which could cause delays in our financial reporting, and result in a violation of applicable privacy and other laws, significant legal and financial exposure, reputational damage, adverse publicity and a loss of confidence in our security measures. Any such event could cause us to incur substantial costs, including costs associated with systems remediation, client protection, litigation, lost revenue or the failure to retain or attract clients following an attack. The failure to properly respond to any such event could also result in similar exposure to liability. While we maintain insurance coverage that may cover certain aspects of cyber risks, such insurance coverage may be unavailable or insufficient to cover all losses or all types of claims that may arise. Further, as cybersecurity risks evolve, such insurance may not be available to us on commercially reasonable terms or at all. The occurrence of some or all of the foregoing could have a material adverse effect on our results of operations, financial condition, business and reputation.</w:t>
      </w:r>
    </w:p>
    <w:p>
      <w:pPr>
        <w:spacing w:after="0" w:line="3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subject to numerous laws and regulations in the United States and internationally as well as contractual obligations and other security standards, each designed to protect the personal information of clients, customers, employees and other third parties that we collect and maintain. Additionally, as a global company we are subject to laws, rules, and regulations regarding cross-border data flows and recent legal developments have created increased complexity and uncertainty regarding transfers of personal data from the European Union to the United States. For example, on July 16, 2020 the Court of Justice of the European Union struck down a permitted personal data transfer mechanism between the European Union and the United States. These recent developments require us to review and amend the legal mechanisms by which we make and receive such cross-border personal data transfers.</w:t>
      </w:r>
    </w:p>
    <w:p>
      <w:pPr>
        <w:spacing w:after="0" w:line="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Because we accept debit and credit cards for payment from clients and customers, we are also subject to various industry data protection standards and protocols, such as payment network security operating guidelines and the Payment Card Industry Data Security Standard. In certain circumstances, payment card association rules and obligations make us liable to payment card issuers if information in connection with payment cards and payment card transactions that we hold is compromised, the liabilities for which could be substantial.</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laws, regulations and obligations are increasing in complexity and number, change frequently and may be inconsistent across the various countries in which we operate. Other jurisdictions, including at both the federal and state level in the United States, have enacted or are considering similar data protection laws, and/or are considering data localization laws that require data to stay within their borders. Our systems and the systems maintained or used by third parties and service providers to process data on our behalf may not be able to satisfy these changing legal and regulatory requirements, or may require significant additional investments or time to do so. If we fail to comply with these laws or regulations, we could be subject to significant litigation, monetary damages, regulatory enforcement actions or fines in one or more jurisdictions and we could experience a material adverse effect on our results of operations, financial condition and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1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Our leverage could adversely affect our ability to raise additional capital to fund our operations, limit our ability to react to changes in the economy or our industries, expose us to interest rate risk to the extent of our variable rate debt and prevent us from meeting our obligations.</w:t>
      </w:r>
    </w:p>
    <w:p>
      <w:pPr>
        <w:spacing w:after="0" w:line="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highly leveraged. As of October 1, 2021, our outstanding indebtedness was $7,452.3 million. We had additional availability of $1,091.6 million under our revolving credit facilities and availability of $400.0 million under the receivables facility as of that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degree of leverage could have important consequences, including:</w:t>
      </w:r>
    </w:p>
    <w:p>
      <w:pPr>
        <w:spacing w:after="0" w:line="104" w:lineRule="exact"/>
        <w:rPr>
          <w:sz w:val="20"/>
          <w:szCs w:val="20"/>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as certain of our borrowings, including borrowings under our senior secured credit facilities and our receivables facility, are at variable rates of interest;</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making it more difficult for us to make payments on our indebtedness;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103"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requiring a substantial portion of cash flow from operations to be dedicated to the payment of principal and interest on our indebtedness, thereby reducing our ability to use our cash flow to fund our operations, capital expenditures and future business opportunities;</w:t>
      </w:r>
    </w:p>
    <w:p>
      <w:pPr>
        <w:spacing w:after="0" w:line="2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90"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w:t>
      </w:r>
    </w:p>
    <w:p>
      <w:pPr>
        <w:spacing w:after="0" w:line="4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are less highly leveraged; and</w:t>
      </w:r>
    </w:p>
    <w:p>
      <w:pPr>
        <w:spacing w:after="0" w:line="48"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limiting our ability to benefit from tax deductions for such payments under certain interest expense limitation rules included in the Tax Cuts and Jobs Act of 2017 and pursuant to similar regulations in other countries.</w:t>
      </w:r>
    </w:p>
    <w:p>
      <w:pPr>
        <w:spacing w:after="0" w:line="3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We and our subsidiaries may be able to incur substantial additional indebtedness in the future, subject to the restrictions contained in our senior secured credit facilities and the indentures governing our senior notes. If new indebtedness is added to our current debt levels, the related risks that we now face could increase.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27, 2017, the U.K. Financial Conduct Authority announced that it intends to stop requiring banks to submit LIBOR rates after 2021. As a result, LIBOR will be discontinued after 2021 and contracts and hedging relationships that use LIBOR as a reference rate will have to be modified to allow for an alternative benchmark rate. Although our Credit Agreement provides for application of successor rates based on prevailing market conditions, it is not currently possible to predict the effect of any establishment of alternative reference rates or any other reforms to LIBOR that may be enacted in the United Kingdom or elsewhere. As part of our April 6, 2021 refinancing, the Sterling Overnight Index Average ("SONIA") rate is stated as an alternative rate for any debt instruments under the credit agreement, dated as of March 28, 2017 (as supplemented or otherwise modified from time to time, the "Credit Agreement").</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financial performance were to deteriorate, we may not be able to generate sufficient cash to service all of our indebtedness and may be forced to take other actions to satisfy our obligations under our indebtedness, which may not be successful.</w:t>
      </w:r>
    </w:p>
    <w:p>
      <w:pPr>
        <w:spacing w:after="0" w:line="3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including the ongoing COVID-19 pandemic. While we believe that we currently have adequate cash flows to service our indebtedness, if our financial performance were to deteriorate significantly, we might be unable to maintain a level of cash flows from operating activities sufficient to permit us to pay the principal, premium, if any, and interest on our indebtedness.</w:t>
      </w:r>
    </w:p>
    <w:p>
      <w:pPr>
        <w:spacing w:after="0" w:line="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due to such a deterioration in our financial performance, our cash flows and capital resources were to be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if we were required to raise additional capital in the current financial markets, the terms of such financing, if available, could result in higher costs and greater restrictions on our business. In addition, although none of our significant long-term borrowings mature prior to 2025, if we were to need to refinance our existing indebtedness, the conditions in the financial markets at that time could make it difficult to refinance our existing indebtedness on acceptable terms or at all. If such alternative measures proved unsuccessful, we could face substantial liquidity problems and might be required to dispose of material assets or operations to meet our debt service and other obligations. Our senior secured credit agreement and the indentures governing our senior notes restrict our ability to dispose of assets and use the proceeds from any disposition of assets and to refinance our indebtedness. We may not be able to consummate those dispositions or to obtain the proceeds that we could realize from them and these proceeds may not be adequate to meet any debt service obligations then due.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senior secured credit agreement and the indentures governing our senior notes contain various covenants that limit our ability to engage in specified types of transactions. These covenants limit our and our restricted subsidiaries' ability to, among other things:</w:t>
      </w:r>
    </w:p>
    <w:p>
      <w:pPr>
        <w:spacing w:after="0" w:line="49" w:lineRule="exact"/>
        <w:rPr>
          <w:sz w:val="20"/>
          <w:szCs w:val="20"/>
          <w:color w:val="auto"/>
        </w:rPr>
      </w:pPr>
    </w:p>
    <w:p>
      <w:pPr>
        <w:ind w:left="5540" w:right="3340" w:hanging="5208"/>
        <w:spacing w:after="0" w:line="621"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refinance or restructure indebtedness or issue certain preferred shares;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on, repurchase or make distributions in respect of our capital stock, make unscheduled payments on our notes, repurchase or redeem our senior notes or make other restricted payments;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our senior secured revolving credit facility requires us to satisfy and maintain specified financial ratios and other financial condition tests. Our ability to meet those financial ratios and tests can be affected by events beyond our control and, in the event of a significant deterioration of our financial performance, there can be no assurance that we will satisfy those ratios and tests. A breach of any of these covenants could result in a default under the senior secured credit agreement. Upon our failure to maintain compliance with these covenants that is not waived by the lenders under the revolving credit facility, the lenders under the senior secured credit facilities could elect to declare all amounts outstanding under the senior secured credit facilities to be immediately due and payable and terminate all commitments to extend further credit under such facilities. If we were unable to repay those amounts, the lenders under the senior secured credit facilities could proceed against the collateral granted to them to secure that indebtedness. We have pledged a significant portion of our assets as collateral under the senior secured credit agreement. If the lenders under the senior secured credit facilities accelerate the repayment of borrowings, there can be no assurance that we will have sufficient assets to repay those borrowings, as well as our unsecured indebtedness. If our senior secured indebtedness was accelerated by the lenders as a result of a default, our senior notes may become due and payable as well. Any such acceleration may also constitute an amortization event under our receivables facility, which could result in the amount outstanding under that facility becoming due and payable.</w:t>
      </w:r>
    </w:p>
    <w:p>
      <w:pPr>
        <w:spacing w:after="0" w:line="44" w:lineRule="exact"/>
        <w:rPr>
          <w:sz w:val="20"/>
          <w:szCs w:val="20"/>
          <w:color w:val="auto"/>
        </w:rPr>
      </w:pPr>
    </w:p>
    <w:p>
      <w:pPr>
        <w:ind w:right="180" w:firstLine="4"/>
        <w:spacing w:after="0" w:line="277" w:lineRule="auto"/>
        <w:rPr>
          <w:sz w:val="20"/>
          <w:szCs w:val="20"/>
          <w:color w:val="auto"/>
        </w:rPr>
      </w:pPr>
      <w:r>
        <w:rPr>
          <w:rFonts w:ascii="Arial" w:cs="Arial" w:eastAsia="Arial" w:hAnsi="Arial"/>
          <w:sz w:val="18"/>
          <w:szCs w:val="18"/>
          <w:b w:val="1"/>
          <w:bCs w:val="1"/>
          <w:i w:val="1"/>
          <w:iCs w:val="1"/>
          <w:color w:val="auto"/>
        </w:rPr>
        <w:t>There can be no assurance that we will continue to pay dividends on our common stock, and our indebtedness could limit our ability to pay dividends on our common stock.</w:t>
      </w:r>
    </w:p>
    <w:p>
      <w:pPr>
        <w:spacing w:after="0" w:line="4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Payment of cash dividends on our common stock is subject to our compliance with applicable law and depends on, among other things, our results of operations, financial condition, level of indebtedness, capital requirements, contractual restrictions, business prospects and other factors that our board of directors may deem relevant. Our senior secured credit facilities and the indentures governing our senior notes contain, and the terms of any future indebtedness we or our subsidiaries incur may contain limitations on our ability to pay dividends. For more information, see Item 7. "Management's Discussion and Analysis of Financial Condition and Results of Operations—Liquidity and Capital Resources—Covenant Compliance." In addition, our decision to pay dividends is impacted by results of operations and available cash, which has and will continue to be impacted by the ongoing COVID-19 pandemic. Although we have paid cash dividends in the past, there can be no assurance that we will continue to pay any dividend in the future.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 and Provisions in our Organizational Documents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share price may change significantly, and you may not be able to resell shares of our common stock at or above the price you paid or at all, and you could lose all or part of your investment as a result.</w:t>
      </w:r>
    </w:p>
    <w:p>
      <w:pPr>
        <w:spacing w:after="0" w:line="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trading price of our common stock, as reported by the NYSE, has in the past and could in the future fluctuate due to a number of factors such as those listed in “—Risks Related to Our Business” and include, but are not limited to, the following, some of which are beyond our control:</w:t>
      </w:r>
    </w:p>
    <w:p>
      <w:pPr>
        <w:spacing w:after="0" w:line="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90"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us, our competitors or our vendors of significant contracts, acquisitions, divestitures, joint marketing relationships, joint ventures or capital commitments;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third parties of significant claims or proceedings against us;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domestic and international economic conditions; and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and sudden changes in senior management.</w:t>
      </w:r>
    </w:p>
    <w:p>
      <w:pPr>
        <w:spacing w:after="0" w:line="9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Furthermore, the stock market has experienced extreme volatility that, in some cases, has been unrelated or disproportionate to the operating performance of particular companies. As evidenced by the impact of COVID-19, these broad market and industry fluctuations may adversely affect the market price of our common stock, regardless of our actual operating performance.</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9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1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3"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removal of directors only upon the affirmative vote of the holders of at least 75% in voting power of all the then-outstanding common stock of the company entitled to vote thereon, voting together as a single class; and</w:t>
      </w:r>
    </w:p>
    <w:p>
      <w:pPr>
        <w:spacing w:after="0" w:line="3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the holders of at least 75% in voting power of all the then-outstanding common stock of the company entitled to vote thereon, voting together as a single class.</w:t>
      </w:r>
    </w:p>
    <w:p>
      <w:pPr>
        <w:spacing w:after="0" w:line="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with certain limited exceptions, unless we consent in writing to the selection of an alternative forum, the Court of Chancery of the State of Delaware will be the sole and exclusive forum for any stockholder (including any beneficial owner) to bring (i) any derivative action or proceeding brought on our behalf, (ii) any action asserting a claim of breach of fiduciary duty owed by any director or officer of the Company owed to us or our stockholders, creditors or other constituents, (iii) any action asserting a claim against us or any director or officer of the Company arising pursuant to any provision of the Delaware General Corporation Law or our amended and restated certificate of incorporation or our amended and restated bylaws, or (iv) any action asserting a claim against the Company or any director or officer of the Company governed by the internal affairs doctrine.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or results of operations.</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0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principal executive offices are currently leased at 2400 Market Street, Philadelphia, Pennsylvania 19103. Our principal real estate is primarily comprised of Uniform facilities. As of October 1, 2021, we operated over 350 service facilities in our Uniform segment, consisting of industrial laundries, cleanroom laundries, warehouses, distribution centers, satellites, depots,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standalone garages, shared service centers and administrative offices that are located in across the United States, as well as in Mexico, Canada and Puerto Rico. Of these, approximately 47% are leased and approximately 53% are owned. We own six buildings that we use in our FSS United States segment, including several office/warehouse spaces, and we lease 111 premises, consisting of offices, office/warehouses and distribution centers. In addition, we own six properties consisting of offices, land and warehouses and lease 64 facilities throughout the world that we use in our FSS International segment. We also maintain other real estate and leasehold improvements, which we use in the Uniform and FSS segments. No individual parcel of real estate owned or leased is of material significance to our total assets.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October 1, 2021.</w:t>
      </w:r>
    </w:p>
    <w:p>
      <w:pPr>
        <w:spacing w:after="0" w:line="5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their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1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04"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as of November 23, 2021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99"/>
              </w:rPr>
              <w:t>With Aramark</w:t>
            </w:r>
          </w:p>
        </w:tc>
        <w:tc>
          <w:tcPr>
            <w:tcW w:w="0" w:type="dxa"/>
            <w:vAlign w:val="bottom"/>
          </w:tcPr>
          <w:p>
            <w:pPr>
              <w:spacing w:after="0"/>
              <w:rPr>
                <w:sz w:val="1"/>
                <w:szCs w:val="1"/>
                <w:color w:val="auto"/>
              </w:rPr>
            </w:pPr>
          </w:p>
        </w:tc>
      </w:tr>
      <w:tr>
        <w:trPr>
          <w:trHeight w:val="210"/>
        </w:trPr>
        <w:tc>
          <w:tcPr>
            <w:tcW w:w="2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6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Position</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4"/>
              </w:rPr>
              <w:t>Since</w:t>
            </w:r>
          </w:p>
        </w:tc>
        <w:tc>
          <w:tcPr>
            <w:tcW w:w="0" w:type="dxa"/>
            <w:vAlign w:val="bottom"/>
          </w:tcPr>
          <w:p>
            <w:pPr>
              <w:spacing w:after="0"/>
              <w:rPr>
                <w:sz w:val="1"/>
                <w:szCs w:val="1"/>
                <w:color w:val="auto"/>
              </w:rPr>
            </w:pPr>
          </w:p>
        </w:tc>
      </w:tr>
      <w:tr>
        <w:trPr>
          <w:trHeight w:val="178"/>
        </w:trPr>
        <w:tc>
          <w:tcPr>
            <w:tcW w:w="27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32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John J. Zillmer</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9"/>
                <w:szCs w:val="19"/>
                <w:color w:val="auto"/>
              </w:rPr>
            </w:pPr>
          </w:p>
        </w:tc>
        <w:tc>
          <w:tcPr>
            <w:tcW w:w="6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Chief Executive Officer</w:t>
            </w:r>
          </w:p>
        </w:tc>
        <w:tc>
          <w:tcPr>
            <w:tcW w:w="16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Thomas G. Ondrof</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9"/>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Lynn B. McKee</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Human Resources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1980</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Lauren A. Harrington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9"/>
                <w:szCs w:val="19"/>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General Counsel</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Marc A. Bruno</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0"/>
                <w:szCs w:val="20"/>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Chief Operating Officer, United States Food and Facilities</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1993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b w:val="1"/>
          <w:bCs w:val="1"/>
          <w:color w:val="auto"/>
        </w:rPr>
        <w:t xml:space="preserve">John J. Zillmer </w:t>
      </w:r>
      <w:r>
        <w:rPr>
          <w:rFonts w:ascii="Arial" w:cs="Arial" w:eastAsia="Arial" w:hAnsi="Arial"/>
          <w:sz w:val="16"/>
          <w:szCs w:val="16"/>
          <w:color w:val="auto"/>
        </w:rPr>
        <w:t>was appointed Chief Executive Officer and a member of the Board in October 2019 and was elected in connection with entering into the</w:t>
      </w:r>
      <w:r>
        <w:rPr>
          <w:rFonts w:ascii="Arial" w:cs="Arial" w:eastAsia="Arial" w:hAnsi="Arial"/>
          <w:sz w:val="16"/>
          <w:szCs w:val="16"/>
          <w:b w:val="1"/>
          <w:bCs w:val="1"/>
          <w:color w:val="auto"/>
        </w:rPr>
        <w:t xml:space="preserve"> </w:t>
      </w:r>
      <w:r>
        <w:rPr>
          <w:rFonts w:ascii="Arial" w:cs="Arial" w:eastAsia="Arial" w:hAnsi="Arial"/>
          <w:sz w:val="16"/>
          <w:szCs w:val="16"/>
          <w:color w:val="auto"/>
        </w:rPr>
        <w:t>Stewardship Framework Agreement. Prior to joining us, Mr. Zillmer served as Chief Executive Officer and Executive Chairman of Univar from 2009 to 2012. Prior to that, he served as Chairman and Chief Executive Officer of Allied Waste Industries from 2005 to 2008 and held various positions at Aramark, including Vice President of Operating Systems, Regional Vice President, Area Vice President, Executive Vice President Business Dining Services, President of Business Services Group, President of International and President of Global Food and Support Services, from 1986 to 2005. Mr. Zillmer serves on the board of directors as Non-Executive Chairman of CSX Corporation, as well as the board of directors of Ecolab, Inc. Mr. Zillmer was formerly on the board of directors of Veritiv Corporation, Performance Food Group (PFG) Company, Inc. and Reynolds American Inc.</w:t>
      </w:r>
    </w:p>
    <w:p>
      <w:pPr>
        <w:spacing w:after="0" w:line="4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Thomas G. Ondrof </w:t>
      </w:r>
      <w:r>
        <w:rPr>
          <w:rFonts w:ascii="Arial" w:cs="Arial" w:eastAsia="Arial" w:hAnsi="Arial"/>
          <w:sz w:val="18"/>
          <w:szCs w:val="18"/>
          <w:color w:val="auto"/>
        </w:rPr>
        <w:t>was appointed Executive Vice President and Chief Financial Officer in January 2020. Prior to joining us, Mr. Ondrof served as Head</w:t>
      </w:r>
      <w:r>
        <w:rPr>
          <w:rFonts w:ascii="Arial" w:cs="Arial" w:eastAsia="Arial" w:hAnsi="Arial"/>
          <w:sz w:val="18"/>
          <w:szCs w:val="18"/>
          <w:b w:val="1"/>
          <w:bCs w:val="1"/>
          <w:color w:val="auto"/>
        </w:rPr>
        <w:t xml:space="preserve"> </w:t>
      </w:r>
      <w:r>
        <w:rPr>
          <w:rFonts w:ascii="Arial" w:cs="Arial" w:eastAsia="Arial" w:hAnsi="Arial"/>
          <w:sz w:val="18"/>
          <w:szCs w:val="18"/>
          <w:color w:val="auto"/>
        </w:rPr>
        <w:t>of Strategic Growth of Performance Food Group from March 2018 to December 2019 and Chief Financial Officer of Performance Food Group from October 2016 to March 2018. Prior to that, he served in a variety of financial and business development leadership roles at Compass Group North America, including Chief Development Officer, Chief Strategy Officer and Chief Financial Officer.</w:t>
      </w:r>
    </w:p>
    <w:p>
      <w:pPr>
        <w:spacing w:after="0" w:line="5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Lynn B. McKee </w:t>
      </w:r>
      <w:r>
        <w:rPr>
          <w:rFonts w:ascii="Arial" w:cs="Arial" w:eastAsia="Arial" w:hAnsi="Arial"/>
          <w:sz w:val="18"/>
          <w:szCs w:val="18"/>
          <w:color w:val="auto"/>
        </w:rPr>
        <w:t>was appointed Executive Vice President, Human Resources in May 2004. From August 2012 to August 2013, Ms. McKee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Human Resources and Communications. From January 2004 to May 2004, Ms. McKee served as our Senior Vice President of Human Resources and from 2001 to 2003, she served as Senior Vice President of Human Resources for our Food and Support Services Group. From 1998 to 2001, she served as our Staff Vice President, Executive Development and Compensation. Ms. McKee serves on the board of directors of Bryn Mawr Bank Co.</w:t>
      </w:r>
    </w:p>
    <w:p>
      <w:pPr>
        <w:spacing w:after="0" w:line="4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Lauren A. Harrington </w:t>
      </w:r>
      <w:r>
        <w:rPr>
          <w:rFonts w:ascii="Arial" w:cs="Arial" w:eastAsia="Arial" w:hAnsi="Arial"/>
          <w:sz w:val="18"/>
          <w:szCs w:val="18"/>
          <w:color w:val="auto"/>
        </w:rPr>
        <w:t>was appointed Senior Vice President and General Counsel in March 2019. From August 2009 to March 2019, Ms. Harrington</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 President and Associate General Counsel and from May 2006 to August 2009, she served as Assistant General Counsel. Before joining us, Ms. Harrington was an Associate at WilmerHale LLP.</w:t>
      </w:r>
    </w:p>
    <w:p>
      <w:pPr>
        <w:spacing w:after="0" w:line="5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Marc A. Bruno </w:t>
      </w:r>
      <w:r>
        <w:rPr>
          <w:rFonts w:ascii="Arial" w:cs="Arial" w:eastAsia="Arial" w:hAnsi="Arial"/>
          <w:sz w:val="16"/>
          <w:szCs w:val="16"/>
          <w:color w:val="auto"/>
        </w:rPr>
        <w:t>was appointed Chief Operating Officer, United States Food and Facilities in November 2019. From 2018 to November 2019, Mr. Bruno</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Chief Operating Officer, Sports, Leisure, Corrections, Facilities and K-12. From 2014 to 2018, Mr. Bruno served as Chief Operating Officer, Sports, Leisure and Corrections. From 2008 to 2014, he served as President, Sports and Entertainment, and prior to that he served in various other positions within our food and support services business from 1993 to 2008. Mr. Bruno serves on the board of directors of United Rentals, Inc.</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ind w:right="1840"/>
        <w:spacing w:after="0" w:line="35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Shares of our common stock began trading on December 12, 2013 and are quoted on the NYSE under the ticker symbol “ARMK.” As of October 29, 2021, there were approximately 989 holders of record of our outstanding common stock. This does not include persons who hold our common stock in nominee or “street name” accounts through brokers or banks.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w:t>
      </w:r>
    </w:p>
    <w:p>
      <w:pPr>
        <w:spacing w:after="0" w:line="9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This performance graph and related information shall not be deemed “filed” for purposes of Section 18 of the Exchange Act or incorporated by reference into any filing of Aramark under the Securities Act or the Exchange Act, except as shall be expressly set forth by specific reference in such filing.</w:t>
      </w:r>
    </w:p>
    <w:p>
      <w:pPr>
        <w:spacing w:after="0" w:line="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graph shows a comparison from September 30, 2016, the last trading day of fiscal 2016, through October 1, 2021 of the cumulative total return for our common stock, The Standard &amp; Poor’s (“S&amp;P”) 500 Stock Index and The Dow Jones Consumer Non-Cyclical Index. The graph assumes that $100 was invested in our common stock and in each index at the market close on September 30, 2016 and assumes that all dividends were reinvested.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40640</wp:posOffset>
            </wp:positionV>
            <wp:extent cx="4568825" cy="2280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8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October 2, 2020</w:t>
            </w: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October 1, 2021</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Aramark</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 Jones Consumer Non-Cyclical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unregistered sales of equity securities during the fiscal year ended October 1, 2021 which have not been previously disclosed in a quarterly report on Form 10-Q or a current report on Form 8-K.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equity securities by us in the fourth fiscal quarter ended October 1, 2021.</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The following discussion and analysis of Aramark's (the "Company," "we," "our" and "us") financial condition and results of operations for the fiscal years ended October 1, 2021 and October 2, 2020 should be read in conjunction with our audited consolidated financial statements and the notes to those statements. Discussion and analysis of our financial condition and results of operations for the fiscal year ended October 2, 2020 compared to the fiscal year ended September 27, 2019 is included under the heading Item 7 “Management’s Discussion and Analysis of Financial Condition and Results of Operations - Results of Operations - Fiscal 2020 Compared to Fiscal 2019 and - Liquidity and Capital Resources” in our Annual Report on Form 10-K filed for the fiscal year ended October 2, 2020 with the Securities and Exchange Commission ("SEC") on November 24, 2020.</w:t>
      </w:r>
    </w:p>
    <w:p>
      <w:pPr>
        <w:spacing w:after="0" w:line="4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set forth under "Risk Factors," "Special Note About Forward-looking Statements" and "Business" sections and elsewhere in this Annual Report on Form 10-K ("Annual Report"). In the following discussion and analysis of financial condition and results of operations, certain financial measures may be considered “non-GAAP financial measures” under SEC rules. These rules require supplemental explanation and reconciliation, which is provided elsewhere in this Annual Report.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in three reportable segments:</w:t>
      </w:r>
    </w:p>
    <w:p>
      <w:pPr>
        <w:spacing w:after="0" w:line="104" w:lineRule="exact"/>
        <w:rPr>
          <w:sz w:val="20"/>
          <w:szCs w:val="20"/>
          <w:color w:val="auto"/>
        </w:rPr>
      </w:pPr>
    </w:p>
    <w:p>
      <w:pPr>
        <w:ind w:left="660" w:right="14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 serving the general public in the United States.</w:t>
      </w:r>
    </w:p>
    <w:p>
      <w:pPr>
        <w:spacing w:after="0" w:line="62" w:lineRule="exact"/>
        <w:rPr>
          <w:rFonts w:ascii="Arial" w:cs="Arial" w:eastAsia="Arial" w:hAnsi="Arial"/>
          <w:sz w:val="18"/>
          <w:szCs w:val="18"/>
          <w:color w:val="auto"/>
        </w:rPr>
      </w:pPr>
    </w:p>
    <w:p>
      <w:pPr>
        <w:ind w:left="660" w:right="12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 serving the general public. We have operations in 18 countries outside the United States. Our largest international operations are in Canada, Chile, China, Germany, Ireland and the United Kingdom, and in a majority of these countries we are one of the leading food and/or facility services providers. We also have operations in Japan through our 50% ownership of AIM Services Co., Ltd., which is a leader in providing outsourced food services in Japan.</w:t>
      </w:r>
    </w:p>
    <w:p>
      <w:pPr>
        <w:spacing w:after="0" w:line="57" w:lineRule="exact"/>
        <w:rPr>
          <w:rFonts w:ascii="Arial" w:cs="Arial" w:eastAsia="Arial" w:hAnsi="Arial"/>
          <w:sz w:val="18"/>
          <w:szCs w:val="18"/>
          <w:color w:val="auto"/>
        </w:rPr>
      </w:pPr>
    </w:p>
    <w:p>
      <w:pPr>
        <w:ind w:left="660" w:right="20" w:hanging="328"/>
        <w:spacing w:after="0" w:line="296"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Uniform and Career Apparel ("Uniform") - Provides a full service employee uniform solution, including design, sourcing and manufacturing, delivery, cleaning and maintenance on a contract basis. We directly market personalized uniforms and accessories, provide managed restroom services and rent uniforms, work clothing, outerwear, particulate-free garments and non-garment items and related services, including mats, shop towels and first aid supplies, to clients in a wide range of industries in the United States, Canada, Puerto Rico and through a joint venture in Japan, including the manufacturing, transportation, construction, restaurant and hotel, healthcare and pharmaceutical industries.</w:t>
      </w:r>
    </w:p>
    <w:p>
      <w:pPr>
        <w:spacing w:after="0" w:line="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Food and Support Services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and operates in the same sectors. Administrative expenses not allocated to our three reportable segments are presented separately as corporate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COVID-19 pandemic ("COVID-19") has disrupted and is expected to continue to disrupt our business, which has and could continue to materially affect our operating results, cash flows and/or financial condition for an extended period of time. The decline in our operations from COVID-19 caused a deterioration in our revenue, operating income (loss) and net (loss) income for the fiscal years ended October 1, 2021 and October 2, 2020. Our financial results began to improve during the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second half of fiscal 2021 as lockdowns were lifted and operations began to re-open as well as from actions to reduce variable and fixed costs, including headcount reductions primarily taken during the second half of fiscal 2020. COVID-19 has adversely affected global economies, financial markets and the overall environment for our business. The ongoing impact of COVID-19 on our longer-term operational and financial performance will depend on future developments, including the availability, widespread distribution and acceptance of safe and effective COVID-19 vaccines, the emergence of COVID-19 variants, our ability to effectively hire and retain personnel, governmental response to the pandemic and the continuation of governmental relief programs. Many of these future developments are outside of our control and all are highly uncertain and cannot be predicted.</w:t>
      </w:r>
    </w:p>
    <w:p>
      <w:pPr>
        <w:spacing w:after="0" w:line="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response to COVID-19, we continue to remain principally focused on the safety and well-being of our employees, clients and everyone we serve, while simultaneously taking timely, proactive measures to adapt to the current environment. We continue to modify our business model in response to the disruption caused by COVID-19 by strengthening our available liquidity, focusing on flexible, low fixed-cost operations and diversifying our service offerings, geographic mix and client portfolio.</w:t>
      </w:r>
    </w:p>
    <w:p>
      <w:pPr>
        <w:spacing w:after="0" w:line="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certain of our operating sectors have been significantly impacted to date, we continue to work toward mitigating these negative impacts. These efforts have included significant variable and fixed cost reductions, including headcount reductions primarily during fiscal 2020, contractual negotiations and efforts to provide additional products and services arising in the current environment. We have also taken advantage of relief provisions, including the Coronavirus Aid, Relief and Economic Security Act ("CARES Act"), the Consolidated Appropriations Act of 2021 ("CAA") and other United States and foreign governmental programs. The operating environment, however, remains very fluid with changes in the number of COVID-19 cases and progress in the vaccination effort significantly contributing to the ability and willingness of private businesses and governments to open or remain open, even at limited levels.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impacts to our operating sectors are further described as follows:</w:t>
      </w:r>
    </w:p>
    <w:p>
      <w:pPr>
        <w:spacing w:after="0" w:line="90" w:lineRule="exact"/>
        <w:rPr>
          <w:sz w:val="20"/>
          <w:szCs w:val="20"/>
          <w:color w:val="auto"/>
        </w:rPr>
      </w:pPr>
    </w:p>
    <w:p>
      <w:pPr>
        <w:ind w:left="660" w:right="40" w:hanging="328"/>
        <w:spacing w:after="0" w:line="311" w:lineRule="auto"/>
        <w:tabs>
          <w:tab w:leader="none" w:pos="6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Education – We welcomed students and educators back to in-person learning at the start of the school year in both K-12 and Higher Education. Higher Education implemented enhanced on-campus experiences that included additional meal flexibility and digital innovation, despite retail and event catering volumes being slower to recover. K-12 continues to participate in universal government-sponsored meal programs.</w:t>
      </w:r>
    </w:p>
    <w:p>
      <w:pPr>
        <w:spacing w:after="0" w:line="27" w:lineRule="exact"/>
        <w:rPr>
          <w:rFonts w:ascii="Arial" w:cs="Arial" w:eastAsia="Arial" w:hAnsi="Arial"/>
          <w:sz w:val="16"/>
          <w:szCs w:val="16"/>
          <w:color w:val="auto"/>
        </w:rPr>
      </w:pPr>
    </w:p>
    <w:p>
      <w:pPr>
        <w:ind w:left="660" w:right="10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Sports, Leisure &amp; Corrections – Fans largely returned to stadiums at full capacity for the Major League Baseball season and the National Football League season which is underway. Leisure remained active as National Parks continued to serve as an attractive vacation destination, while conference centers and events had less activity. Corrections had already returned to pre-COVID-19 levels.</w:t>
      </w:r>
    </w:p>
    <w:p>
      <w:pPr>
        <w:spacing w:after="0" w:line="43"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&amp; Industry – Companies introduced greater in-person return-to-work activity, although at a measured pace, particularly with white-collar clients.</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Facilities &amp; Other – Operations remain positive, surpassing pre-COVID-19 levels, as locations continue to increase in-person activity, while we continue to offer additional project-oriented services to ensure locations are ready and safe.</w:t>
      </w:r>
    </w:p>
    <w:p>
      <w:pPr>
        <w:spacing w:after="0" w:line="48"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Healthcare – Operations continue to gradually improve with a higher level of voluntary procedures, routine medical appointments and hospital visitations, despite retail and catering volumes being slower to recover.</w:t>
      </w:r>
    </w:p>
    <w:p>
      <w:pPr>
        <w:spacing w:after="0" w:line="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Within the FSS International segment, we are at various stages of response depending on geography. China continues its recovery due to our efforts on the frontlines, particularly in Healthcare, while South America continues to experience strong performance in extractive services. Europe and Canada continue to recover as restrictions ease.</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Uniform segment, our business serves a range of clients. Operations have resumed across the segment, although below pre-pandemic levels for some products or services, associated with hospitality. In addition, we continue to be a solution-oriented service focusing on safety and hygiene. In response to COVID-19, we increased inventory levels, particularly related to personal protective equipment ("PPE"). During fiscal 2021, we recorded inventory write-downs and reserves related to PPE due to a decline in demand.</w:t>
      </w:r>
    </w:p>
    <w:p>
      <w:pPr>
        <w:spacing w:after="0" w:line="1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In all business segments, we continue to leverage our flexible operating model to execute cost mitigation plans while continuing to support our clients. During fiscal 2021, we saw improved profitability from clients re-opening after COVID-19 restrictions began to lift as well as from the actions to reduce variable and fixed costs, including headcount reductions taken during the second half of fiscal 2020. We continue to evaluate and react to the potential effects of a prolonged disruption and the continued impact on our results of operations. These items may include, but are not limited to: the financial condition of our clients, mainly within the Uniform segment; supply chain disruptions that caused delivery delays, lower fill rates and higher substitution rates for a wide-range of products; and increases in inflation causing food supply chain and labor challenges. We expect these items to continue into fiscal 2022, along with the potential for costs related to COVID-19 testing or vaccine mandates. However, we continue to evaluate and react in order to take appropriate actions to mitigate the risk in these areas.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undertook many actions as it relates to our available liquidity in response to COVID-19. See "Liquidity and Capital Resources" below for additional disclosure around these actions taken. Also, see “Item 1A. Risk Factors” for an additional discussion of risks and potential risks of COVID-19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June 4, 2021, we completed the acquisition of Next Level Hospitality ("Next Level"), a premier provider of culinary and environmental services in the senior living industry, specializing in skilled nursing and rehabilitation facilities (see Note 2 to the audited consolidated financial statements). The cash consideration paid for Next Level was $226.1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and in following periods, our business and results of operations have not and may continue to not experience our historically typical patterns of seasonality.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0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clients engage us, generally through written contracts, to provide our services at their locations. Depending on the type of client and service, we are paid either by our client or directly by the consumer to whom we have been provided access by our client. We typically use either profit and loss contracts or client interest contracts in our FSS United States and FSS International segments. These contracts differ in their provision for the amount of financial risk we bear and, accordingly, the potential compensation, profits or fees we may receive. Under profit and loss contracts, we receive all of the revenue from, and bear all of the expenses of, the provision of our services at a client location. For fiscal 2021, approximately two-thirds of our FSS United States and FSS International segment revenue was derived from profit and loss contracts. Client interest contracts include management fee contracts, under which our clients reimburse our operating costs and pay us a management fee, which may be calculated as a fixed dollar amount or a percentage of revenue or operating costs. Some management fee contracts entitle us to receive incentive fees based upon our performance under the contract, as measured by factors such as revenue, operating costs and customer satisfaction surveys. For fiscal 2021, approximately one-third of our FSS United States and FSS International segment revenue was derived from client interest contracts. In response to the changed circumstances caused by COVID-19, we partnered with clients, mainly within the Business &amp; Industry sector, to renegotiate or temporarily suspend certain terms and financial structures, particularly in profit and loss contracts, in order to mitigate lost revenues caused by partial or full closure of client premises.</w:t>
      </w:r>
    </w:p>
    <w:p>
      <w:pPr>
        <w:spacing w:after="0" w:line="3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our Uniform segment, we typically serve our rental clients under written service contracts for an initial term of three to five years. As the majority of our clients purchase on a recurring basis, our backlog of orders at any given time consists principally of orders in the process of being filled. With the exception of certain governmental bid business, most of our direct marketing business is conducted under invoice arrangement with repeat clients. To a large degree, our direct marketing business is relationship-driven. While we have long-term relationships with our larger clients, we generally do not have contracts with these clients.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costs and expenses are comprised of cost of services provided (exclusive of depreciation and amortization), depreciation and amortization and selling and general corporate expenses. Cost of services provided (exclusive of depreciation and amortization) consists of direct expenses associated with our operations, which includes food costs, wages, other labor-related expenses (including workers' compensation, severance, state unemployment insurance and federal or state mandated health benefits and other healthcare costs), insurance, fuel, utilities, piece goods and clothing and equipment. Depreciation and amortization expenses mainly relate to assets used in generating revenue. Selling and general corporate expenses include sales commissions, severance, share-based compensation and other unallocated costs related to administrative functions including finance, legal and human resources.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Financing Costs, net</w:t>
      </w:r>
    </w:p>
    <w:p>
      <w:pPr>
        <w:spacing w:after="0" w:line="10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Interest and other financing costs, net, relates primarily to interest expense on long-term borrowings. Interest and other financing costs, net also includes third-party costs associated with long-term borrowings that were capitalized and are being amortized over the term of the borrowing.</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(benefit) provision for income taxes represents federal, foreign, state and local income taxes. Our effective tax rate differs from the statutory United States income tax rate due to the effect of state and local income taxes, tax rates in foreign jurisdictions, tax credits and certain nondeductible expenses. Our effective tax rate will change from quarter to quarter based on recurring and nonrecurring factors including, but not limited to, the geographical mix of earnings, state and local income taxes, tax audit settlements, share-based award exercise activity and enacted tax legislation, including certain business tax credits. The income tax benefit in both fiscal 2021 and fiscal 2020 was impacted by governmental programs, such as the CARES Act and CAA, while both fiscal 2020 and fiscal 2019 were impacted by United States tax reform enacted in the "Tax Cuts and Jobs Act" (see Note 10 to the audited consolidated financial statements). Changes in judgment due to the evaluation of new information resulting in the recognition, derecognition or remeasurement of a tax position taken in a prior annual period are recognized separately in the quarter of the change.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0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to September 30th. The fiscal year ended October 1, 2021 was a fifty-two week period and the fiscal year ended October 2, 2020 was a fifty-three week period.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Compared to Fiscal 2020</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fiscal years 2021 and 2020 (dollars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7"/>
          </w:tcPr>
          <w:p>
            <w:pPr>
              <w:jc w:val="right"/>
              <w:ind w:right="114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October 1, 2021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October 2, 2020</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12,096.0</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8"/>
                <w:szCs w:val="18"/>
                <w:color w:val="auto"/>
                <w:w w:val="91"/>
              </w:rPr>
              <w:t>Cost of services provided (exclusive of depreciation and</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11,007.2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11,993.7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(986.5)</w:t>
            </w:r>
          </w:p>
        </w:tc>
        <w:tc>
          <w:tcPr>
            <w:tcW w:w="16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amortization)</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60" w:type="dxa"/>
            <w:vAlign w:val="bottom"/>
            <w:gridSpan w:val="3"/>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460"/>
              <w:spacing w:after="0"/>
              <w:rPr>
                <w:sz w:val="20"/>
                <w:szCs w:val="20"/>
                <w:color w:val="auto"/>
              </w:rPr>
            </w:pPr>
            <w:r>
              <w:rPr>
                <w:rFonts w:ascii="Arial" w:cs="Arial" w:eastAsia="Arial" w:hAnsi="Arial"/>
                <w:sz w:val="18"/>
                <w:szCs w:val="18"/>
                <w:color w:val="auto"/>
              </w:rPr>
              <w:t>Other operating expenses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Goodwill impairment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11,904.6</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13,094.5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(1,189.9)</w:t>
            </w:r>
          </w:p>
        </w:tc>
        <w:tc>
          <w:tcPr>
            <w:tcW w:w="16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Operating income (loss)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172.3 %</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Gain on Equity Investment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Defined Benefit Pension Plan Termination</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60" w:type="dxa"/>
            <w:vAlign w:val="bottom"/>
            <w:tcBorders>
              <w:bottom w:val="single" w:sz="8" w:color="auto"/>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(647.7)</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79.5 %</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Benefit for Income Taxes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(186.3)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(145.6)</w:t>
            </w:r>
          </w:p>
        </w:tc>
        <w:tc>
          <w:tcPr>
            <w:tcW w:w="16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Net loss</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9"/>
        </w:trPr>
        <w:tc>
          <w:tcPr>
            <w:tcW w:w="454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(1)</w:t>
            </w: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9"/>
              </w:rPr>
              <w:t>October 1, 2021</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9"/>
              </w:rPr>
              <w:t>October 2, 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2,866.2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2,945.8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7"/>
          </w:tcPr>
          <w:p>
            <w:pPr>
              <w:jc w:val="right"/>
              <w:ind w:right="1200"/>
              <w:spacing w:after="0"/>
              <w:rPr>
                <w:sz w:val="20"/>
                <w:szCs w:val="20"/>
                <w:color w:val="auto"/>
              </w:rPr>
            </w:pPr>
            <w:r>
              <w:rPr>
                <w:rFonts w:ascii="Arial" w:cs="Arial" w:eastAsia="Arial" w:hAnsi="Arial"/>
                <w:sz w:val="14"/>
                <w:szCs w:val="14"/>
                <w:b w:val="1"/>
                <w:bCs w:val="1"/>
                <w:color w:val="auto"/>
              </w:rPr>
              <w:t>Fiscal Year Ended</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9"/>
        </w:trPr>
        <w:tc>
          <w:tcPr>
            <w:tcW w:w="454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18"/>
                <w:szCs w:val="18"/>
                <w:b w:val="1"/>
                <w:bCs w:val="1"/>
                <w:color w:val="auto"/>
                <w:vertAlign w:val="superscript"/>
              </w:rPr>
              <w:t>(1)</w:t>
            </w:r>
          </w:p>
        </w:tc>
        <w:tc>
          <w:tcPr>
            <w:tcW w:w="4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9"/>
              </w:rPr>
              <w:t>October 1, 2021</w:t>
            </w: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9"/>
              </w:rPr>
              <w:t>October 2, 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116.9 %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r>
        <w:trPr>
          <w:trHeight w:val="248"/>
        </w:trPr>
        <w:tc>
          <w:tcPr>
            <w:tcW w:w="4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right"/>
              <w:ind w:right="4"/>
              <w:spacing w:after="0"/>
              <w:rPr>
                <w:sz w:val="20"/>
                <w:szCs w:val="20"/>
                <w:color w:val="auto"/>
              </w:rPr>
            </w:pPr>
            <w:r>
              <w:rPr>
                <w:rFonts w:ascii="Arial" w:cs="Arial" w:eastAsia="Arial" w:hAnsi="Arial"/>
                <w:sz w:val="18"/>
                <w:szCs w:val="18"/>
                <w:color w:val="auto"/>
              </w:rPr>
              <w:t>172.3 %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96" w:lineRule="exact"/>
        <w:rPr>
          <w:sz w:val="20"/>
          <w:szCs w:val="20"/>
          <w:color w:val="auto"/>
        </w:rPr>
      </w:pPr>
    </w:p>
    <w:p>
      <w:pPr>
        <w:ind w:right="20" w:firstLine="8"/>
        <w:spacing w:after="0" w:line="239" w:lineRule="auto"/>
        <w:tabs>
          <w:tab w:leader="none" w:pos="148"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As a percentage of total revenue, FSS United States represented 56.3% and 57.4%, FSS International represented 23.7% and 23.0% and Uniform represented 20.0% and 19.6% for fiscal 2021 and fiscal 2020,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Overview</w:t>
      </w:r>
    </w:p>
    <w:p>
      <w:pPr>
        <w:spacing w:after="0" w:line="9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Revenue decreased by approximately 5.7% during fiscal 2021 compared to the prior year period, which was mainly due to COVID-19. The impact from our clients either reducing or ceasing operations was more significant during fiscal 2021 as the pandemic did not materially affect operations until late in the second quarter of fiscal 2020. Revenue began to improve during the second half of fiscal 2021 as lockdowns were lifted and operations began to re-open. The decrease in revenue was also attributable to the estimated impact of the 53rd week in fiscal 2020 (approximately 1.3%). Foreign currency translation favorably impacted fiscal 2021 (approximately 1.3%).</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the cost of services provided (exclusive of depreciation and amortization) by segment and as a percent of revenue for the fiscal years ended October 1, 2021 and October 2, 2020.</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6"/>
        </w:trPr>
        <w:tc>
          <w:tcPr>
            <w:tcW w:w="5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520"/>
              <w:spacing w:after="0"/>
              <w:rPr>
                <w:sz w:val="20"/>
                <w:szCs w:val="20"/>
                <w:color w:val="auto"/>
              </w:rPr>
            </w:pPr>
            <w:r>
              <w:rPr>
                <w:rFonts w:ascii="Arial" w:cs="Arial" w:eastAsia="Arial" w:hAnsi="Arial"/>
                <w:sz w:val="14"/>
                <w:szCs w:val="14"/>
                <w:b w:val="1"/>
                <w:bCs w:val="1"/>
                <w:color w:val="auto"/>
              </w:rPr>
              <w:t>October 1, 2021</w:t>
            </w:r>
          </w:p>
        </w:tc>
        <w:tc>
          <w:tcPr>
            <w:tcW w:w="300" w:type="dxa"/>
            <w:vAlign w:val="bottom"/>
          </w:tcPr>
          <w:p>
            <w:pPr>
              <w:spacing w:after="0"/>
              <w:rPr>
                <w:sz w:val="16"/>
                <w:szCs w:val="16"/>
                <w:color w:val="auto"/>
              </w:rPr>
            </w:pPr>
          </w:p>
        </w:tc>
        <w:tc>
          <w:tcPr>
            <w:tcW w:w="232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October 2, 2020</w:t>
            </w:r>
          </w:p>
        </w:tc>
      </w:tr>
      <w:tr>
        <w:trPr>
          <w:trHeight w:val="184"/>
        </w:trPr>
        <w:tc>
          <w:tcPr>
            <w:tcW w:w="5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services provided (exclusive of depreciation and amortization)</w:t>
            </w:r>
            <w:r>
              <w:rPr>
                <w:rFonts w:ascii="Arial" w:cs="Arial" w:eastAsia="Arial" w:hAnsi="Arial"/>
                <w:sz w:val="9"/>
                <w:szCs w:val="9"/>
                <w:b w:val="1"/>
                <w:bCs w:val="1"/>
                <w:color w:val="auto"/>
              </w:rPr>
              <w:t>(1)</w:t>
            </w: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of Revenue</w:t>
            </w:r>
          </w:p>
        </w:tc>
      </w:tr>
      <w:tr>
        <w:trPr>
          <w:trHeight w:val="224"/>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6,889.4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93.5 %</w:t>
            </w:r>
          </w:p>
        </w:tc>
      </w:tr>
      <w:tr>
        <w:trPr>
          <w:trHeight w:val="230"/>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94.9 %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2,998.4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101.8 %</w:t>
            </w: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83.7 %</w:t>
            </w:r>
          </w:p>
        </w:tc>
      </w:tr>
      <w:tr>
        <w:trPr>
          <w:trHeight w:val="223"/>
        </w:trPr>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91.0 %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93.5 %</w:t>
            </w:r>
          </w:p>
        </w:tc>
      </w:tr>
      <w:tr>
        <w:trPr>
          <w:trHeight w:val="20"/>
        </w:trPr>
        <w:tc>
          <w:tcPr>
            <w:tcW w:w="5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70" w:lineRule="exact"/>
        <w:rPr>
          <w:sz w:val="20"/>
          <w:szCs w:val="20"/>
          <w:color w:val="auto"/>
        </w:rPr>
      </w:pPr>
    </w:p>
    <w:p>
      <w:pPr>
        <w:ind w:right="480" w:firstLine="8"/>
        <w:spacing w:after="0" w:line="312" w:lineRule="auto"/>
        <w:tabs>
          <w:tab w:leader="none" w:pos="204" w:val="left"/>
        </w:tabs>
        <w:numPr>
          <w:ilvl w:val="0"/>
          <w:numId w:val="16"/>
        </w:numPr>
        <w:rPr>
          <w:rFonts w:ascii="Arial" w:cs="Arial" w:eastAsia="Arial" w:hAnsi="Arial"/>
          <w:sz w:val="13"/>
          <w:szCs w:val="13"/>
          <w:color w:val="auto"/>
        </w:rPr>
      </w:pPr>
      <w:r>
        <w:rPr>
          <w:rFonts w:ascii="Arial" w:cs="Arial" w:eastAsia="Arial" w:hAnsi="Arial"/>
          <w:sz w:val="13"/>
          <w:szCs w:val="13"/>
          <w:color w:val="auto"/>
        </w:rPr>
        <w:t>During fiscal 2020, Cost of services provided (exclusive of depreciation and amortization) included severance charges related to COVID-19. The severance charges by segment are the following: FSS United States ($51.8 million), FSS International ($87.3 million) and Uniform ($4.9 million) (see Note 2 to the audited consolidated financial statements).</w:t>
      </w:r>
    </w:p>
    <w:p>
      <w:pPr>
        <w:spacing w:after="0" w:line="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(exclusive of depreciation and amortization) for fiscal 2021 and fiscal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Borders>
              <w:bottom w:val="single" w:sz="8" w:color="auto"/>
            </w:tcBorders>
            <w:gridSpan w:val="3"/>
          </w:tcPr>
          <w:p>
            <w:pPr>
              <w:jc w:val="right"/>
              <w:ind w:right="1214"/>
              <w:spacing w:after="0"/>
              <w:rPr>
                <w:sz w:val="20"/>
                <w:szCs w:val="20"/>
                <w:color w:val="auto"/>
              </w:rPr>
            </w:pPr>
            <w:r>
              <w:rPr>
                <w:rFonts w:ascii="Arial" w:cs="Arial" w:eastAsia="Arial" w:hAnsi="Arial"/>
                <w:sz w:val="14"/>
                <w:szCs w:val="14"/>
                <w:b w:val="1"/>
                <w:bCs w:val="1"/>
                <w:color w:val="auto"/>
              </w:rPr>
              <w:t>Fiscal Year Ended</w:t>
            </w:r>
          </w:p>
        </w:tc>
      </w:tr>
      <w:tr>
        <w:trPr>
          <w:trHeight w:val="188"/>
        </w:trPr>
        <w:tc>
          <w:tcPr>
            <w:tcW w:w="7520" w:type="dxa"/>
            <w:vAlign w:val="bottom"/>
            <w:gridSpan w:val="2"/>
          </w:tcPr>
          <w:p>
            <w:pPr>
              <w:ind w:left="20"/>
              <w:spacing w:after="0"/>
              <w:rPr>
                <w:sz w:val="20"/>
                <w:szCs w:val="20"/>
                <w:color w:val="auto"/>
              </w:rPr>
            </w:pPr>
            <w:r>
              <w:rPr>
                <w:rFonts w:ascii="Arial" w:cs="Arial" w:eastAsia="Arial" w:hAnsi="Arial"/>
                <w:sz w:val="14"/>
                <w:szCs w:val="14"/>
                <w:b w:val="1"/>
                <w:bCs w:val="1"/>
                <w:color w:val="auto"/>
              </w:rPr>
              <w:t>Cost of services provided (exclusive of depreciation and amortization) components</w:t>
            </w: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October 1, 2021</w:t>
            </w:r>
          </w:p>
        </w:tc>
        <w:tc>
          <w:tcPr>
            <w:tcW w:w="1800" w:type="dxa"/>
            <w:vAlign w:val="bottom"/>
          </w:tcPr>
          <w:p>
            <w:pPr>
              <w:jc w:val="right"/>
              <w:ind w:right="334"/>
              <w:spacing w:after="0"/>
              <w:rPr>
                <w:sz w:val="20"/>
                <w:szCs w:val="20"/>
                <w:color w:val="auto"/>
              </w:rPr>
            </w:pPr>
            <w:r>
              <w:rPr>
                <w:rFonts w:ascii="Arial" w:cs="Arial" w:eastAsia="Arial" w:hAnsi="Arial"/>
                <w:sz w:val="14"/>
                <w:szCs w:val="14"/>
                <w:b w:val="1"/>
                <w:bCs w:val="1"/>
                <w:color w:val="auto"/>
              </w:rPr>
              <w:t>October 2, 2020</w:t>
            </w:r>
          </w:p>
        </w:tc>
      </w:tr>
      <w:tr>
        <w:trPr>
          <w:trHeight w:val="224"/>
        </w:trPr>
        <w:tc>
          <w:tcPr>
            <w:tcW w:w="7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Food and support service costs</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r>
      <w:tr>
        <w:trPr>
          <w:trHeight w:val="229"/>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Personnel costs</w:t>
            </w:r>
          </w:p>
        </w:tc>
        <w:tc>
          <w:tcPr>
            <w:tcW w:w="1820" w:type="dxa"/>
            <w:vAlign w:val="bottom"/>
          </w:tcPr>
          <w:p>
            <w:pPr>
              <w:jc w:val="right"/>
              <w:spacing w:after="0"/>
              <w:rPr>
                <w:sz w:val="20"/>
                <w:szCs w:val="20"/>
                <w:color w:val="auto"/>
              </w:rPr>
            </w:pPr>
            <w:r>
              <w:rPr>
                <w:rFonts w:ascii="Arial" w:cs="Arial" w:eastAsia="Arial" w:hAnsi="Arial"/>
                <w:sz w:val="18"/>
                <w:szCs w:val="18"/>
                <w:color w:val="auto"/>
              </w:rPr>
              <w:t>50.3 %</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49.3 %</w:t>
            </w:r>
          </w:p>
        </w:tc>
      </w:tr>
      <w:tr>
        <w:trPr>
          <w:trHeight w:val="229"/>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direct costs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r>
      <w:tr>
        <w:trPr>
          <w:trHeight w:val="223"/>
        </w:trPr>
        <w:tc>
          <w:tcPr>
            <w:tcW w:w="7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7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Operating income (loss) increased by approximately $456.3 million during fiscal 2021 compared to the prior year period. Operating income (loss) was negatively impacted during both fiscal 2021 and 2020 by COVID-19 as clients either reduced or ceased operations at certain locations across all of our segments. Operating income (loss) began to improve during the second half of fiscal 2021 as lockdowns were lifted and operations began to re-open. In addition, operating income (loss) benefited from both United States and non-United States governmental labor related tax credits, which were higher in fiscal 2021 than fiscal 2020 (see Note 1 to the audited consolidated financial statements). The increase in operating income (loss) during fiscal 2021 was attributable to:</w:t>
      </w:r>
    </w:p>
    <w:p>
      <w:pPr>
        <w:spacing w:after="0" w:line="71" w:lineRule="exact"/>
        <w:rPr>
          <w:sz w:val="20"/>
          <w:szCs w:val="20"/>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improved profitability from client re-openings as well as from actions to reduce variable and fixed costs, including headcount reductions primarily taken during the second half of fiscal 2020;</w:t>
      </w:r>
    </w:p>
    <w:p>
      <w:pPr>
        <w:spacing w:after="0" w:line="48"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non-cash goodwill impairment charge in the FSS International segment (approximately $198.6 million) (see Note 4 to the audited consolidated financial statements);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prior year severance charges, mainly related to COVID-19, and current year severance accrual reversals (approximately $166.0 million);</w:t>
      </w:r>
    </w:p>
    <w:p>
      <w:pPr>
        <w:spacing w:after="0" w:line="115" w:lineRule="exact"/>
        <w:rPr>
          <w:rFonts w:ascii="Arial" w:cs="Arial" w:eastAsia="Arial" w:hAnsi="Arial"/>
          <w:sz w:val="17"/>
          <w:szCs w:val="17"/>
          <w:color w:val="auto"/>
        </w:rPr>
      </w:pPr>
    </w:p>
    <w:p>
      <w:pPr>
        <w:ind w:left="660" w:right="22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non-cash charges related to operating lease right-of-use ("ROU") assets, property and equipment and other assets in the FSS United States and FSS International segments, primarily related to client contracts that were reassessed due to the impact of COVID-19 (approximately $30.6 million);</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non-cash charges related to operating lease ROU assets, property and equipment and other assets from disposal by abandonment of certain rental properties in the FSS United States segment (approximately $28.5 million); and</w:t>
      </w:r>
    </w:p>
    <w:p>
      <w:pPr>
        <w:spacing w:after="0" w:line="35"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year non-cash charges related to information technology assets in the FSS United States segment due to discontinued use and non-renewal or expiration of contracts with specific vendors (approximately $26.1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in operating income (loss) during fiscal 2021 more than offset:</w:t>
      </w:r>
    </w:p>
    <w:p>
      <w:pPr>
        <w:spacing w:after="0" w:line="10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personnel costs from incentive expenses related to the annual bonus and employer retirement matching contributions;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higher share-based compensation expense (approximately $40.7 million) (see Note 12 to the audited consolidated financial statements);</w:t>
      </w:r>
    </w:p>
    <w:p>
      <w:pPr>
        <w:spacing w:after="0" w:line="115" w:lineRule="exact"/>
        <w:rPr>
          <w:rFonts w:ascii="Arial" w:cs="Arial" w:eastAsia="Arial" w:hAnsi="Arial"/>
          <w:sz w:val="17"/>
          <w:szCs w:val="17"/>
          <w:color w:val="auto"/>
        </w:rPr>
      </w:pPr>
    </w:p>
    <w:p>
      <w:pPr>
        <w:ind w:left="660" w:right="54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inventory charges, mainly to write down personal protective equipment ("PPE") to its net realizable value in the Uniform segment (approximately $25.0 million);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personnel costs related to sales growth initiatives (approximately $23.8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prior year gain from the insurance proceeds received related to property damage from a tornado in Nashville (approximately $16.3 million).</w:t>
      </w:r>
    </w:p>
    <w:p>
      <w:pPr>
        <w:spacing w:after="0" w:line="1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2021, a non-cash gain related to an equity investment of approximately $137.9 million was recorded, which was partially offset by a non-cash loss from the termination of certain defined benefit pension plans of approximately $60.9 million.</w:t>
      </w:r>
    </w:p>
    <w:p>
      <w:pPr>
        <w:spacing w:after="0" w:line="4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Interest and Other Financing Costs, net, increased 4.9% during fiscal 2021 compared to the prior year period. The increase for fiscal 2021 was primarily due to the issuance of $1,500.0 million of 6.375% Senior Notes, due 2025 (the "6.375% 2025 Notes") in April 2020, partially offset by lower interest from the repayments of $900.0 million of the 5.125% Senior Notes due 2024 (the "5.125% 2024 Notes") in January of fiscal 2020 and $500.0 million of the</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4.75% Senior Notes due 2026 (the "4.75% 2026 Notes") during the third quarter of fiscal 2021 and from lower borrowings on the receivables facility and revolving credit facility.</w:t>
      </w:r>
    </w:p>
    <w:p>
      <w:pPr>
        <w:spacing w:after="0" w:line="5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Benefit for Income Taxes for fiscal 2021 was recorded at an effective rate of 30.6% compared to an effective rate of 28.8% in the prior year. As a result of the CARES Act, we recorded a net benefit to the (Benefit) Provision for Income Taxes of approximately $12.0 million and $58.4 million during fiscal 2021 and fiscal 2020, respectively. The (Benefit) Provision for Income Taxes during fiscal 2021 and fiscal 2020 includes the Net Operating Losses ("NOL") expected to be carried back to Pre-Tax Cut and Jobs Act years, which are benefited at an income tax rate of 35.0% as opposed to the current year rate of 21.0%. During fiscal 2021, we recorded a valuation allowance of $36.5 million against certain foreign tax credits that were re-established by the NOL carryback. Within the FSS International segment, we also recorded during fiscal 2021 and fiscal 2020 a valuation allowance against deferred tax assets in certain subsidiaries from cumulative losses of approximately $22.0 million and $21.4 million, respectively. The effective tax rate for fiscal 2020 also includes income tax benefits of approximately $46.2 million as a result of an excess tax benefit recognized in relation to equity awards exercised during fiscal 2020, including by the former Chairman, President and Chief Executive Officer. The Loss Before Taxes for fiscal 2020 includes a non-cash impairment charge of goodwill of $198.6 million, which is nondeductible for income tax purposes.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is summarized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73"/>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18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Change</w:t>
            </w:r>
          </w:p>
        </w:tc>
      </w:tr>
      <w:tr>
        <w:trPr>
          <w:trHeight w:val="187"/>
        </w:trPr>
        <w:tc>
          <w:tcPr>
            <w:tcW w:w="5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40" w:type="dxa"/>
            <w:vAlign w:val="bottom"/>
          </w:tcPr>
          <w:p>
            <w:pPr>
              <w:jc w:val="right"/>
              <w:ind w:right="253"/>
              <w:spacing w:after="0"/>
              <w:rPr>
                <w:sz w:val="20"/>
                <w:szCs w:val="20"/>
                <w:color w:val="auto"/>
              </w:rPr>
            </w:pPr>
            <w:r>
              <w:rPr>
                <w:rFonts w:ascii="Arial" w:cs="Arial" w:eastAsia="Arial" w:hAnsi="Arial"/>
                <w:sz w:val="14"/>
                <w:szCs w:val="14"/>
                <w:b w:val="1"/>
                <w:bCs w:val="1"/>
                <w:color w:val="auto"/>
              </w:rPr>
              <w:t>October 2, 2020</w:t>
            </w:r>
          </w:p>
        </w:tc>
        <w:tc>
          <w:tcPr>
            <w:tcW w:w="100" w:type="dxa"/>
            <w:vAlign w:val="bottom"/>
          </w:tcPr>
          <w:p>
            <w:pPr>
              <w:spacing w:after="0"/>
              <w:rPr>
                <w:sz w:val="16"/>
                <w:szCs w:val="16"/>
                <w:color w:val="auto"/>
              </w:rPr>
            </w:pPr>
          </w:p>
        </w:tc>
        <w:tc>
          <w:tcPr>
            <w:tcW w:w="1820" w:type="dxa"/>
            <w:vAlign w:val="bottom"/>
          </w:tcPr>
          <w:p>
            <w:pPr>
              <w:jc w:val="right"/>
              <w:ind w:right="762"/>
              <w:spacing w:after="0"/>
              <w:rPr>
                <w:sz w:val="20"/>
                <w:szCs w:val="20"/>
                <w:color w:val="auto"/>
              </w:rPr>
            </w:pPr>
            <w:r>
              <w:rPr>
                <w:rFonts w:ascii="Arial" w:cs="Arial" w:eastAsia="Arial" w:hAnsi="Arial"/>
                <w:sz w:val="14"/>
                <w:szCs w:val="14"/>
                <w:b w:val="1"/>
                <w:bCs w:val="1"/>
                <w:color w:val="auto"/>
              </w:rPr>
              <w:t>%</w:t>
            </w:r>
          </w:p>
        </w:tc>
      </w:tr>
      <w:tr>
        <w:trPr>
          <w:trHeight w:val="224"/>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Education</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2,124.4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2,416.4</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1,535.8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3"/>
        </w:trPr>
        <w:tc>
          <w:tcPr>
            <w:tcW w:w="58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7,366.7</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Healthcare sector had high-single digit operating income margins, consistent with prior year. The Education and Facilities &amp; Other sectors had mid-single digit operating income margins, consistent with prior year. The Business &amp; Industry sector had negative mid-single digit operating income margins, consistent with prior year. The Sports, Leisure &amp; Corrections sector had mid-single digit operating income margins, compared to negative low-single digits in the prior year. As described above, during the COVID-19 pandemic, and in following periods, operating income margins in the FSS United States sectors may differ from our otherwise historical patterns.</w:t>
      </w:r>
    </w:p>
    <w:p>
      <w:pPr>
        <w:spacing w:after="0" w:line="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FSS United States segment revenue decreased by approximately 7.6% during fiscal 2021 compared to the prior year period. The decrease was primarily attributable to COVID-19, which significantly impacted our Business and Industry sector due to many clients working from home instead of the office for a majority of fiscal 2021 compared to half of fiscal 2020 and our Education sector where clients during the 2020-2021 school year either reduced or ceased operations at certain locations, and instead opted for virtual or remote learning. The decrease in revenue was also impacted by the estimated impact of the 53rd week in fiscal 2020 (approximately 1.5%). The Healthcare sector increased due to the acquisition of Next Level Hospitality, which contributed $108.9 million of revenue during fiscal 2021.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income increased by approximately $126.5 million during fiscal 2021 compared to the prior year period. The increase during fiscal 2021 was attributable to:</w:t>
      </w:r>
    </w:p>
    <w:p>
      <w:pPr>
        <w:spacing w:after="0" w:line="35" w:lineRule="exact"/>
        <w:rPr>
          <w:sz w:val="20"/>
          <w:szCs w:val="20"/>
          <w:color w:val="auto"/>
        </w:rPr>
      </w:pPr>
    </w:p>
    <w:p>
      <w:pPr>
        <w:ind w:left="660" w:right="2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profitability from clients re-opening as well as from actions to reduce variable and fixed costs, including headcount reductions primarily taken during the second half of fiscal 2020;</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prior year severance charges, mainly related to COVID-19, and current year severance accrual reversals (approximately $55.6 million);</w:t>
      </w:r>
    </w:p>
    <w:p>
      <w:pPr>
        <w:spacing w:after="0" w:line="115" w:lineRule="exact"/>
        <w:rPr>
          <w:rFonts w:ascii="Arial" w:cs="Arial" w:eastAsia="Arial" w:hAnsi="Arial"/>
          <w:sz w:val="17"/>
          <w:szCs w:val="17"/>
          <w:color w:val="auto"/>
        </w:rPr>
      </w:pPr>
    </w:p>
    <w:p>
      <w:pPr>
        <w:ind w:left="660" w:right="4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non-cash charges related to operating lease ROU assets, property and equipment and other assets from disposal by abandonment of certain rental properties (approximately $28.5 million);</w:t>
      </w:r>
    </w:p>
    <w:p>
      <w:pPr>
        <w:spacing w:after="0" w:line="35"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non-cash charges related to information technology assets due to discontinued use and non-renewal or expiration of contracts with specific vendors (approximately $26.1 million); and</w:t>
      </w:r>
    </w:p>
    <w:p>
      <w:pPr>
        <w:spacing w:after="0" w:line="48"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year non-cash charges related to operating lease ROU assets, property and equipment and other assets, primarily related to client contracts that were reassessed due to the impact of COVID-19 (approximately $19.4 million).</w:t>
      </w:r>
    </w:p>
    <w:p>
      <w:pPr>
        <w:spacing w:after="0" w:line="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These increases in operating income during fiscal 2021 more than offset higher insurance expenses, mainly from our medical program due to operations returning (approximately $9.2 million), and higher personnel costs from sales growth initiatives (approximately $7.1 million) and from incentive expenses related to the annual bonus and employer retirement matching contributions.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FSS International segment revenue decreased by approximately 2.7% during fiscal 2021 compared to the prior year period. The decrease was attributable to the negative impact of COVID-19 from restrictions and higher levels of lockdowns from government mandates in certain countries for a majority of fiscal 2021 compared to half of fiscal 2020, partially offset by the positive impact of foreign currency translation (approximately 5.2%).</w:t>
      </w:r>
    </w:p>
    <w:p>
      <w:pPr>
        <w:spacing w:after="0" w:line="4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Operating income (loss) increased by approximately $402.4 million during fiscal 2021 compared to the prior year period. The increase was mainly attributable to:</w:t>
      </w:r>
    </w:p>
    <w:p>
      <w:pPr>
        <w:spacing w:after="0" w:line="35" w:lineRule="exact"/>
        <w:rPr>
          <w:sz w:val="20"/>
          <w:szCs w:val="20"/>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improved profitability from clients re-opening after COVID-19 restrictions began to lift as well as from actions to reduce variable and fixed costs, including headcount reductions taken during the second half of fiscal 2020;</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higher labor related tax credits provided from government assistance programs (see Note 1 to the audited consolidated financial statements);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year non-cash goodwill impairment charge (approximately $198.6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prior year severance charges, mainly related to COVID-19, and current year severance accrual reversals (approximately $107.5 million);</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charges in the prior year related to a client contract dispute (approximately $12.4 million); and</w:t>
      </w:r>
    </w:p>
    <w:p>
      <w:pPr>
        <w:spacing w:after="0" w:line="103" w:lineRule="exact"/>
        <w:rPr>
          <w:rFonts w:ascii="Arial" w:cs="Arial" w:eastAsia="Arial" w:hAnsi="Arial"/>
          <w:sz w:val="18"/>
          <w:szCs w:val="18"/>
          <w:color w:val="auto"/>
        </w:rPr>
      </w:pPr>
    </w:p>
    <w:p>
      <w:pPr>
        <w:ind w:left="660" w:right="7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year non-cash charges related to property and equipment from client contracts that were reassessed due to the impact of COVID-19 (approximately $11.2 million).</w:t>
      </w:r>
    </w:p>
    <w:p>
      <w:pPr>
        <w:spacing w:after="0" w:line="35" w:lineRule="exact"/>
        <w:rPr>
          <w:sz w:val="20"/>
          <w:szCs w:val="20"/>
          <w:color w:val="auto"/>
        </w:rPr>
      </w:pPr>
    </w:p>
    <w:p>
      <w:pPr>
        <w:ind w:right="560"/>
        <w:spacing w:after="0" w:line="352" w:lineRule="auto"/>
        <w:rPr>
          <w:sz w:val="20"/>
          <w:szCs w:val="20"/>
          <w:color w:val="auto"/>
        </w:rPr>
      </w:pPr>
      <w:r>
        <w:rPr>
          <w:rFonts w:ascii="Arial" w:cs="Arial" w:eastAsia="Arial" w:hAnsi="Arial"/>
          <w:sz w:val="18"/>
          <w:szCs w:val="18"/>
          <w:color w:val="auto"/>
        </w:rPr>
        <w:t xml:space="preserve">These increases in operating income during fiscal 2021 more than offset higher personnel costs from incentive expenses related to the annual bonus. </w:t>
      </w:r>
      <w:r>
        <w:rPr>
          <w:rFonts w:ascii="Arial" w:cs="Arial" w:eastAsia="Arial" w:hAnsi="Arial"/>
          <w:sz w:val="18"/>
          <w:szCs w:val="18"/>
          <w:b w:val="1"/>
          <w:bCs w:val="1"/>
          <w:i w:val="1"/>
          <w:iCs w:val="1"/>
          <w:color w:val="auto"/>
        </w:rPr>
        <w:t>Uniform Segment</w:t>
      </w:r>
    </w:p>
    <w:p>
      <w:pPr>
        <w:ind w:right="120"/>
        <w:spacing w:after="0" w:line="263" w:lineRule="auto"/>
        <w:rPr>
          <w:sz w:val="20"/>
          <w:szCs w:val="20"/>
          <w:color w:val="auto"/>
        </w:rPr>
      </w:pPr>
      <w:r>
        <w:rPr>
          <w:rFonts w:ascii="Arial" w:cs="Arial" w:eastAsia="Arial" w:hAnsi="Arial"/>
          <w:sz w:val="18"/>
          <w:szCs w:val="18"/>
          <w:color w:val="auto"/>
        </w:rPr>
        <w:t>Uniform segment revenue decreased by approximately 3.8% during fiscal 2021 compared to the prior year period. The decrease was primarily attributable to the greater negative impact of COVID-19 in the current year period compared to fiscal 2020 and the estimated impact of the 53rd week in fiscal 2020 (approximately 1.7%), partially offset by improved pricing.</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Operating income decreased by approximately $50.7 million during fiscal 2021 compared to the prior year period. The decrease was attributable to the negative impact of COVID-19, from clients either reducing or ceasing operations at certain locations for a majority of fiscal 2021 compared to half of fiscal 2020. While the negative impact of COVID-19 was partially offset by both United States and non-United States governmental labor related tax credits, the benefit from the credits was lower in fiscal 2021 than fiscal 2020 (see Note 1 to the audited consolidated financial statements). The decrease in operating income was attributable to:</w:t>
      </w:r>
    </w:p>
    <w:p>
      <w:pPr>
        <w:spacing w:after="0" w:line="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inventory charges, mainly to write down PPE to its net realizable value (approximately $25.0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personnel costs related to sales growth initiatives (approximately $16.7 million);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year gain from the insurance proceeds received related to property damage from a tornado in Nashville (approximately $16.3 million);</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personnel costs from incentive expenses related to the annual bonus and employer retirement matching contributions;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year favorable non-cash settlement of a multiemployer pension plan obligation (approximately $6.7 million);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severance charges compared to the prior year period (approximately $3.0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in operating income during fiscal 2021 more than offset:</w:t>
      </w:r>
    </w:p>
    <w:p>
      <w:pPr>
        <w:spacing w:after="0" w:line="10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impact of headcount reductions taken during the second half of fiscal 2020;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in-service rental merchandise amortization compared to fiscal 2020;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merger and integration charges from the AmeriPride acquisition (approximately $2.4 million).</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Corporate</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Corporate expenses, those administrative expenses not allocated to the business segments, increased by approximately $21.9 million during fiscal 2021 compared to the prior year period. The increase was attributable to:</w:t>
      </w:r>
    </w:p>
    <w:p>
      <w:pPr>
        <w:spacing w:after="0" w:line="3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higher share-based compensation expense (approximately $40.7 million) (see Note 12 to the audited consolidated financial statements);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personnel costs from incentive expenses related to the annual bonus.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increases in corporate expenses during fiscal 2021 more than offset:</w:t>
      </w:r>
    </w:p>
    <w:p>
      <w:pPr>
        <w:spacing w:after="0" w:line="9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favorable change in fair value of certain gasoline and diesel agreements (approximately $6.4 million);</w:t>
      </w:r>
    </w:p>
    <w:p>
      <w:pPr>
        <w:spacing w:after="0" w:line="103"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cost discipline and prior year mitigating actions, including headcount reductions primarily taken during the second half of fiscal 2020; and</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prior year severance charges, mainly related to COVID-19, and current year severance accrual reversals (approximately $6.0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220"/>
        <w:spacing w:after="0" w:line="301" w:lineRule="auto"/>
        <w:rPr>
          <w:sz w:val="20"/>
          <w:szCs w:val="20"/>
          <w:color w:val="auto"/>
        </w:rPr>
      </w:pPr>
      <w:r>
        <w:rPr>
          <w:rFonts w:ascii="Arial" w:cs="Arial" w:eastAsia="Arial" w:hAnsi="Arial"/>
          <w:sz w:val="16"/>
          <w:szCs w:val="16"/>
          <w:color w:val="auto"/>
        </w:rPr>
        <w:t>Our principal sources of liquidity are cash generated from operating activities, funds from borrowings and existing cash on hand. As of October 1, 2021, we had $532.6 million of cash and cash equivalents, approximately $1,091.6 million of availability under our senior secured revolving credit facility and $400.0 million of availability under the receivables facility. A significant portion of our cash and cash equivalents are held in mature, liquid geographies where we have operations. As of October 1, 2021, there were approximately $869.5 million of outstanding foreign currency borrowings.</w:t>
      </w:r>
    </w:p>
    <w:p>
      <w:pPr>
        <w:spacing w:after="0" w:line="3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response to the COVID-19 pandemic, we undertook a number of actions during fiscal 2020 to enhance our cash position, including increasing borrowings under our revolving credit facility and under our receivables facility, renegotiations of client contracts, salary and other compensation adjustments and reductions to general corporate expenses. In addition, on April 27, 2020, Aramark Services Inc. (“ASI”), our indirect wholly owned subsidiary, issued $1,500.0 million aggregate principal amount of 6.375% 2025 Notes. We continue to apply effective cost discipline to mitigate the negative impacts of COVID-19 as well as take advantage of relief provisions, including the CARES Act, CAA, and other United States and foreign governmental programs (see Note 1 to the audited consolidated financial statements). During fiscal 2021, we repaid $780.0 million of outstanding borrowings under our United States revolving credit facility, $500.0 million aggregate principal amount of 4.750% 2026 Notes and $315.6 million of outstanding borrowings under the receivables facility utilizing cash and cash equivalents on hand. Additionally, during fiscal 2021, we made $244.2 million of net repayments on term loan borrowings.</w:t>
      </w:r>
    </w:p>
    <w:p>
      <w:pPr>
        <w:spacing w:after="0" w:line="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April 6, 2021, we entered into Amendment No. 11 ("Amendment No. 11") to the Credit Agreement, dated as of March 28, 2017 (as supplemented or otherwise modified from time to time, the "Credit Agreement"), which, among other things, increased the availability on the revolving credit facility by $200.0 million and extended the maturity dates on a portion of the revolving credit facility, a portion of the Canadian dollar denominated term loan due October 2023, a portion of the euro denominated term loan due October 2023 and all of the yen denominated term loan due October 2023, in each case, to April 2026. We also extended the maturity date of the United States dollar denominated term loan due 2024 to April 2028. In addition, on June 25, 2021, we extended the maturity date of our receivables facility from June 2022 to June 2024 (see Note 5 to the audited consolidated financial statements).</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While the full impact of COVID-19 on our long-term liquidity remains uncertain, we currently believe that our cash and cash equivalents and availability under our revolving credit facility and receivables facility will be adequate to meet anticipated cash requirements for the foreseeable future to fund working capital, capital spending, debt service obligations, refinancings, dividends and other cash needs. As a result of the refinancings executed in fiscal 2021, we have no significant debt maturities due until 2025 and we believe we have sufficient flexibility to manage the impact of COVID-19, based on our current assumptions.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impact of COVID-19, including on our liquidity and capital resources, see Part I, Item 1A, "Risk Factors."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115"/>
              <w:spacing w:after="0"/>
              <w:rPr>
                <w:sz w:val="20"/>
                <w:szCs w:val="20"/>
                <w:color w:val="auto"/>
              </w:rPr>
            </w:pPr>
            <w:r>
              <w:rPr>
                <w:rFonts w:ascii="Arial" w:cs="Arial" w:eastAsia="Arial" w:hAnsi="Arial"/>
                <w:sz w:val="14"/>
                <w:szCs w:val="14"/>
                <w:b w:val="1"/>
                <w:bCs w:val="1"/>
                <w:color w:val="auto"/>
              </w:rPr>
              <w:t>Fiscal Year Ended</w:t>
            </w: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5"/>
              <w:spacing w:after="0"/>
              <w:rPr>
                <w:sz w:val="20"/>
                <w:szCs w:val="20"/>
                <w:color w:val="auto"/>
              </w:rPr>
            </w:pPr>
            <w:r>
              <w:rPr>
                <w:rFonts w:ascii="Arial" w:cs="Arial" w:eastAsia="Arial" w:hAnsi="Arial"/>
                <w:sz w:val="14"/>
                <w:szCs w:val="14"/>
                <w:b w:val="1"/>
                <w:bCs w:val="1"/>
                <w:color w:val="auto"/>
              </w:rPr>
              <w:t>October 2, 2020</w:t>
            </w:r>
          </w:p>
        </w:tc>
      </w:tr>
      <w:tr>
        <w:trPr>
          <w:trHeight w:val="224"/>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(361.1)</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Reference to the audited Consolidated Statements of Cash Flows will facilitate understanding of the discussion that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Cash provided by operating activities increased by approximately $480.4 million during fiscal 2021 compared to fiscal 2020, primarily driven by a $552.6 million favorable increase in operating assets and liabilities and by a lower net loss, as discussed in "Results of Operations" above. These increases were partially offset by non-cash gains and losses, including the prior year non-cash impairment charges related to goodwill and other assets of approximately $283.7 million, the current year non-cash gain from our equity investment of approximately $137.9 million and the loss on termination of certain defined benefit pension plans of approximately $60.9 million. The $552.6 million favorable change in operating assets and liabilities compared to the prior year period was primarily due to:</w:t>
      </w:r>
    </w:p>
    <w:p>
      <w:pPr>
        <w:spacing w:after="0" w:line="57" w:lineRule="exact"/>
        <w:rPr>
          <w:sz w:val="20"/>
          <w:szCs w:val="20"/>
          <w:color w:val="auto"/>
        </w:rPr>
      </w:pPr>
    </w:p>
    <w:p>
      <w:pPr>
        <w:ind w:left="660" w:right="4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Accounts payable by $594.2 million, generating a source of cash during fiscal 2021 compared to a use of cash in fiscal 2020 due to the reduction in the prior year balance from COVID-19 and the timing of disbursements whereas the current year balance has increased from client re-openings;</w:t>
      </w:r>
    </w:p>
    <w:p>
      <w:pPr>
        <w:spacing w:after="0" w:line="2" w:lineRule="exact"/>
        <w:rPr>
          <w:rFonts w:ascii="Arial" w:cs="Arial" w:eastAsia="Arial" w:hAnsi="Arial"/>
          <w:sz w:val="16"/>
          <w:szCs w:val="16"/>
          <w:color w:val="auto"/>
        </w:rPr>
      </w:pPr>
    </w:p>
    <w:p>
      <w:pPr>
        <w:ind w:left="660" w:right="120" w:hanging="328"/>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Accrued expenses by $404.8 million, generating a source of cash during fiscal 2021 compared to a use of cash in fiscal 2020 primarily due to the following: operations returning, including higher client advances within our Higher Education business; the deferral of payments permitted under the CARES Act; lower commission payments in our Sports business; and lower payments related to the annual bonus, partially offset by current year severance payments from headcount reductions made in the second half of fiscal 2021; and</w:t>
      </w:r>
    </w:p>
    <w:p>
      <w:pPr>
        <w:spacing w:after="0" w:line="49" w:lineRule="exact"/>
        <w:rPr>
          <w:rFonts w:ascii="Arial" w:cs="Arial" w:eastAsia="Arial" w:hAnsi="Arial"/>
          <w:sz w:val="17"/>
          <w:szCs w:val="17"/>
          <w:color w:val="auto"/>
        </w:rPr>
      </w:pPr>
    </w:p>
    <w:p>
      <w:pPr>
        <w:ind w:left="660" w:right="200" w:hanging="328"/>
        <w:spacing w:after="0" w:line="286"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Prepayment and Other Current Assets by $188.4 million, generating a source of cash during fiscal 2021 compared to a use of cash in fiscal 2020 mainly from proceeds received in the second quarter of fiscal 2021 related to the fiscal 2020 federal income tax return (approximately $93.6 million), whereas the prior year period income tax receivable balance increased due to our net loss position.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These changes in operating assets and liabilities more than offset:</w:t>
      </w:r>
    </w:p>
    <w:p>
      <w:pPr>
        <w:spacing w:after="0" w:line="104" w:lineRule="exact"/>
        <w:rPr>
          <w:sz w:val="20"/>
          <w:szCs w:val="20"/>
          <w:color w:val="auto"/>
        </w:rPr>
      </w:pPr>
    </w:p>
    <w:p>
      <w:pPr>
        <w:ind w:left="660" w:right="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Receivables by $652.9 million, generating a use of cash during fiscal 2021 compared to a source of cash during fiscal 2020 due to the reduction in the prior year balance from COVID-19, whereas the current year balance has increased due to client re-openings.</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Fiscal 2021 and fiscal 2020 include approximately $159.1 million and $101.3 million, respectively, of proceeds associated with labor related tax credits from many foreign jurisdictions in which we operate as a form of relief from COVID-19 (see Note 1 to the audited consolidated financial statements). During fiscal 2021 and fiscal 2020, we received income of approximately $17.0 million and $15.5 million, respectively, related to favorable loss experience in older insurance years under our general liability, automobile liability and workers' compensation programs. The "Change in other noncurrent liabilities" caption was a use of cash during fiscal 2021 compared to a source of cash in fiscal 2020 due to the deferral of the employer portion of social security taxes as permitted under the CARES Act (see Note 1 to the audited consolidated financial statements) and changes in insurance reserves. The "Changes in other assets" caption was less of a source of cash during fiscal 2021 compared to fiscal 2020 mainly from the increase to in-service rental merchandise as customer installations were reduced in fiscal 2020 from the impact of COVID-19. The "Other operating activities" caption reflects mainly adjustments to net loss in the current year and prior year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periods related to non-cash gains and losses, including current year inventory write-downs within the Uniform segment and adjustments to non-operating cash gains and losses, including call premium expenses for debt repayments and the gain from the insurance proceeds of $16.3 million related to property damage from a tornado at one of our Uniform locations in Nashville during fiscal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net cash flows used in investing activities were higher during fiscal 2021 compared to fiscal 2020 due to the acquisition of Next Level Hospitality for $226.1 million (see Note 2 to the audited consolidated financial statements). This increase was partially offset by lower capital expenditures. The "Disposals of property and equipment" caption for fiscal 2020 includes approximately $21.5 million of insurance proceeds related to a tornado at one of our Uniform locations in Nashville. The "Proceeds from governmental agencies related to property and equipment" caption includes approximately $10.0 million and $15.3 million of proceeds during fiscal 2021 and 2020, respectively, relating to the recovery of our investment (possessory interest) at one of the National Park Service sites within our Sports, Leisure &amp; Corrections sector. Fiscal 2020 also includes approximately $8.3 million during fiscal 2020 of proceeds from government grants related to the relocation to our headquarters.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Provided by 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2021,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repayment of borrowings under the United States revolving credit facility ($780.0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4.750% 2026 Notes ($500.0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repayments under the receivables facility ($315.6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repayments of term loan borrowings ($244.2 million);</w:t>
      </w:r>
    </w:p>
    <w:p>
      <w:pPr>
        <w:spacing w:after="0" w:line="103"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debt issuance costs ($17.5 million) and the call premium ($11.9 million) from the repayment of the 4.750% 2026 Notes; and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payment of an earnout related to a prior year acquisition ($7.4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2020, cash provided by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the 6.375% 2025 Notes ($1,500.0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issuance of a new United States dollar denominated term loan due January 2027, net of original issue discount ($898.9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borrowings under the revolving credit facility ($849.9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funding under the receivables facility ($315.6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proceeds from issuance of common stock as a result of higher stock option exercises ($90.0 million); and</w:t>
      </w:r>
    </w:p>
    <w:p>
      <w:pPr>
        <w:spacing w:after="0" w:line="103"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proceeds received from a stockholder in connection with short-swing profits earned through transactions in our common stock, which are included in "Other financing activities" ($14.8 million); which more than offset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repayment of the aggregate principal amount of the 5.125% 2024 Notes ($900.0 million); and</w:t>
      </w:r>
    </w:p>
    <w:p>
      <w:pPr>
        <w:spacing w:after="0" w:line="103"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of fees and expenses related to refinancing activities, which is included in "Other financing activities," including a call premium ($23.1 million) and debt issuance costs ($29.4 million).</w:t>
      </w:r>
    </w:p>
    <w:p>
      <w:pPr>
        <w:spacing w:after="0" w:line="4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fiscal 2021 and fiscal 2020, primarily related to taxes paid by us when we withhold shares upon an employee's exercise or vesting of equity awards to cover income taxes.</w:t>
      </w:r>
    </w:p>
    <w:p>
      <w:pPr>
        <w:spacing w:after="0" w:line="3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second quarter of fiscal 2020, we repurchased 0.3 million shares of our common stock for $6.5 million under the fiscal 2019 share repurchase program, which will expire in July 2022.</w:t>
      </w:r>
    </w:p>
    <w:p>
      <w:pPr>
        <w:spacing w:after="0" w:line="4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February 2, 2021, our stockholders approved the Third Amended and Restated 2013 Stock Incentive Plan, which amended and restated our 2013 Incentive Plan last amended on January 29, 2020. The Third Amended and Restated 2013 Stock Incentive Plan provides for up to 3.5 million of new shares authorized for issuance to participants, in addition to the shares that remained available for issuance under the 2013 Incentive Plan as of February 2, 2021.</w:t>
      </w:r>
    </w:p>
    <w:p>
      <w:pPr>
        <w:spacing w:after="0" w:line="2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February 2, 2021, our stockholders approved the Aramark 2021 Employee Stock Purchase Plan (“ESPP”). The ESPP allows eligible employees to contribute up to 10% of their eligible pay toward the quarterly purchase of our common stock, subject to an annual maximum dollar amount. The purchase price is 85% of the lesser of the i) fair market value per share of our common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as determined on the purchase date or ii) fair market value per share of our common stock as determined on the first trading day of the quarterly offering period. Purchases under the ESPP are made in March, June, September and December. The aggregate number of shares of common stock that may be issued under the ESPP may not exceed 12.5 million shares. Our first purchase window began on April 1, 2021. There were 0.5 million shares purchased under the ESPP during the fiscal year ended October 1, 2021.</w:t>
      </w:r>
    </w:p>
    <w:p>
      <w:pPr>
        <w:spacing w:after="0" w:line="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intend to continue to pay cash dividends on our common stock, subject to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However, the payment of any future dividends will be at the discretion of our Board of Directors and our Board of Directors may, at any time, determine not to continue to declare quarterly dividends.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0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October 1, 2021, we were in compliance with these covenants.</w:t>
      </w:r>
    </w:p>
    <w:p>
      <w:pPr>
        <w:spacing w:after="0" w:line="42"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22, 2020, as a result of the impact of COVID-19 on our business, ASI entered into Amendment No. 9 to the Credit Agreement. Amendment No. 9 provided for a covenant waiver period which suspended the Consolidated Secured Debt Ratio covenant required under the credit agreement for four fiscal quarters, commencing with the fourth quarter of fiscal 2020 through the third quarter of fiscal 2021, subject to, among other things, ongoing compliance with a minimum liquidity condition of $400.0 million and restrictions on making certain restricted payments (including share repurchases) and investments in unrestricted subsidiaries, in each case, as set forth in Amendment No. 9. This exclusion was intended to prevent the effects of COVID-19 from impacting the covenant calculation. The covenant waiver period expired at the beginning of the fourth quarter of fiscal 2021. The Consolidated Secured Debt Ratio debt covenant is once again effective and the amendment adjusted period ended October 1, 2021 consists of results from the third quarter of fiscal 2019 through the first quarter of fiscal 2020 plus the fourth quarter of fiscal 2021, excluding the results of the second quarter of fiscal 2020 through the third quarter of fiscal 2021.</w:t>
      </w:r>
    </w:p>
    <w:p>
      <w:pPr>
        <w:spacing w:after="0" w:line="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(loss) of ASI and its restricted subsidiaries plus interest and other financing costs, net, provision (benefit) for income taxes, and depreciation and amortization, further adjusted to give effect to adjustments required in calculating covenant ratios and compliance under our Credit Agreement and the indentures governing our senior notes.</w:t>
      </w:r>
    </w:p>
    <w:p>
      <w:pPr>
        <w:spacing w:after="0" w:line="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(loss) or operating income (loss) determined in accordance with U.S. GAAP. Covenant Adjusted EBITDA, as presented by us, may not be comparable to other similarly titled measures of other companies because not all companies use identical calculations.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Twelve Month</w:t>
            </w:r>
          </w:p>
        </w:tc>
        <w:tc>
          <w:tcPr>
            <w:tcW w:w="180" w:type="dxa"/>
            <w:vAlign w:val="bottom"/>
          </w:tcPr>
          <w:p>
            <w:pPr>
              <w:spacing w:after="0"/>
              <w:rPr>
                <w:sz w:val="13"/>
                <w:szCs w:val="13"/>
                <w:color w:val="auto"/>
              </w:rPr>
            </w:pPr>
          </w:p>
        </w:tc>
        <w:tc>
          <w:tcPr>
            <w:tcW w:w="1520" w:type="dxa"/>
            <w:vAlign w:val="bottom"/>
          </w:tcPr>
          <w:p>
            <w:pPr>
              <w:jc w:val="center"/>
              <w:ind w:right="96"/>
              <w:spacing w:after="0"/>
              <w:rPr>
                <w:sz w:val="20"/>
                <w:szCs w:val="20"/>
                <w:color w:val="auto"/>
              </w:rPr>
            </w:pPr>
            <w:r>
              <w:rPr>
                <w:rFonts w:ascii="Arial" w:cs="Arial" w:eastAsia="Arial" w:hAnsi="Arial"/>
                <w:sz w:val="13"/>
                <w:szCs w:val="13"/>
                <w:b w:val="1"/>
                <w:bCs w:val="1"/>
                <w:color w:val="auto"/>
                <w:w w:val="87"/>
              </w:rPr>
              <w:t>Amendment Adjusted</w:t>
            </w:r>
          </w:p>
        </w:tc>
      </w:tr>
      <w:tr>
        <w:trPr>
          <w:trHeight w:val="176"/>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Period Ended</w:t>
            </w:r>
          </w:p>
        </w:tc>
        <w:tc>
          <w:tcPr>
            <w:tcW w:w="180" w:type="dxa"/>
            <w:vAlign w:val="bottom"/>
          </w:tcPr>
          <w:p>
            <w:pPr>
              <w:spacing w:after="0"/>
              <w:rPr>
                <w:sz w:val="15"/>
                <w:szCs w:val="15"/>
                <w:color w:val="auto"/>
              </w:rPr>
            </w:pPr>
          </w:p>
        </w:tc>
        <w:tc>
          <w:tcPr>
            <w:tcW w:w="1520" w:type="dxa"/>
            <w:vAlign w:val="bottom"/>
          </w:tcPr>
          <w:p>
            <w:pPr>
              <w:jc w:val="center"/>
              <w:ind w:right="96"/>
              <w:spacing w:after="0" w:line="175" w:lineRule="exact"/>
              <w:rPr>
                <w:sz w:val="20"/>
                <w:szCs w:val="20"/>
                <w:color w:val="auto"/>
              </w:rPr>
            </w:pPr>
            <w:r>
              <w:rPr>
                <w:rFonts w:ascii="Arial" w:cs="Arial" w:eastAsia="Arial" w:hAnsi="Arial"/>
                <w:sz w:val="13"/>
                <w:szCs w:val="13"/>
                <w:b w:val="1"/>
                <w:bCs w:val="1"/>
                <w:color w:val="auto"/>
                <w:w w:val="84"/>
              </w:rPr>
              <w:t>Period Ended</w:t>
            </w:r>
            <w:r>
              <w:rPr>
                <w:rFonts w:ascii="Arial" w:cs="Arial" w:eastAsia="Arial" w:hAnsi="Arial"/>
                <w:sz w:val="16"/>
                <w:szCs w:val="16"/>
                <w:b w:val="1"/>
                <w:bCs w:val="1"/>
                <w:color w:val="auto"/>
                <w:w w:val="84"/>
                <w:vertAlign w:val="superscript"/>
              </w:rPr>
              <w:t>(1)</w:t>
            </w:r>
          </w:p>
        </w:tc>
      </w:tr>
      <w:tr>
        <w:trPr>
          <w:trHeight w:val="168"/>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88"/>
              </w:rPr>
              <w:t>October 1, 2021</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3"/>
                <w:szCs w:val="13"/>
                <w:b w:val="1"/>
                <w:bCs w:val="1"/>
                <w:color w:val="auto"/>
                <w:w w:val="88"/>
              </w:rPr>
              <w:t>October 1, 2021</w:t>
            </w: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ASI stockholder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340.4</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580.5</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29"/>
        </w:trPr>
        <w:tc>
          <w:tcPr>
            <w:tcW w:w="7740" w:type="dxa"/>
            <w:vAlign w:val="bottom"/>
          </w:tcPr>
          <w:p>
            <w:pPr>
              <w:ind w:left="20"/>
              <w:spacing w:after="0" w:line="230" w:lineRule="exact"/>
              <w:rPr>
                <w:sz w:val="20"/>
                <w:szCs w:val="20"/>
                <w:color w:val="auto"/>
              </w:rPr>
            </w:pPr>
            <w:r>
              <w:rPr>
                <w:rFonts w:ascii="Arial" w:cs="Arial" w:eastAsia="Arial" w:hAnsi="Arial"/>
                <w:sz w:val="18"/>
                <w:szCs w:val="18"/>
                <w:color w:val="auto"/>
              </w:rPr>
              <w:t>Unusual or non-recurring (gains) and losses</w:t>
            </w:r>
            <w:r>
              <w:rPr>
                <w:rFonts w:ascii="Arial" w:cs="Arial" w:eastAsia="Arial" w:hAnsi="Arial"/>
                <w:sz w:val="23"/>
                <w:szCs w:val="23"/>
                <w:color w:val="auto"/>
                <w:vertAlign w:val="superscript"/>
              </w:rPr>
              <w:t>(3)</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740" w:type="dxa"/>
            <w:vAlign w:val="bottom"/>
          </w:tcPr>
          <w:p>
            <w:pPr>
              <w:ind w:left="20"/>
              <w:spacing w:after="0" w:line="230" w:lineRule="exact"/>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23"/>
                <w:szCs w:val="23"/>
                <w:color w:val="auto"/>
                <w:vertAlign w:val="superscript"/>
              </w:rPr>
              <w:t>(5)</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26"/>
                <w:szCs w:val="26"/>
                <w:color w:val="auto"/>
                <w:vertAlign w:val="subscript"/>
              </w:rPr>
              <w:t>Other</w:t>
            </w:r>
            <w:r>
              <w:rPr>
                <w:rFonts w:ascii="Arial" w:cs="Arial" w:eastAsia="Arial" w:hAnsi="Arial"/>
                <w:sz w:val="10"/>
                <w:szCs w:val="10"/>
                <w:color w:val="auto"/>
              </w:rPr>
              <w:t>(6)(7)</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Covenant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1,519.0</w:t>
            </w:r>
          </w:p>
        </w:tc>
      </w:tr>
      <w:tr>
        <w:trPr>
          <w:trHeight w:val="20"/>
        </w:trPr>
        <w:tc>
          <w:tcPr>
            <w:tcW w:w="7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00" w:right="20" w:hanging="492"/>
        <w:spacing w:after="0" w:line="259"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covenant waiver period outlined in Amendment No. 9 to our Credit Agreement expired at the beginning of the fourth quarter of fiscal 2021. The Consolidated Secured Debt Ratio debt covenant is once again effective and the amendment adjusted period ended October 1, 2021 consists of results from the third quarter of fiscal 2019 through the first quarter of fiscal 2020 plus the fourth quarter of fiscal 2021, excluding the results of the second quarter of fiscal 2020 through the third quarter of fiscal 2021.</w:t>
      </w:r>
    </w:p>
    <w:p>
      <w:pPr>
        <w:spacing w:after="0" w:line="51" w:lineRule="exact"/>
        <w:rPr>
          <w:rFonts w:ascii="Arial" w:cs="Arial" w:eastAsia="Arial" w:hAnsi="Arial"/>
          <w:sz w:val="18"/>
          <w:szCs w:val="18"/>
          <w:color w:val="auto"/>
        </w:rPr>
      </w:pPr>
    </w:p>
    <w:p>
      <w:pPr>
        <w:ind w:left="500" w:right="20" w:hanging="492"/>
        <w:spacing w:after="0" w:line="342" w:lineRule="auto"/>
        <w:tabs>
          <w:tab w:leader="none" w:pos="4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share-based compensation expense resulting from the application of accounting for stock options, restricted stock units, performance stock units and deferred stock units awards and employee stock purchases (see Note 12 to the audited consolidated financial statements).</w:t>
      </w:r>
    </w:p>
    <w:p>
      <w:pPr>
        <w:spacing w:after="0" w:line="2" w:lineRule="exact"/>
        <w:rPr>
          <w:rFonts w:ascii="Arial" w:cs="Arial" w:eastAsia="Arial" w:hAnsi="Arial"/>
          <w:sz w:val="16"/>
          <w:szCs w:val="16"/>
          <w:color w:val="auto"/>
        </w:rPr>
      </w:pPr>
    </w:p>
    <w:p>
      <w:pPr>
        <w:ind w:left="500" w:right="20" w:hanging="492"/>
        <w:spacing w:after="0" w:line="277" w:lineRule="auto"/>
        <w:tabs>
          <w:tab w:leader="none" w:pos="4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fiscal 2021 non-cash gain from an observable price change on our equity investment ($137.9 million) and the fiscal 2021 non-cash loss from the termination of certain defined benefit pension plans ($60.9 million).</w:t>
      </w:r>
    </w:p>
    <w:p>
      <w:pPr>
        <w:spacing w:after="0" w:line="48" w:lineRule="exact"/>
        <w:rPr>
          <w:rFonts w:ascii="Arial" w:cs="Arial" w:eastAsia="Arial" w:hAnsi="Arial"/>
          <w:sz w:val="18"/>
          <w:szCs w:val="18"/>
          <w:color w:val="auto"/>
        </w:rPr>
      </w:pPr>
    </w:p>
    <w:p>
      <w:pPr>
        <w:ind w:left="500" w:right="280" w:hanging="492"/>
        <w:spacing w:after="0" w:line="263" w:lineRule="auto"/>
        <w:tabs>
          <w:tab w:leader="none" w:pos="4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(loss) income attributable to ASI stockholder. EBITDA for this equity method investee is calculated in a manner consistent with consolidated Covenant Adjusted EBITDA but does not represent cash distributions received from this investee.</w:t>
      </w:r>
    </w:p>
    <w:p>
      <w:pPr>
        <w:spacing w:after="0" w:line="48" w:lineRule="exact"/>
        <w:rPr>
          <w:rFonts w:ascii="Arial" w:cs="Arial" w:eastAsia="Arial" w:hAnsi="Arial"/>
          <w:sz w:val="18"/>
          <w:szCs w:val="18"/>
          <w:color w:val="auto"/>
        </w:rPr>
      </w:pPr>
    </w:p>
    <w:p>
      <w:pPr>
        <w:ind w:left="400" w:hanging="392"/>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annualizing of net EBITDA from acquisitions made during the period.</w:t>
      </w:r>
    </w:p>
    <w:p>
      <w:pPr>
        <w:spacing w:after="0" w:line="90" w:lineRule="exact"/>
        <w:rPr>
          <w:rFonts w:ascii="Arial" w:cs="Arial" w:eastAsia="Arial" w:hAnsi="Arial"/>
          <w:sz w:val="18"/>
          <w:szCs w:val="18"/>
          <w:color w:val="auto"/>
        </w:rPr>
      </w:pPr>
    </w:p>
    <w:p>
      <w:pPr>
        <w:ind w:left="500" w:right="40" w:hanging="492"/>
        <w:spacing w:after="0" w:line="253" w:lineRule="auto"/>
        <w:tabs>
          <w:tab w:leader="none" w:pos="4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for the twelve months ended October 1, 2021 includes non-cash charges for inventory write-downs to net realizable value and for excess inventory related to personal protective equipment ($36.0 million), labor charges, incremental expenses and other expenses associated with closed or partially closed client locations resulting from the COVID-19 pandemic, net of United States and non-United States governmental labor related tax credits ($28.4 million), adjustments to remove the impact attributable to the adoption of certain accounting standards that are made to the calculation in accordance with the Credit Agreement and indentures ($25.3 million), expenses related to merger and integration related charges ($22.2 million), gain from a funding agreement related to a legal matter ($10.0 million), reversal of severance charges ($8.2 million), the gain from the change in fair value related to certain gasoline and diesel agreements ($5.9 million), a favorable settlement of a legal matter ($4.7 million), non-cash impairment charges related to various assets ($3.8 million), charges related to a client contract dispute ($2.6 million), expenses related to the impact of the ice storm in Texas ($2.5 million), a non-cash charge related to an environmental matter ($2.5 million), non-cash charges related to information technology assets ($2.2 million), the impact of hyperinflation in Argentina ($1.8 million) and other miscellaneous expenses.</w:t>
      </w:r>
    </w:p>
    <w:p>
      <w:pPr>
        <w:spacing w:after="0" w:line="58" w:lineRule="exact"/>
        <w:rPr>
          <w:rFonts w:ascii="Arial" w:cs="Arial" w:eastAsia="Arial" w:hAnsi="Arial"/>
          <w:sz w:val="16"/>
          <w:szCs w:val="16"/>
          <w:color w:val="auto"/>
        </w:rPr>
      </w:pPr>
    </w:p>
    <w:p>
      <w:pPr>
        <w:ind w:left="500" w:right="100" w:hanging="492"/>
        <w:spacing w:after="0" w:line="293" w:lineRule="auto"/>
        <w:tabs>
          <w:tab w:leader="none" w:pos="40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"Other" for the amendment adjusted period ended October 1, 2021 includes labor charges, incremental expenses and other expenses associated with closed or partially closed client locations resulting from the COVID-19 pandemic, net of United States and non-United States governmental labor related tax credits ($45.7 million benefit), expenses related to merger and integration related charges ($40.1 million), charges related to certain legal settlements ($27.9 million), adjustments to remove the impact attributable to the adoption of certain accounting standards that are made to the calculation in accordance with the Credit Agreement and indentures ($25.0 million), non-cash charges for inventory write-downs ($16.4 million), non-cash impairment charges related to various assets ($11.9 million), reversal of severance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charges ($11.2 million), compensation expense for retirement contributions and employee training programs funded by the benefits from United States tax reform ($10.9 million), cash compensation charges associated with the retirement of our former chief executive officer ($10.4 million), gain from a funding agreement related to a legal matter ($10.0 million), advisory fees related to shareholder matters ($7.7 million), closing costs mainly related to customer contracts ($7.3 million), the impact of hyperinflation in Argentina ($5.7 million), non-cash charges related to information technology assets ($5.1 million), the gain from the change in fair value related to certain gasoline and diesel agreements ($3.2 million) and other miscellaneous expenses.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requirements and actual ratios for the twelve months ended October 1, 2021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Covenant</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8"/>
              </w:rPr>
              <w:t>Actual</w:t>
            </w:r>
          </w:p>
        </w:tc>
      </w:tr>
      <w:tr>
        <w:trPr>
          <w:trHeight w:val="188"/>
        </w:trPr>
        <w:tc>
          <w:tcPr>
            <w:tcW w:w="7720" w:type="dxa"/>
            <w:vAlign w:val="bottom"/>
          </w:tcPr>
          <w:p>
            <w:pPr>
              <w:spacing w:after="0"/>
              <w:rPr>
                <w:sz w:val="16"/>
                <w:szCs w:val="16"/>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Requirements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8"/>
              </w:rPr>
              <w:t>Ratios</w:t>
            </w:r>
          </w:p>
        </w:tc>
      </w:tr>
      <w:tr>
        <w:trPr>
          <w:trHeight w:val="224"/>
        </w:trPr>
        <w:tc>
          <w:tcPr>
            <w:tcW w:w="77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3"/>
                <w:szCs w:val="23"/>
                <w:color w:val="auto"/>
                <w:vertAlign w:val="superscript"/>
              </w:rPr>
              <w:t>(1)</w:t>
            </w:r>
          </w:p>
        </w:tc>
        <w:tc>
          <w:tcPr>
            <w:tcW w:w="17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2"/>
              </w:rPr>
              <w:t>5.125x</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0"/>
              </w:rPr>
              <w:t>2.32x</w:t>
            </w:r>
          </w:p>
        </w:tc>
      </w:tr>
      <w:tr>
        <w:trPr>
          <w:trHeight w:val="304"/>
        </w:trPr>
        <w:tc>
          <w:tcPr>
            <w:tcW w:w="7720" w:type="dxa"/>
            <w:vAlign w:val="bottom"/>
          </w:tcPr>
          <w:p>
            <w:pPr>
              <w:ind w:left="2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820" w:type="dxa"/>
            <w:vAlign w:val="bottom"/>
            <w:gridSpan w:val="2"/>
          </w:tcPr>
          <w:p>
            <w:pPr>
              <w:ind w:left="1200"/>
              <w:spacing w:after="0"/>
              <w:rPr>
                <w:sz w:val="20"/>
                <w:szCs w:val="20"/>
                <w:color w:val="auto"/>
              </w:rPr>
            </w:pPr>
            <w:r>
              <w:rPr>
                <w:rFonts w:ascii="Arial" w:cs="Arial" w:eastAsia="Arial" w:hAnsi="Arial"/>
                <w:sz w:val="18"/>
                <w:szCs w:val="18"/>
                <w:color w:val="auto"/>
              </w:rPr>
              <w:t>2.000x</w:t>
            </w:r>
          </w:p>
        </w:tc>
        <w:tc>
          <w:tcPr>
            <w:tcW w:w="1700" w:type="dxa"/>
            <w:vAlign w:val="bottom"/>
          </w:tcPr>
          <w:p>
            <w:pPr>
              <w:ind w:left="1280"/>
              <w:spacing w:after="0"/>
              <w:rPr>
                <w:sz w:val="20"/>
                <w:szCs w:val="20"/>
                <w:color w:val="auto"/>
              </w:rPr>
            </w:pPr>
            <w:r>
              <w:rPr>
                <w:rFonts w:ascii="Arial" w:cs="Arial" w:eastAsia="Arial" w:hAnsi="Arial"/>
                <w:sz w:val="18"/>
                <w:szCs w:val="18"/>
                <w:color w:val="auto"/>
                <w:w w:val="90"/>
              </w:rPr>
              <w:t>2.60x</w:t>
            </w:r>
          </w:p>
        </w:tc>
      </w:tr>
    </w:tbl>
    <w:p>
      <w:pPr>
        <w:spacing w:after="0" w:line="46" w:lineRule="exact"/>
        <w:rPr>
          <w:sz w:val="20"/>
          <w:szCs w:val="20"/>
          <w:color w:val="auto"/>
        </w:rPr>
      </w:pPr>
    </w:p>
    <w:p>
      <w:pPr>
        <w:ind w:left="500" w:hanging="492"/>
        <w:spacing w:after="0" w:line="233" w:lineRule="auto"/>
        <w:tabs>
          <w:tab w:leader="none" w:pos="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 The Consolidated Secured Debt Ratio debt covenant was calculated per the terms in Amendment No. 9 to our Credit Agreement, which consists of results from the third quarter of fiscal 2019 through the first quarter of fiscal 2020 plus the fourth quarter of fiscal 2021, excluding the results of the second quarter of fiscal 2020 through the third quarter of fiscal 2021.</w:t>
      </w:r>
    </w:p>
    <w:p>
      <w:pPr>
        <w:spacing w:after="0" w:line="7" w:lineRule="exact"/>
        <w:rPr>
          <w:rFonts w:ascii="Arial" w:cs="Arial" w:eastAsia="Arial" w:hAnsi="Arial"/>
          <w:sz w:val="17"/>
          <w:szCs w:val="17"/>
          <w:color w:val="auto"/>
        </w:rPr>
      </w:pPr>
    </w:p>
    <w:p>
      <w:pPr>
        <w:ind w:left="500" w:right="180" w:hanging="492"/>
        <w:spacing w:after="0" w:line="249" w:lineRule="auto"/>
        <w:tabs>
          <w:tab w:leader="none" w:pos="4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or an event of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the Credit Agreement and pursuant to specified exceptions, and (2) make certain restricted payments, other than pursuant to certain exceptions. However, any failure to maintain the Interest Coverage Ratio would not result in a default or an event of default under either the Credit Agreement or the indentures governing the senior notes. The minimum Interest Coverage Ratio is 2.000x for the term of the Credit Agreement. Consolidated interest expense is defined in the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 The Interest Coverage Ratio was calculated based on the twelve months ended October 1, 2021 and was not required to be adjusted similar to the Consolidated Secured Debt Ratio as prescribed under the terms of Amendment No. 9 to our Credit Agreement.</w:t>
      </w:r>
    </w:p>
    <w:p>
      <w:pPr>
        <w:spacing w:after="0" w:line="5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following table summarizes our future obligations for debt repayments, finance leases, estimated interest payments, future minimum rental and similar commitments under noncancelable operating leases as well as contingent obligations related to outstanding letters of credit and guarantees as of October 1, 2021 (dollars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518"/>
              <w:spacing w:after="0"/>
              <w:rPr>
                <w:sz w:val="20"/>
                <w:szCs w:val="20"/>
                <w:color w:val="auto"/>
              </w:rPr>
            </w:pPr>
            <w:r>
              <w:rPr>
                <w:rFonts w:ascii="Arial" w:cs="Arial" w:eastAsia="Arial" w:hAnsi="Arial"/>
                <w:sz w:val="14"/>
                <w:szCs w:val="14"/>
                <w:b w:val="1"/>
                <w:bCs w:val="1"/>
                <w:color w:val="auto"/>
                <w:w w:val="91"/>
              </w:rPr>
              <w:t>Payments Due by Period</w:t>
            </w: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 as of October 1, 2021</w:t>
            </w:r>
          </w:p>
        </w:tc>
        <w:tc>
          <w:tcPr>
            <w:tcW w:w="200" w:type="dxa"/>
            <w:vAlign w:val="bottom"/>
          </w:tcPr>
          <w:p>
            <w:pPr>
              <w:spacing w:after="0"/>
              <w:rPr>
                <w:sz w:val="11"/>
                <w:szCs w:val="11"/>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88"/>
        </w:trPr>
        <w:tc>
          <w:tcPr>
            <w:tcW w:w="5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Long-term borrowings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7,360,210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4,529,146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2,719,708</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49,816</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Estimated interest payments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0" w:type="dxa"/>
            <w:vAlign w:val="bottom"/>
          </w:tcPr>
          <w:p>
            <w:pPr>
              <w:spacing w:after="0"/>
              <w:rPr>
                <w:sz w:val="1"/>
                <w:szCs w:val="1"/>
                <w:color w:val="auto"/>
              </w:rPr>
            </w:pPr>
          </w:p>
        </w:tc>
      </w:tr>
      <w:tr>
        <w:trPr>
          <w:trHeight w:val="229"/>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Operating leases and other noncancelable commitments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80,265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164,897</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225,598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157,518</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Other liabilities</w:t>
            </w:r>
            <w:r>
              <w:rPr>
                <w:rFonts w:ascii="Arial" w:cs="Arial" w:eastAsia="Arial" w:hAnsi="Arial"/>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242,202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222,109</w:t>
            </w: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5,063,475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3,429,548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4"/>
              </w:rPr>
              <w:t>Amount of Commitment Expiration by Period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35"/>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Commercial Commitments as of October 1, 2021</w:t>
            </w:r>
          </w:p>
        </w:tc>
        <w:tc>
          <w:tcPr>
            <w:tcW w:w="20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Amounts</w:t>
            </w: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Committed</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24"/>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120,500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360" w:hanging="492"/>
        <w:spacing w:after="0" w:line="277" w:lineRule="auto"/>
        <w:tabs>
          <w:tab w:leader="none" w:pos="49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the $53.5 million reduction to long-term borrowings from debt issuance costs and $0.8 million reduction from the discount on the U.S. Term B-4 Loans due 2027.</w:t>
      </w:r>
    </w:p>
    <w:p>
      <w:pPr>
        <w:spacing w:after="0" w:line="35" w:lineRule="exact"/>
        <w:rPr>
          <w:rFonts w:ascii="Arial" w:cs="Arial" w:eastAsia="Arial" w:hAnsi="Arial"/>
          <w:sz w:val="18"/>
          <w:szCs w:val="18"/>
          <w:color w:val="auto"/>
        </w:rPr>
      </w:pPr>
    </w:p>
    <w:p>
      <w:pPr>
        <w:ind w:left="500" w:right="20" w:hanging="492"/>
        <w:spacing w:after="0" w:line="291" w:lineRule="auto"/>
        <w:tabs>
          <w:tab w:leader="none" w:pos="49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amounts represent future interest payments related to our existing debt obligations based on fixed and variable interest rates specified in the associated debt agreements and reflect any current hedging arrangements. Payments related to variable debt are based on applicable rates at October 1, 2021 plus the specified margin in the associated debt agreements for each period presented. The amounts provided relate only to existing debt obligations and do not assume the refinancing or replacement of such debt. The average debt balance for each fiscal year from 2022 through 2027 is $7,477.1 million, $7,407.9 million, $7,346.3 million, $5,379.9 million, $2,933.9 million and $2,334.7 million, respectively. The weighted average interest rate of our existing debt obligations for each fiscal year from 2022 through 2027 is 4.17%, 3.87%, 3.89%, 3.81%, 3.39% and 3.80%, respectively (see Note 5 to the audited consolidated financial statements for the terms and maturities of existing debt obligations).</w:t>
      </w:r>
    </w:p>
    <w:p>
      <w:pPr>
        <w:spacing w:after="0" w:line="44" w:lineRule="exact"/>
        <w:rPr>
          <w:rFonts w:ascii="Arial" w:cs="Arial" w:eastAsia="Arial" w:hAnsi="Arial"/>
          <w:sz w:val="16"/>
          <w:szCs w:val="16"/>
          <w:color w:val="auto"/>
        </w:rPr>
      </w:pPr>
    </w:p>
    <w:p>
      <w:pPr>
        <w:ind w:left="480" w:hanging="472"/>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commitments for capital projects to help finance improvements or renovations at the facilities in which we operate.</w:t>
      </w:r>
    </w:p>
    <w:p>
      <w:pPr>
        <w:spacing w:after="0" w:line="103" w:lineRule="exact"/>
        <w:rPr>
          <w:rFonts w:ascii="Arial" w:cs="Arial" w:eastAsia="Arial" w:hAnsi="Arial"/>
          <w:sz w:val="18"/>
          <w:szCs w:val="18"/>
          <w:color w:val="auto"/>
        </w:rPr>
      </w:pPr>
    </w:p>
    <w:p>
      <w:pPr>
        <w:ind w:left="500" w:right="480" w:hanging="492"/>
        <w:spacing w:after="0" w:line="277" w:lineRule="auto"/>
        <w:tabs>
          <w:tab w:leader="none" w:pos="494" w:val="left"/>
        </w:tabs>
        <w:numPr>
          <w:ilvl w:val="0"/>
          <w:numId w:val="33"/>
        </w:numPr>
        <w:rPr>
          <w:rFonts w:ascii="Arial" w:cs="Arial" w:eastAsia="Arial" w:hAnsi="Arial"/>
          <w:sz w:val="18"/>
          <w:szCs w:val="18"/>
          <w:color w:val="212529"/>
        </w:rPr>
      </w:pPr>
      <w:r>
        <w:rPr>
          <w:rFonts w:ascii="Arial" w:cs="Arial" w:eastAsia="Arial" w:hAnsi="Arial"/>
          <w:sz w:val="18"/>
          <w:szCs w:val="18"/>
          <w:color w:val="auto"/>
        </w:rPr>
        <w:t xml:space="preserve">Includes certain unfunded employee retirement obligations, contingent consideration, deferred </w:t>
      </w:r>
      <w:r>
        <w:rPr>
          <w:rFonts w:ascii="Arial" w:cs="Arial" w:eastAsia="Arial" w:hAnsi="Arial"/>
          <w:sz w:val="18"/>
          <w:szCs w:val="18"/>
          <w:color w:val="212529"/>
        </w:rPr>
        <w:t>social security taxes, self-insurance obligations,</w:t>
      </w:r>
      <w:r>
        <w:rPr>
          <w:rFonts w:ascii="Arial" w:cs="Arial" w:eastAsia="Arial" w:hAnsi="Arial"/>
          <w:sz w:val="18"/>
          <w:szCs w:val="18"/>
          <w:color w:val="auto"/>
        </w:rPr>
        <w:t xml:space="preserve"> severance obligations and other obligations.</w:t>
      </w:r>
    </w:p>
    <w:p>
      <w:pPr>
        <w:spacing w:after="0" w:line="3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excluded from the table above uncertain tax liabilities due to the uncertainty of the amount and period of payment. As of October 1, 2021, we have gross uncertain tax liabilities of $65.4 million (see Note 10 to the audited consolidated financial statements). During fiscal 2021, we made contributions totaling $3.6 million into our defined benefit pension plans. Estimated contributions to our defined benefit pension plans in fiscal 2022 are $6.3 million (see Note 9 to the audited consolidated financial statements).</w:t>
      </w:r>
    </w:p>
    <w:p>
      <w:pPr>
        <w:spacing w:after="0" w:line="6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an agreement (the "Receivables Facility") with three financial institutions where we sell on a continuous basis an undivided interest in all eligible accounts receivable, as defined in the Receivables Facility. The maximum amount available under the Receivables Facility is $400.0 million. In addition, the Receivables Facility includes a seasonal tranche which increases the capacity of the Receivables Facility and the maximum amount available by $100.0 million from October through March. During the third quarter of fiscal 2021, we extended the scheduled maturity date of the Receivables Facility from June 2022 to June 2024. All other terms and conditions of the agreement remained largely unchanged. As of October 1, 2021, there are no outstanding borrowings under the Receivables Facility. Amounts borrowed under the Receivables Facility fluctuate monthly based on our funding requirements and the level of qualified receivables available to collateralize the Receivables Facility.</w:t>
      </w:r>
    </w:p>
    <w:p>
      <w:pPr>
        <w:spacing w:after="0" w:line="5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Pursuant to the Receivables Facility, we formed ARAMARK Receivables, LLC, a wholly-owned, consolidated, bankruptcy-remote subsidiary. ARAMARK Receivables, LLC was formed for the sole purpose of buying and selling receivables generated by certain of our subsidiaries. Under the Receivables Facility, we and certain of our subsidiaries transfer without recourse all of</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accounts receivable to ARAMARK Receivables, LLC. As collections reduce previously transferred interests, interests in new, eligible receivables are transferred to ARAMARK Receivables, LLC, subject to meeting certain conditions.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10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Pursuant to Regulation S-X Rule 13-01, which simplified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activities do not include the use of unconsolidated special purpose entities and there are no significant business transactions that have not been reflected in the accompanying audited consolidated financial statements. We insure portions of our general liability, automobile liability and workers’ compensation risks through a wholly owned captive insurance subsidiary (the "Captive") to enhance our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October 1, 2021. These regulations may have the effect of limiting our ability to access certain cash and cash equivalents held by the Captive for uses other than for the payment of our general liability, automobile liability and workers’ compensation claims and related Captive costs. As of October 1, 2021 and October 2, 2020, cash and cash equivalents at the Captive were $194.3 million and $92.1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significant accounting policies are described in the notes to the audited consolidated financial statements included in this Annual Report. As described in such notes, we recognize revenue in the period in which the performance obligation is satisfied. See Note 7 to our audited consolidated financial statements for further information related to our revenue recognition policy.</w:t>
      </w:r>
    </w:p>
    <w:p>
      <w:pPr>
        <w:spacing w:after="0" w:line="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Determinations</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Goodwill, the Aramark trade name and other trade names are primarily indefinite lived intangible assets that are not amortized and are subject to an impairment test that we conduct annually or more frequently if a change in circumstances or the occurrence of events indicates that potential impairment exists. The impairment test may first consider qualitative factors to determine whether it is more likely than not that the fair value of a reporting unit is less than its carrying amount. Examples of qualitative factors include, macroeconomic conditions, industry and market considerations, cost factors, overall financial performance, entity-specific events, events affecting reporting units and sustained changes in our stock price. If results of the qualitative assessment indicate a more likely than not determination or if a qualitative assessment is not performed, a quantitative test is performed by comparing the estimated fair value using discounted cash flow calculations of each reporting unit with its estimated net book value.</w:t>
      </w:r>
    </w:p>
    <w:p>
      <w:pPr>
        <w:spacing w:after="0" w:line="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perform the assessment of goodwill at the reporting unit level. Within our FSS International segment, each country or region is evaluated separately since they are relatively autonomous and separate goodwill balances have been recorded for each entity. During the fourth quarter of fiscal 2021, we performed the annual impairment test for goodwill for each of our reporting units using a quantitative testing approach. Based on our evaluation performed, we determined that the fair value of each of the reporting units significantly exceeded its respective carrying amount, and therefore, we determined that goodwill was not impaired.</w:t>
      </w:r>
    </w:p>
    <w:p>
      <w:pPr>
        <w:spacing w:after="0" w:line="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fiscal 2020, we identified a triggering event from the decline in our stock price resulting from COVID-19. As a result, we performed a quantitative impairment test as of March 27, 2020 and recognized a non-cash impairment charge of $198.6 million related to one reporting unit within our FSS International segment in the Consolidated Statements of (Loss) Income for the fiscal year ended October 2, 2020. For tax purposes, the impairment charge was not tax deductible. The impaired reporting unit has a remaining goodwill balance of $91.0 million as of October 1,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the underlying margin projection assumptions, future growth rates and the discount rate. If our assumptions or estimates in our fair value calculations change or if future cash flows, margin projections or future growth rates vary from what was expected, including those assumptions relating to the duration and severity of COVID-19, this may impact our impairment analysis and could reduce the underlying cash flows used to estimate fair values and result in a decline in fair value that may trigger future impairment charges.</w:t>
      </w:r>
    </w:p>
    <w:p>
      <w:pPr>
        <w:spacing w:after="0" w:line="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With respect to our other long-lived assets, we are required to test for asset impairment whenever events or circumstances indicate that the carrying value of an asset may not be recoverable. If indicators of impairment are present, we compare the sum of the future expected cash flows from the asset, undiscounted and without interest charges, to the asset’s carrying value. If the sum of the future expected cash flows from the asset is less than the carrying value, an impairment would be recognized for the difference between the estimated fair value and the carrying value of the asset.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making future cash flow analyses of various assets, we make assumptions relating to the following:</w:t>
      </w:r>
    </w:p>
    <w:p>
      <w:pPr>
        <w:spacing w:after="0" w:line="104" w:lineRule="exact"/>
        <w:rPr>
          <w:sz w:val="20"/>
          <w:szCs w:val="20"/>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intended use of assets and the expected future cash flows resulting directly from such use;</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Comparable market valuations of businesses similar to Aramark's business segments;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Industry specific economic conditions;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 activities and regulatory initiatives; and</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Client and customer preferences and behavior patterns.</w:t>
      </w:r>
    </w:p>
    <w:p>
      <w:pPr>
        <w:spacing w:after="0" w:line="10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believe that an accounting estimate relating to asset impairment is a critical accounting estimate because the assumptions underlying future cash flow estimates are subject to change from time to time and the recognition of an impairment could have a significant impact on our consolidated statements of (loss) income.</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fiscal 2020, we recorded non-cash impairment charges related to the following: abandonment of rental properties ($28.5 million), information technology assets from either discontinue of use or contracts terminated ($26.1 million) and from client contracts that were reassessed due to the impact of COVID-19 ($30.6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Claims</w:t>
      </w:r>
    </w:p>
    <w:p>
      <w:pPr>
        <w:spacing w:after="0" w:line="10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and our subsidiaries are party to various legal actions, proceedings and investigations involving claims incidental to the conduct of our businesses,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 of contractual and other obligations. We consider the measurement of litigation reserves as a critical accounting estimate because of the significant uncertainty in some cases relating to the outcome of potential claims or litigation and the difficulty of predicting the likelihood and range of potential liability involved, coupled with the material impact on our results of operations that could result from litigation or other claims. In determining legal reserves, we consider, among other issues:</w:t>
      </w:r>
    </w:p>
    <w:p>
      <w:pPr>
        <w:spacing w:after="0" w:line="64" w:lineRule="exact"/>
        <w:rPr>
          <w:sz w:val="20"/>
          <w:szCs w:val="20"/>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interpretation of contractual rights and obligations;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status of government regulatory initiatives, interpretations and investigations;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status of settlement negotiations;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experience with similar types of claims;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there is available insurance; and</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advice of counsel.</w:t>
      </w:r>
    </w:p>
    <w:p>
      <w:pPr>
        <w:spacing w:after="0" w:line="9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are involved in a dispute with a client regarding Aramark’s provision of services pursuant to a contract. We continue to simultaneously litigate the matter and attempt to reach a negotiated resolution. We recorded a reserve for this matter as it is probable that a liability has been incurred and the amount of the loss can be reasonably estimated. As of October 1, 2021 and October 2, 2020, we have accrued our best estimate of the probable loss associated with this contract, which is approximately $19.1 million and $16.3 million, respectively. We continue to believe it is reasonably possible that this potential exposure may change in the near term based on the outcome of either the settlement negotiations or through continued litigation.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9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encounter credit loss risks associated with the collection of receivables. We analyze historical experience, current general and specific industry economic conditions, industry concentrations, such as exposure to small and medium-sized businesses, the non-profit healthcare sector, federal and local governments, and reasonable and supportable forecasts that affect the collectability of the reported amount in estimating credit losses. The accounting estimate related to the allowance for credit losses is a critical accounting estimate because the underlying assumptions used for the allowance can change from time to time and credit losses could potentially have a material impact on our results of operations. We adopted a new accounting standard related to the measurement of expected credit losses as of October 3, 2020 (the first day of fiscal 2021) (see Note 1 to the audited consolidated financial statements).</w:t>
      </w:r>
    </w:p>
    <w:p>
      <w:pPr>
        <w:spacing w:after="0" w:line="43" w:lineRule="exact"/>
        <w:rPr>
          <w:sz w:val="20"/>
          <w:szCs w:val="20"/>
          <w:color w:val="auto"/>
        </w:rPr>
      </w:pPr>
    </w:p>
    <w:p>
      <w:pPr>
        <w:ind w:right="1060"/>
        <w:spacing w:after="0" w:line="352" w:lineRule="auto"/>
        <w:rPr>
          <w:sz w:val="20"/>
          <w:szCs w:val="20"/>
          <w:color w:val="auto"/>
        </w:rPr>
      </w:pPr>
      <w:r>
        <w:rPr>
          <w:rFonts w:ascii="Arial" w:cs="Arial" w:eastAsia="Arial" w:hAnsi="Arial"/>
          <w:sz w:val="18"/>
          <w:szCs w:val="18"/>
          <w:color w:val="auto"/>
        </w:rPr>
        <w:t xml:space="preserve">As of October 1, 2021 and October 2, 2020, our allowance for credit losses was approximately $79.6 million and $74.9 million, respectively. </w:t>
      </w:r>
      <w:r>
        <w:rPr>
          <w:rFonts w:ascii="Arial" w:cs="Arial" w:eastAsia="Arial" w:hAnsi="Arial"/>
          <w:sz w:val="18"/>
          <w:szCs w:val="18"/>
          <w:b w:val="1"/>
          <w:bCs w:val="1"/>
          <w:i w:val="1"/>
          <w:iCs w:val="1"/>
          <w:color w:val="auto"/>
        </w:rPr>
        <w:t>Inventory Obsolescence</w:t>
      </w:r>
    </w:p>
    <w:p>
      <w:pPr>
        <w:ind w:right="180"/>
        <w:spacing w:after="0" w:line="257" w:lineRule="auto"/>
        <w:rPr>
          <w:sz w:val="20"/>
          <w:szCs w:val="20"/>
          <w:color w:val="auto"/>
        </w:rPr>
      </w:pPr>
      <w:r>
        <w:rPr>
          <w:rFonts w:ascii="Arial" w:cs="Arial" w:eastAsia="Arial" w:hAnsi="Arial"/>
          <w:sz w:val="18"/>
          <w:szCs w:val="18"/>
          <w:color w:val="auto"/>
        </w:rPr>
        <w:t>We record an inventory obsolescence reserve for obsolete, excess and slow-moving inventory, principally in the Uniform segment. In calculating our inventory obsolescence reserve, we analyze historical and projected data regarding customer demand within specific product categories and make assumptions regarding economic conditions within customer specific industries, as well as style and product changes. Our accounting estimate related to inventory obsolescence is a critical accounting estimate because customer demand in certain of our businesses can be variable and changes in our reserve for inventory obsolescence could materially affect our results of operations.</w:t>
      </w:r>
    </w:p>
    <w:p>
      <w:pPr>
        <w:spacing w:after="0" w:line="66" w:lineRule="exact"/>
        <w:rPr>
          <w:sz w:val="20"/>
          <w:szCs w:val="20"/>
          <w:color w:val="auto"/>
        </w:rPr>
      </w:pPr>
    </w:p>
    <w:p>
      <w:pPr>
        <w:ind w:right="480"/>
        <w:spacing w:after="0" w:line="352" w:lineRule="auto"/>
        <w:rPr>
          <w:sz w:val="20"/>
          <w:szCs w:val="20"/>
          <w:color w:val="auto"/>
        </w:rPr>
      </w:pPr>
      <w:r>
        <w:rPr>
          <w:rFonts w:ascii="Arial" w:cs="Arial" w:eastAsia="Arial" w:hAnsi="Arial"/>
          <w:sz w:val="18"/>
          <w:szCs w:val="18"/>
          <w:color w:val="auto"/>
        </w:rPr>
        <w:t xml:space="preserve">As of October 1, 2021 and October 2, 2020, our reserve for inventory obsolescence was approximately $45.7 million and $36.7 million, respectively. </w:t>
      </w:r>
      <w:r>
        <w:rPr>
          <w:rFonts w:ascii="Arial" w:cs="Arial" w:eastAsia="Arial" w:hAnsi="Arial"/>
          <w:sz w:val="18"/>
          <w:szCs w:val="18"/>
          <w:b w:val="1"/>
          <w:bCs w:val="1"/>
          <w:i w:val="1"/>
          <w:iCs w:val="1"/>
          <w:color w:val="auto"/>
        </w:rPr>
        <w:t>Self-Insurance Reserves</w:t>
      </w:r>
    </w:p>
    <w:p>
      <w:pPr>
        <w:spacing w:after="0" w:line="269" w:lineRule="auto"/>
        <w:rPr>
          <w:sz w:val="20"/>
          <w:szCs w:val="20"/>
          <w:color w:val="auto"/>
        </w:rPr>
      </w:pPr>
      <w:r>
        <w:rPr>
          <w:rFonts w:ascii="Arial" w:cs="Arial" w:eastAsia="Arial" w:hAnsi="Arial"/>
          <w:sz w:val="17"/>
          <w:szCs w:val="17"/>
          <w:color w:val="auto"/>
        </w:rPr>
        <w:t>We self-insure for obligations related to certain risks that we retain under our casualty program, which includes general liability, automobile liability and workers’ compensation claims, as well as for our employee health care benefit programs. The accounting estimates related to our self-insurance reserves are critical accounting estimates because changes in our claim experience, our ability to settle claims or other estimates and judgments we use could potentially have a material impact on our results of operations. Our reserves for retained costs associated with our casualty program are estimated through actuarial methods, with the assistance of third-party actuaries, using loss development assumptions based on our claims history. Our casualty program reserves take into account reported claims as well as incurred-but-not-reported losses using loss development factors based upon past experience. In order to determine the loss development factors, we make judgments relating to the nature, frequency, severity, and age of claims, and industry, regulatory, and company-specific trends impacting the development of claims. The actual cost to settle our self-insured casualty claim liabilities can differ from our reserve estimates because of a number of uncertainties, including the inherent difficulty in estimating the severity of a claim and the potential amount to defend and settle a claim.</w:t>
      </w:r>
    </w:p>
    <w:p>
      <w:pPr>
        <w:spacing w:after="0" w:line="64" w:lineRule="exact"/>
        <w:rPr>
          <w:sz w:val="20"/>
          <w:szCs w:val="20"/>
          <w:color w:val="auto"/>
        </w:rPr>
      </w:pPr>
    </w:p>
    <w:p>
      <w:pPr>
        <w:ind w:right="1100"/>
        <w:spacing w:after="0" w:line="352" w:lineRule="auto"/>
        <w:rPr>
          <w:sz w:val="20"/>
          <w:szCs w:val="20"/>
          <w:color w:val="auto"/>
        </w:rPr>
      </w:pPr>
      <w:r>
        <w:rPr>
          <w:rFonts w:ascii="Arial" w:cs="Arial" w:eastAsia="Arial" w:hAnsi="Arial"/>
          <w:sz w:val="18"/>
          <w:szCs w:val="18"/>
          <w:color w:val="auto"/>
        </w:rPr>
        <w:t xml:space="preserve">As of October 1, 2021 and October 2, 2020, our self-insurance reserves were approximately $235.7 million and $250.1 million, respectively. </w:t>
      </w:r>
      <w:r>
        <w:rPr>
          <w:rFonts w:ascii="Arial" w:cs="Arial" w:eastAsia="Arial" w:hAnsi="Arial"/>
          <w:sz w:val="18"/>
          <w:szCs w:val="18"/>
          <w:b w:val="1"/>
          <w:bCs w:val="1"/>
          <w:i w:val="1"/>
          <w:iCs w:val="1"/>
          <w:color w:val="auto"/>
        </w:rPr>
        <w:t>Income Taxes</w:t>
      </w:r>
    </w:p>
    <w:p>
      <w:pPr>
        <w:spacing w:after="0" w:line="290" w:lineRule="auto"/>
        <w:rPr>
          <w:sz w:val="20"/>
          <w:szCs w:val="20"/>
          <w:color w:val="auto"/>
        </w:rPr>
      </w:pPr>
      <w:r>
        <w:rPr>
          <w:rFonts w:ascii="Arial" w:cs="Arial" w:eastAsia="Arial" w:hAnsi="Arial"/>
          <w:sz w:val="16"/>
          <w:szCs w:val="16"/>
          <w:color w:val="auto"/>
        </w:rPr>
        <w:t>We use the asset and liability method of accounting for income taxes. Under this method, income tax expense is recognized for the amount of taxes payable or refundable for the current year and for deferred tax liabilities and assets for the future tax consequences of events that have been recognized in our consolidated financial statements or tax returns. We make assumptions, judgments and estimates to determine the current income tax provision (benefit), deferred tax asset and liabilities and valuation allowance recorded against a deferred tax asset. The assumptions, judgments and estimates relative to the current income tax provision (benefit) take into account current tax laws, their interpretation and possible results of foreign and domestic tax audits. Changes in tax law, their interpretation and resolution of tax audits could significantly impact the income taxes provided in our consolidated financial statements. Assumptions, judgments and estimates relative to the amount of deferred income taxes take into account future taxable income. Any of the assumptions, judgments and estimates mentioned above could cause the actual income tax obligations to differ from our estimates.</w:t>
      </w:r>
    </w:p>
    <w:p>
      <w:pPr>
        <w:spacing w:after="0" w:line="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October 1, 2021 and October 2, 2020, our valuation allowance reserves recorded against deferred tax assets were approximately $97.5 million and $39.0 million, respectively (see Note 10 to the audited consolidated financial statements).</w:t>
      </w:r>
    </w:p>
    <w:p>
      <w:pPr>
        <w:spacing w:after="0" w:line="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9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See Note 1 to the audited consolidated financial statements for a full description of recent accounting standards updates, including the expected dates of adoption.</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information below summarizes our market risks associated with debt obligations and other significant financial instruments as of October 1, 2021 (see Notes 5 and 6 to the audited consolidated financial statements). Fair values were computed using market quotes, if available, or based on discounted cash flows using market interest rates as of the end of the respective periods. For debt obligations, the table presents principal cash flows and related interest rates by contractual fiscal year of maturity. Variable interest rates disclosed represent the weighted-average rates of the portfolio at October 1, 2021. For interest rate swaps, the table presents the notional amounts and related weighted-average interest rates by fiscal year of maturity. The variable rates presented are the average forward rates for the term of each contract.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(US$ equivalent in millions)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6"/>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4"/>
              </w:rPr>
              <w:t>Expected Fiscal Year of Maturity</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84"/>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October 1, 2021</w:t>
            </w:r>
          </w:p>
        </w:tc>
        <w:tc>
          <w:tcPr>
            <w:tcW w:w="22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Fixed rate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2,496</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3,787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center"/>
              <w:ind w:left="135"/>
              <w:spacing w:after="0"/>
              <w:rPr>
                <w:sz w:val="20"/>
                <w:szCs w:val="20"/>
                <w:color w:val="auto"/>
              </w:rPr>
            </w:pPr>
            <w:r>
              <w:rPr>
                <w:rFonts w:ascii="Arial" w:cs="Arial" w:eastAsia="Arial" w:hAnsi="Arial"/>
                <w:sz w:val="18"/>
                <w:szCs w:val="18"/>
                <w:color w:val="auto"/>
                <w:w w:val="88"/>
              </w:rPr>
              <w:t>3,908</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Variable rate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1,724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3"/>
              <w:spacing w:after="0"/>
              <w:rPr>
                <w:sz w:val="20"/>
                <w:szCs w:val="20"/>
                <w:color w:val="auto"/>
              </w:rPr>
            </w:pPr>
            <w:r>
              <w:rPr>
                <w:rFonts w:ascii="Arial" w:cs="Arial" w:eastAsia="Arial" w:hAnsi="Arial"/>
                <w:sz w:val="18"/>
                <w:szCs w:val="18"/>
                <w:color w:val="auto"/>
              </w:rPr>
              <w:t>3,733</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center"/>
              <w:ind w:left="135"/>
              <w:spacing w:after="0"/>
              <w:rPr>
                <w:sz w:val="20"/>
                <w:szCs w:val="20"/>
                <w:color w:val="auto"/>
              </w:rPr>
            </w:pPr>
            <w:r>
              <w:rPr>
                <w:rFonts w:ascii="Arial" w:cs="Arial" w:eastAsia="Arial" w:hAnsi="Arial"/>
                <w:sz w:val="18"/>
                <w:szCs w:val="18"/>
                <w:color w:val="auto"/>
                <w:w w:val="88"/>
              </w:rPr>
              <w:t>3,674</w:t>
            </w: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 rate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Rate Swaps: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Receive variable/pay fixed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155"/>
              <w:spacing w:after="0"/>
              <w:rPr>
                <w:sz w:val="20"/>
                <w:szCs w:val="20"/>
                <w:color w:val="auto"/>
              </w:rPr>
            </w:pPr>
            <w:r>
              <w:rPr>
                <w:rFonts w:ascii="Arial" w:cs="Arial" w:eastAsia="Arial" w:hAnsi="Arial"/>
                <w:sz w:val="18"/>
                <w:szCs w:val="18"/>
                <w:color w:val="auto"/>
                <w:w w:val="93"/>
              </w:rPr>
              <w:t>(67)</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Average pay rate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receive rate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16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of October 1, 2021, we had foreign currency forward exchange contracts outstanding with nominal notional amounts to mitigate the risk of changes in foreign currency exchange rates on short-term intercompany loans to certain international subsidiaries. As of October 1, 2021, the fair value of these foreign exchange contracts is immaterial and included in "Accounts Payable" on our Consolidated Balance Sheets.</w:t>
      </w:r>
    </w:p>
    <w:p>
      <w:pPr>
        <w:spacing w:after="0" w:line="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entered into a series of pay fixed/receive floating gasoline and diesel fuel agreements based on the Department of Energy weekly retail on-highway index in order to limit our exposure to price fluctuations for gasoline and diesel fuel. As of October 1, 2021, we had contracts for approximately 6.0 million gallons outstanding through June of fiscal 2022. As of October 1, 2021, the fair value of our gasoline and diesel fuel hedge agreements is $2.6 million, which is included in "Prepayments and other current assets" on our Consolidated Balance Sheets.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Financial Statements and Schedule beginning on page S-1.</w:t>
      </w:r>
    </w:p>
    <w:p>
      <w:pPr>
        <w:spacing w:after="0" w:line="221" w:lineRule="exact"/>
        <w:rPr>
          <w:sz w:val="20"/>
          <w:szCs w:val="20"/>
          <w:color w:val="auto"/>
        </w:rPr>
      </w:pPr>
    </w:p>
    <w:p>
      <w:pPr>
        <w:ind w:right="3660"/>
        <w:spacing w:after="0" w:line="391"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Not applicable.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 Management’s Annual Report on Internal Control Over Financial Reporting</w:t>
      </w:r>
    </w:p>
    <w:p>
      <w:pPr>
        <w:spacing w:after="0" w:line="1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upon criteria established in Internal Control – Integrated Framework (2013) by the Committee of Sponsoring Organizations of the Treadway Commission. Based on that evaluation, our management concluded that our internal control over financial reporting was effective as of October 1, 2021. The effectiveness of our internal control over financial reporting as of October 1, 2021 has been audited by Deloitte &amp; Touche LLP, our independent registered public accounting firm, as stated in their report that is included herein on the following page.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(c) Change in Internal Control over Financial Reporting</w:t>
      </w:r>
    </w:p>
    <w:p>
      <w:pPr>
        <w:spacing w:after="0" w:line="10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No change in our internal control over financial reporting occurred during our fourth quarter of fiscal 2021 that has materially affected, or is reasonably likely to materially affect, our internal control over financial reporting.</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Aramark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Aramark and subsidiaries (the "Company") as of October 1,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October 1,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COSO.</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October 1, 2021, of the Company and our report dated November 23, 2021, expressed an unqualified opinion on those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November 23, 2021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right="4179"/>
        <w:spacing w:after="0" w:line="37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16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Information about our directors and persons nominated to become directors required by Item 10 will be included under the caption "Proposal No. 1 - Election of Directors" in our Proxy Statement for the 2022 Annual Meeting of Stockholders and is incorporated herein by reference. Information about our executive officers is included under the caption “Information About Our Executive Officers” in Part I of this report and incorporated herein.</w:t>
      </w:r>
    </w:p>
    <w:p>
      <w:pPr>
        <w:spacing w:after="0" w:line="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on beneficial ownership reporting required by Item 10, if any, will be included under the caption "Delinquent Section 16(a) Reports" in our Proxy Statement for the 2022 Annual Meeting of Stockholders and is incorporated herein by reference.</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Business Conduct Policy that applies to all of our directors, officers and employees, including our principal executive officer, principal financial officer and principal accounting officer, which is available on the Investor Relations section of our website at www.aramark.com. A copy of our Business Conduct Policy may be obtained free of charge by writing to Investor Relations, Aramark, 2400 Market Street, Philadelphia, PA 19103. Our Business Conduct Policy contains a "code of ethics," as defined in Item 406(b) of Regulation S-K. Please note that our website address is provided as an inactive textual reference only. We will make any legally required disclosures regarding amendments to, or waivers of, provisions of our code of ethics on our website.</w:t>
      </w:r>
    </w:p>
    <w:p>
      <w:pPr>
        <w:spacing w:after="0" w:line="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remaining information required by Item 10 will be included under the caption "Board Committees and Meetings" in our Proxy Statement for the 2022 Annual Meeting of Stockholders and is incorporated herein by reference.</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Information required by Item 11 will be included under the caption "Compensation Matters" in our Proxy Statement for the 2022 Annual Meeting of Stockholders and is incorporated herein by reference.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0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Information required by Item 12 will be included under the captions "Security Ownership of Certain Beneficial Owners and Management" and "Equity Compensation Plan Information" in our Proxy Statement for the 2022 Annual Meeting of Stockholders and is incorporated herein by reference.</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0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Information required by Item 13 will be included under the captions "Certain Relationships and Related Transactions" and "Director Independence and Independence Determinations" in our Proxy Statement for the 2022 Annual Meeting of Stockholders and is incorporated herein by reference.</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Item 14 will be included under the caption "Fees to Independent Registered Public Accounting Firm" in our Proxy Statement for the 2022 Annual Meeting of Stockholders and is incorporated herein by reference.</w:t>
      </w: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79" w:right="39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08"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See Index to Financial Statements and Schedule at page S-1 and the Exhibit Index.</w:t>
      </w:r>
    </w:p>
    <w:p>
      <w:pPr>
        <w:spacing w:after="0" w:line="12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Exhibits Required by Item 601 of Regulation S-K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90"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and Schedule at page S-1.</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 on November 23, 2021.</w:t>
      </w:r>
    </w:p>
    <w:p>
      <w:pPr>
        <w:spacing w:after="0" w:line="170"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CHRISTOPHER T. SCHILLING</w:t>
            </w:r>
          </w:p>
        </w:tc>
      </w:tr>
      <w:tr>
        <w:trPr>
          <w:trHeight w:val="173"/>
        </w:trPr>
        <w:tc>
          <w:tcPr>
            <w:tcW w:w="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3"/>
              </w:rPr>
              <w:t>Christopher T. Schilling</w:t>
            </w:r>
          </w:p>
        </w:tc>
      </w:tr>
      <w:tr>
        <w:trPr>
          <w:trHeight w:val="144"/>
        </w:trPr>
        <w:tc>
          <w:tcPr>
            <w:tcW w:w="980" w:type="dxa"/>
            <w:vAlign w:val="bottom"/>
          </w:tcPr>
          <w:p>
            <w:pPr>
              <w:spacing w:after="0" w:line="145" w:lineRule="exact"/>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Senior Vice President, Controller and Chief Accounting Officer</w:t>
            </w:r>
          </w:p>
        </w:tc>
      </w:tr>
      <w:tr>
        <w:trPr>
          <w:trHeight w:val="186"/>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(Authorized Signatory)</w:t>
            </w:r>
          </w:p>
        </w:tc>
      </w:tr>
    </w:tbl>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indicated on November 23,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6"/>
                <w:szCs w:val="16"/>
                <w:color w:val="auto"/>
              </w:rPr>
            </w:pPr>
          </w:p>
        </w:tc>
        <w:tc>
          <w:tcPr>
            <w:tcW w:w="7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r>
      <w:tr>
        <w:trPr>
          <w:trHeight w:val="31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JOHN J. ZILLMER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r>
      <w:tr>
        <w:trPr>
          <w:trHeight w:val="21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John J. Zillmer</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THOMAS G. ONDROF</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1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Thomas G. Ondrof</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CHRISTOPHER T. SCHILLING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2"/>
              </w:rPr>
              <w:t>Senior Vice President, Controller and Chief Accounting Officer</w:t>
            </w:r>
          </w:p>
        </w:tc>
      </w:tr>
      <w:tr>
        <w:trPr>
          <w:trHeight w:val="21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Christopher T. Schilling</w:t>
            </w:r>
          </w:p>
        </w:tc>
        <w:tc>
          <w:tcPr>
            <w:tcW w:w="240" w:type="dxa"/>
            <w:vAlign w:val="bottom"/>
          </w:tcPr>
          <w:p>
            <w:pPr>
              <w:spacing w:after="0"/>
              <w:rPr>
                <w:sz w:val="18"/>
                <w:szCs w:val="18"/>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323"/>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SUSAN CAMERON</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1"/>
              </w:rPr>
              <w:t>Susan Cameron</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GREG CREED</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4"/>
              </w:rPr>
              <w:t>Greg Creed</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RICHARD W. DREILING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Richard W. Dreiling</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IRENE M. ESTEVES</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2"/>
              </w:rPr>
              <w:t>Irene M. Esteves</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DANIEL J. HEINRICH</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5"/>
              </w:rPr>
              <w:t>Daniel J. Heinrich</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BRIDGETTE P. HELLER</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Bridgette P. Heller</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PAUL HILAL</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3"/>
              </w:rPr>
              <w:t>Vice Chairman, 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8"/>
              </w:rPr>
              <w:t>Paul Hilal</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KAREN KING</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9"/>
              </w:rPr>
              <w:t>Karen King</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STEPHEN I. SADOVE</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2"/>
              </w:rPr>
              <w:t>Chairman, 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1"/>
              </w:rPr>
              <w:t>Stephen I. Sadove</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327"/>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ART WINKLEBLACK</w:t>
            </w:r>
          </w:p>
        </w:tc>
        <w:tc>
          <w:tcPr>
            <w:tcW w:w="240" w:type="dxa"/>
            <w:vAlign w:val="bottom"/>
          </w:tcPr>
          <w:p>
            <w:pPr>
              <w:spacing w:after="0"/>
              <w:rPr>
                <w:sz w:val="24"/>
                <w:szCs w:val="24"/>
                <w:color w:val="auto"/>
              </w:rPr>
            </w:pPr>
          </w:p>
        </w:tc>
        <w:tc>
          <w:tcPr>
            <w:tcW w:w="71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180"/>
        </w:trPr>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7"/>
              </w:rPr>
              <w:t>Art Winkleblack</w:t>
            </w:r>
          </w:p>
        </w:tc>
        <w:tc>
          <w:tcPr>
            <w:tcW w:w="240" w:type="dxa"/>
            <w:vAlign w:val="bottom"/>
          </w:tcPr>
          <w:p>
            <w:pPr>
              <w:spacing w:after="0"/>
              <w:rPr>
                <w:sz w:val="15"/>
                <w:szCs w:val="15"/>
                <w:color w:val="auto"/>
              </w:rPr>
            </w:pPr>
          </w:p>
        </w:tc>
        <w:tc>
          <w:tcPr>
            <w:tcW w:w="7180" w:type="dxa"/>
            <w:vAlign w:val="bottom"/>
          </w:tcPr>
          <w:p>
            <w:pPr>
              <w:spacing w:after="0"/>
              <w:rPr>
                <w:sz w:val="15"/>
                <w:szCs w:val="15"/>
                <w:color w:val="auto"/>
              </w:rPr>
            </w:pPr>
          </w:p>
        </w:tc>
      </w:tr>
      <w:tr>
        <w:trPr>
          <w:trHeight w:val="556"/>
        </w:trPr>
        <w:tc>
          <w:tcPr>
            <w:tcW w:w="3820" w:type="dxa"/>
            <w:vAlign w:val="bottom"/>
          </w:tcPr>
          <w:p>
            <w:pPr>
              <w:spacing w:after="0"/>
              <w:rPr>
                <w:sz w:val="24"/>
                <w:szCs w:val="24"/>
                <w:color w:val="auto"/>
              </w:rPr>
            </w:pPr>
          </w:p>
        </w:tc>
        <w:tc>
          <w:tcPr>
            <w:tcW w:w="7420" w:type="dxa"/>
            <w:vAlign w:val="bottom"/>
            <w:gridSpan w:val="2"/>
          </w:tcPr>
          <w:p>
            <w:pPr>
              <w:jc w:val="right"/>
              <w:ind w:right="5431"/>
              <w:spacing w:after="0"/>
              <w:rPr>
                <w:sz w:val="20"/>
                <w:szCs w:val="20"/>
                <w:color w:val="auto"/>
              </w:rPr>
            </w:pPr>
            <w:r>
              <w:rPr>
                <w:rFonts w:ascii="Arial" w:cs="Arial" w:eastAsia="Arial" w:hAnsi="Arial"/>
                <w:sz w:val="18"/>
                <w:szCs w:val="18"/>
                <w:color w:val="auto"/>
              </w:rPr>
              <w:t>51</w:t>
            </w:r>
          </w:p>
        </w:tc>
      </w:tr>
      <w:tr>
        <w:trPr>
          <w:trHeight w:val="466"/>
        </w:trPr>
        <w:tc>
          <w:tcPr>
            <w:tcW w:w="3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60" w:type="dxa"/>
            <w:vAlign w:val="bottom"/>
            <w:gridSpan w:val="9"/>
          </w:tcPr>
          <w:p>
            <w:pPr>
              <w:jc w:val="center"/>
              <w:ind w:right="1780"/>
              <w:spacing w:after="0"/>
              <w:rPr>
                <w:sz w:val="20"/>
                <w:szCs w:val="20"/>
                <w:color w:val="auto"/>
              </w:rPr>
            </w:pPr>
            <w:r>
              <w:rPr>
                <w:rFonts w:ascii="Arial" w:cs="Arial" w:eastAsia="Arial" w:hAnsi="Arial"/>
                <w:sz w:val="18"/>
                <w:szCs w:val="18"/>
                <w:b w:val="1"/>
                <w:bCs w:val="1"/>
                <w:color w:val="auto"/>
              </w:rPr>
              <w:t>ARAMARK AND SUBSIDIARIES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10"/>
          </w:tcPr>
          <w:p>
            <w:pPr>
              <w:jc w:val="center"/>
              <w:ind w:right="780"/>
              <w:spacing w:after="0"/>
              <w:rPr>
                <w:sz w:val="20"/>
                <w:szCs w:val="20"/>
                <w:color w:val="auto"/>
              </w:rPr>
            </w:pPr>
            <w:r>
              <w:rPr>
                <w:rFonts w:ascii="Arial" w:cs="Arial" w:eastAsia="Arial" w:hAnsi="Arial"/>
                <w:sz w:val="18"/>
                <w:szCs w:val="18"/>
                <w:b w:val="1"/>
                <w:bCs w:val="1"/>
                <w:color w:val="auto"/>
              </w:rPr>
              <w:t>INDEX TO CONSOLIDATED FINANCIAL STATEMENTS AND SCHEDULE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000" w:type="dxa"/>
            <w:vAlign w:val="bottom"/>
            <w:gridSpan w:val="8"/>
            <w:vMerge w:val="restart"/>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Report of Deloitte &amp; Touche LLP, Independent Registered Public Accounting Firm</w:t>
              </w:r>
            </w:hyperlink>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6000" w:type="dxa"/>
            <w:vAlign w:val="bottom"/>
            <w:gridSpan w:val="8"/>
            <w:vMerge w:val="continue"/>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tcPr>
          <w:p>
            <w:pPr>
              <w:jc w:val="right"/>
              <w:ind w:right="20"/>
              <w:spacing w:after="0" w:line="169" w:lineRule="exact"/>
              <w:rPr>
                <w:rFonts w:ascii="Arial" w:cs="Arial" w:eastAsia="Arial" w:hAnsi="Arial"/>
                <w:sz w:val="18"/>
                <w:szCs w:val="18"/>
                <w:color w:val="0000FF"/>
                <w:w w:val="78"/>
              </w:rPr>
            </w:pPr>
            <w:hyperlink w:anchor="page56">
              <w:r>
                <w:rPr>
                  <w:rFonts w:ascii="Arial" w:cs="Arial" w:eastAsia="Arial" w:hAnsi="Arial"/>
                  <w:sz w:val="18"/>
                  <w:szCs w:val="18"/>
                  <w:color w:val="0000FF"/>
                  <w:w w:val="78"/>
                </w:rPr>
                <w:t>S-2</w:t>
              </w:r>
            </w:hyperlink>
          </w:p>
        </w:tc>
        <w:tc>
          <w:tcPr>
            <w:tcW w:w="0" w:type="dxa"/>
            <w:vAlign w:val="bottom"/>
          </w:tcPr>
          <w:p>
            <w:pPr>
              <w:spacing w:after="0"/>
              <w:rPr>
                <w:sz w:val="1"/>
                <w:szCs w:val="1"/>
                <w:color w:val="auto"/>
              </w:rPr>
            </w:pPr>
          </w:p>
        </w:tc>
      </w:tr>
      <w:tr>
        <w:trPr>
          <w:trHeight w:val="27"/>
        </w:trPr>
        <w:tc>
          <w:tcPr>
            <w:tcW w:w="3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2040" w:type="dxa"/>
            <w:vAlign w:val="bottom"/>
            <w:shd w:val="clear" w:color="auto" w:fill="0000FF"/>
          </w:tcPr>
          <w:p>
            <w:pPr>
              <w:spacing w:after="0"/>
              <w:rPr>
                <w:sz w:val="2"/>
                <w:szCs w:val="2"/>
                <w:color w:val="auto"/>
              </w:rPr>
            </w:pPr>
          </w:p>
        </w:tc>
        <w:tc>
          <w:tcPr>
            <w:tcW w:w="250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7"/>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Report of KPMG LLP, Independent Registered Public Accounting Firm</w:t>
              </w:r>
            </w:hyperlink>
          </w:p>
        </w:tc>
        <w:tc>
          <w:tcPr>
            <w:tcW w:w="2500" w:type="dxa"/>
            <w:vAlign w:val="bottom"/>
            <w:gridSpan w:val="2"/>
          </w:tcPr>
          <w:p>
            <w:pPr>
              <w:spacing w:after="0"/>
              <w:rPr>
                <w:sz w:val="18"/>
                <w:szCs w:val="18"/>
                <w:color w:val="auto"/>
              </w:rPr>
            </w:pPr>
          </w:p>
        </w:tc>
        <w:tc>
          <w:tcPr>
            <w:tcW w:w="2120" w:type="dxa"/>
            <w:vAlign w:val="bottom"/>
            <w:gridSpan w:val="6"/>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0000FF"/>
                <w:w w:val="78"/>
              </w:rPr>
            </w:pPr>
            <w:hyperlink w:anchor="page58">
              <w:r>
                <w:rPr>
                  <w:rFonts w:ascii="Arial" w:cs="Arial" w:eastAsia="Arial" w:hAnsi="Arial"/>
                  <w:sz w:val="18"/>
                  <w:szCs w:val="18"/>
                  <w:color w:val="0000FF"/>
                  <w:w w:val="78"/>
                </w:rPr>
                <w:t>S-4</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15"/>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 xml:space="preserve">Consolidated Balance Sheets as of October </w:t>
              </w:r>
            </w:hyperlink>
            <w:r>
              <w:rPr>
                <w:rFonts w:ascii="Arial" w:cs="Arial" w:eastAsia="Arial" w:hAnsi="Arial"/>
                <w:sz w:val="18"/>
                <w:szCs w:val="18"/>
                <w:color w:val="0000FF"/>
              </w:rPr>
              <w:t xml:space="preserve">1, </w:t>
            </w:r>
            <w:hyperlink w:anchor="page59">
              <w:r>
                <w:rPr>
                  <w:rFonts w:ascii="Arial" w:cs="Arial" w:eastAsia="Arial" w:hAnsi="Arial"/>
                  <w:sz w:val="18"/>
                  <w:szCs w:val="18"/>
                  <w:color w:val="0000FF"/>
                </w:rPr>
                <w:t xml:space="preserve">2021 and October </w:t>
              </w:r>
            </w:hyperlink>
            <w:r>
              <w:rPr>
                <w:rFonts w:ascii="Arial" w:cs="Arial" w:eastAsia="Arial" w:hAnsi="Arial"/>
                <w:sz w:val="18"/>
                <w:szCs w:val="18"/>
                <w:color w:val="0000FF"/>
              </w:rPr>
              <w:t>2, 2020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rFonts w:ascii="Arial" w:cs="Arial" w:eastAsia="Arial" w:hAnsi="Arial"/>
                <w:sz w:val="18"/>
                <w:szCs w:val="18"/>
                <w:color w:val="0000FF"/>
                <w:w w:val="78"/>
              </w:rPr>
            </w:pPr>
            <w:hyperlink w:anchor="page59">
              <w:r>
                <w:rPr>
                  <w:rFonts w:ascii="Arial" w:cs="Arial" w:eastAsia="Arial" w:hAnsi="Arial"/>
                  <w:sz w:val="18"/>
                  <w:szCs w:val="18"/>
                  <w:color w:val="0000FF"/>
                  <w:w w:val="78"/>
                </w:rPr>
                <w:t>S-5</w:t>
              </w:r>
            </w:hyperlink>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15"/>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Consolidated Statements of (Loss) Income for the fiscal years ended October 1, 2021, October 2, 2020 and September</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0">
              <w:r>
                <w:rPr>
                  <w:rFonts w:ascii="Arial" w:cs="Arial" w:eastAsia="Arial" w:hAnsi="Arial"/>
                  <w:sz w:val="18"/>
                  <w:szCs w:val="18"/>
                  <w:color w:val="0000FF"/>
                  <w:w w:val="78"/>
                </w:rPr>
                <w:t>S-6</w:t>
              </w:r>
            </w:hyperlink>
          </w:p>
        </w:tc>
        <w:tc>
          <w:tcPr>
            <w:tcW w:w="0" w:type="dxa"/>
            <w:vAlign w:val="bottom"/>
          </w:tcPr>
          <w:p>
            <w:pPr>
              <w:spacing w:after="0"/>
              <w:rPr>
                <w:sz w:val="1"/>
                <w:szCs w:val="1"/>
                <w:color w:val="auto"/>
              </w:rPr>
            </w:pPr>
          </w:p>
        </w:tc>
      </w:tr>
      <w:tr>
        <w:trPr>
          <w:trHeight w:val="155"/>
        </w:trPr>
        <w:tc>
          <w:tcPr>
            <w:tcW w:w="640" w:type="dxa"/>
            <w:vAlign w:val="bottom"/>
            <w:tcBorders>
              <w:top w:val="single" w:sz="8" w:color="0000FF"/>
            </w:tcBorders>
            <w:gridSpan w:val="2"/>
          </w:tcPr>
          <w:p>
            <w:pPr>
              <w:spacing w:after="0" w:line="156" w:lineRule="exact"/>
              <w:rPr>
                <w:rFonts w:ascii="Arial" w:cs="Arial" w:eastAsia="Arial" w:hAnsi="Arial"/>
                <w:sz w:val="18"/>
                <w:szCs w:val="18"/>
                <w:color w:val="0000FF"/>
                <w:w w:val="88"/>
              </w:rPr>
            </w:pPr>
            <w:hyperlink w:anchor="page60">
              <w:r>
                <w:rPr>
                  <w:rFonts w:ascii="Arial" w:cs="Arial" w:eastAsia="Arial" w:hAnsi="Arial"/>
                  <w:sz w:val="18"/>
                  <w:szCs w:val="18"/>
                  <w:color w:val="0000FF"/>
                  <w:w w:val="88"/>
                </w:rPr>
                <w:t>27, 2019</w:t>
              </w:r>
            </w:hyperlink>
          </w:p>
        </w:tc>
        <w:tc>
          <w:tcPr>
            <w:tcW w:w="8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15"/>
          </w:tcPr>
          <w:p>
            <w:pPr>
              <w:spacing w:after="0"/>
              <w:rPr>
                <w:rFonts w:ascii="Arial" w:cs="Arial" w:eastAsia="Arial" w:hAnsi="Arial"/>
                <w:sz w:val="18"/>
                <w:szCs w:val="18"/>
                <w:color w:val="0000FF"/>
              </w:rPr>
            </w:pPr>
            <w:hyperlink w:anchor="page61">
              <w:r>
                <w:rPr>
                  <w:rFonts w:ascii="Arial" w:cs="Arial" w:eastAsia="Arial" w:hAnsi="Arial"/>
                  <w:sz w:val="18"/>
                  <w:szCs w:val="18"/>
                  <w:color w:val="0000FF"/>
                </w:rPr>
                <w:t xml:space="preserve">Consolidated Statements of Comprehensive Income (Loss) for the fiscal years ended October </w:t>
              </w:r>
            </w:hyperlink>
            <w:r>
              <w:rPr>
                <w:rFonts w:ascii="Arial" w:cs="Arial" w:eastAsia="Arial" w:hAnsi="Arial"/>
                <w:sz w:val="18"/>
                <w:szCs w:val="18"/>
                <w:color w:val="0000FF"/>
              </w:rPr>
              <w:t xml:space="preserve">1, 2021, </w:t>
            </w:r>
            <w:hyperlink w:anchor="page61">
              <w:r>
                <w:rPr>
                  <w:rFonts w:ascii="Arial" w:cs="Arial" w:eastAsia="Arial" w:hAnsi="Arial"/>
                  <w:sz w:val="18"/>
                  <w:szCs w:val="18"/>
                  <w:color w:val="0000FF"/>
                </w:rPr>
                <w:t xml:space="preserve">October </w:t>
              </w:r>
            </w:hyperlink>
            <w:r>
              <w:rPr>
                <w:rFonts w:ascii="Arial" w:cs="Arial" w:eastAsia="Arial" w:hAnsi="Arial"/>
                <w:sz w:val="18"/>
                <w:szCs w:val="18"/>
                <w:color w:val="0000FF"/>
              </w:rPr>
              <w:t>2, 2020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1">
              <w:r>
                <w:rPr>
                  <w:rFonts w:ascii="Arial" w:cs="Arial" w:eastAsia="Arial" w:hAnsi="Arial"/>
                  <w:sz w:val="18"/>
                  <w:szCs w:val="18"/>
                  <w:color w:val="0000FF"/>
                  <w:w w:val="78"/>
                </w:rPr>
                <w:t>S-7</w:t>
              </w:r>
            </w:hyperlink>
          </w:p>
        </w:tc>
        <w:tc>
          <w:tcPr>
            <w:tcW w:w="0" w:type="dxa"/>
            <w:vAlign w:val="bottom"/>
          </w:tcPr>
          <w:p>
            <w:pPr>
              <w:spacing w:after="0"/>
              <w:rPr>
                <w:sz w:val="1"/>
                <w:szCs w:val="1"/>
                <w:color w:val="auto"/>
              </w:rPr>
            </w:pPr>
          </w:p>
        </w:tc>
      </w:tr>
      <w:tr>
        <w:trPr>
          <w:trHeight w:val="155"/>
        </w:trPr>
        <w:tc>
          <w:tcPr>
            <w:tcW w:w="1760" w:type="dxa"/>
            <w:vAlign w:val="bottom"/>
            <w:tcBorders>
              <w:top w:val="single" w:sz="8" w:color="0000FF"/>
            </w:tcBorders>
            <w:gridSpan w:val="4"/>
          </w:tcPr>
          <w:p>
            <w:pPr>
              <w:spacing w:after="0" w:line="156" w:lineRule="exact"/>
              <w:rPr>
                <w:rFonts w:ascii="Arial" w:cs="Arial" w:eastAsia="Arial" w:hAnsi="Arial"/>
                <w:sz w:val="18"/>
                <w:szCs w:val="18"/>
                <w:color w:val="0000FF"/>
                <w:w w:val="87"/>
              </w:rPr>
            </w:pPr>
            <w:hyperlink w:anchor="page61">
              <w:r>
                <w:rPr>
                  <w:rFonts w:ascii="Arial" w:cs="Arial" w:eastAsia="Arial" w:hAnsi="Arial"/>
                  <w:sz w:val="18"/>
                  <w:szCs w:val="18"/>
                  <w:color w:val="0000FF"/>
                  <w:w w:val="87"/>
                </w:rPr>
                <w:t xml:space="preserve">and September </w:t>
              </w:r>
            </w:hyperlink>
            <w:r>
              <w:rPr>
                <w:rFonts w:ascii="Arial" w:cs="Arial" w:eastAsia="Arial" w:hAnsi="Arial"/>
                <w:sz w:val="18"/>
                <w:szCs w:val="18"/>
                <w:color w:val="0000FF"/>
                <w:w w:val="87"/>
              </w:rPr>
              <w:t>27, 2019</w:t>
            </w:r>
          </w:p>
        </w:tc>
        <w:tc>
          <w:tcPr>
            <w:tcW w:w="68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20" w:type="dxa"/>
            <w:vAlign w:val="bottom"/>
            <w:gridSpan w:val="15"/>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Consolidated Statements of Cash Flows for the fiscal years ended October 1, 2021, October 2, 2020 and September 27,</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2">
              <w:r>
                <w:rPr>
                  <w:rFonts w:ascii="Arial" w:cs="Arial" w:eastAsia="Arial" w:hAnsi="Arial"/>
                  <w:sz w:val="18"/>
                  <w:szCs w:val="18"/>
                  <w:color w:val="0000FF"/>
                  <w:w w:val="78"/>
                </w:rPr>
                <w:t>S-8</w:t>
              </w:r>
            </w:hyperlink>
          </w:p>
        </w:tc>
        <w:tc>
          <w:tcPr>
            <w:tcW w:w="0" w:type="dxa"/>
            <w:vAlign w:val="bottom"/>
          </w:tcPr>
          <w:p>
            <w:pPr>
              <w:spacing w:after="0"/>
              <w:rPr>
                <w:sz w:val="1"/>
                <w:szCs w:val="1"/>
                <w:color w:val="auto"/>
              </w:rPr>
            </w:pPr>
          </w:p>
        </w:tc>
      </w:tr>
      <w:tr>
        <w:trPr>
          <w:trHeight w:val="156"/>
        </w:trPr>
        <w:tc>
          <w:tcPr>
            <w:tcW w:w="360" w:type="dxa"/>
            <w:vAlign w:val="bottom"/>
            <w:tcBorders>
              <w:top w:val="single" w:sz="8" w:color="0000FF"/>
            </w:tcBorders>
          </w:tcPr>
          <w:p>
            <w:pPr>
              <w:spacing w:after="0" w:line="156" w:lineRule="exact"/>
              <w:rPr>
                <w:rFonts w:ascii="Arial" w:cs="Arial" w:eastAsia="Arial" w:hAnsi="Arial"/>
                <w:sz w:val="18"/>
                <w:szCs w:val="18"/>
                <w:color w:val="0000FF"/>
                <w:w w:val="84"/>
              </w:rPr>
            </w:pPr>
            <w:hyperlink w:anchor="page62">
              <w:r>
                <w:rPr>
                  <w:rFonts w:ascii="Arial" w:cs="Arial" w:eastAsia="Arial" w:hAnsi="Arial"/>
                  <w:sz w:val="18"/>
                  <w:szCs w:val="18"/>
                  <w:color w:val="0000FF"/>
                  <w:w w:val="84"/>
                </w:rPr>
                <w:t>2019</w:t>
              </w:r>
            </w:hyperlink>
          </w:p>
        </w:tc>
        <w:tc>
          <w:tcPr>
            <w:tcW w:w="2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7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gridSpan w:val="15"/>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Consolidated Statements of Stockholders' Equity for the fiscal years ended October 1, 2021, October 2, 2020 and</w:t>
              </w:r>
            </w:hyperlink>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vMerge w:val="restart"/>
          </w:tcPr>
          <w:p>
            <w:pPr>
              <w:jc w:val="right"/>
              <w:ind w:right="20"/>
              <w:spacing w:after="0"/>
              <w:rPr>
                <w:rFonts w:ascii="Arial" w:cs="Arial" w:eastAsia="Arial" w:hAnsi="Arial"/>
                <w:sz w:val="18"/>
                <w:szCs w:val="18"/>
                <w:color w:val="0000FF"/>
                <w:w w:val="78"/>
              </w:rPr>
            </w:pPr>
            <w:hyperlink w:anchor="page63">
              <w:r>
                <w:rPr>
                  <w:rFonts w:ascii="Arial" w:cs="Arial" w:eastAsia="Arial" w:hAnsi="Arial"/>
                  <w:sz w:val="18"/>
                  <w:szCs w:val="18"/>
                  <w:color w:val="0000FF"/>
                  <w:w w:val="78"/>
                </w:rPr>
                <w:t>S-9</w:t>
              </w:r>
            </w:hyperlink>
          </w:p>
        </w:tc>
        <w:tc>
          <w:tcPr>
            <w:tcW w:w="0" w:type="dxa"/>
            <w:vAlign w:val="bottom"/>
          </w:tcPr>
          <w:p>
            <w:pPr>
              <w:spacing w:after="0"/>
              <w:rPr>
                <w:sz w:val="1"/>
                <w:szCs w:val="1"/>
                <w:color w:val="auto"/>
              </w:rPr>
            </w:pPr>
          </w:p>
        </w:tc>
      </w:tr>
      <w:tr>
        <w:trPr>
          <w:trHeight w:val="156"/>
        </w:trPr>
        <w:tc>
          <w:tcPr>
            <w:tcW w:w="81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September 27, 2019</w:t>
              </w:r>
            </w:hyperlink>
          </w:p>
        </w:tc>
        <w:tc>
          <w:tcPr>
            <w:tcW w:w="320" w:type="dxa"/>
            <w:vAlign w:val="bottom"/>
          </w:tcPr>
          <w:p>
            <w:pPr>
              <w:spacing w:after="0"/>
              <w:rPr>
                <w:sz w:val="13"/>
                <w:szCs w:val="13"/>
                <w:color w:val="auto"/>
              </w:rPr>
            </w:pPr>
          </w:p>
        </w:tc>
        <w:tc>
          <w:tcPr>
            <w:tcW w:w="1360" w:type="dxa"/>
            <w:vAlign w:val="bottom"/>
            <w:gridSpan w:val="4"/>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6"/>
          </w:tcPr>
          <w:p>
            <w:pPr>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Notes to Consolidated Financial Statements</w:t>
              </w:r>
            </w:hyperlink>
          </w:p>
        </w:tc>
        <w:tc>
          <w:tcPr>
            <w:tcW w:w="6660" w:type="dxa"/>
            <w:vAlign w:val="bottom"/>
            <w:gridSpan w:val="9"/>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gridSpan w:val="3"/>
          </w:tcPr>
          <w:p>
            <w:pPr>
              <w:jc w:val="right"/>
              <w:ind w:right="20"/>
              <w:spacing w:after="0"/>
              <w:rPr>
                <w:rFonts w:ascii="Arial" w:cs="Arial" w:eastAsia="Arial" w:hAnsi="Arial"/>
                <w:sz w:val="18"/>
                <w:szCs w:val="18"/>
                <w:color w:val="0000FF"/>
                <w:w w:val="84"/>
              </w:rPr>
            </w:pPr>
            <w:hyperlink w:anchor="page64">
              <w:r>
                <w:rPr>
                  <w:rFonts w:ascii="Arial" w:cs="Arial" w:eastAsia="Arial" w:hAnsi="Arial"/>
                  <w:sz w:val="18"/>
                  <w:szCs w:val="18"/>
                  <w:color w:val="0000FF"/>
                  <w:w w:val="84"/>
                </w:rPr>
                <w:t>S-10</w:t>
              </w:r>
            </w:hyperlink>
          </w:p>
        </w:tc>
        <w:tc>
          <w:tcPr>
            <w:tcW w:w="0" w:type="dxa"/>
            <w:vAlign w:val="bottom"/>
          </w:tcPr>
          <w:p>
            <w:pPr>
              <w:spacing w:after="0"/>
              <w:rPr>
                <w:sz w:val="1"/>
                <w:szCs w:val="1"/>
                <w:color w:val="auto"/>
              </w:rPr>
            </w:pPr>
          </w:p>
        </w:tc>
      </w:tr>
      <w:tr>
        <w:trPr>
          <w:trHeight w:val="20"/>
        </w:trPr>
        <w:tc>
          <w:tcPr>
            <w:tcW w:w="216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820" w:type="dxa"/>
            <w:vAlign w:val="bottom"/>
            <w:gridSpan w:val="15"/>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Schedule II—Valuation and Qualifying Accounts and Reserves for the fiscal years ended October 1, 2021, October 2,</w:t>
              </w:r>
            </w:hyperlink>
          </w:p>
        </w:tc>
        <w:tc>
          <w:tcPr>
            <w:tcW w:w="1040" w:type="dxa"/>
            <w:vAlign w:val="bottom"/>
            <w:vMerge w:val="restart"/>
          </w:tcPr>
          <w:p>
            <w:pPr>
              <w:spacing w:after="0"/>
              <w:rPr>
                <w:sz w:val="19"/>
                <w:szCs w:val="19"/>
                <w:color w:val="auto"/>
              </w:rPr>
            </w:pPr>
          </w:p>
        </w:tc>
        <w:tc>
          <w:tcPr>
            <w:tcW w:w="360" w:type="dxa"/>
            <w:vAlign w:val="bottom"/>
            <w:gridSpan w:val="3"/>
            <w:vMerge w:val="restart"/>
          </w:tcPr>
          <w:p>
            <w:pPr>
              <w:jc w:val="right"/>
              <w:ind w:right="20"/>
              <w:spacing w:after="0"/>
              <w:rPr>
                <w:rFonts w:ascii="Arial" w:cs="Arial" w:eastAsia="Arial" w:hAnsi="Arial"/>
                <w:sz w:val="18"/>
                <w:szCs w:val="18"/>
                <w:color w:val="0000FF"/>
                <w:w w:val="84"/>
              </w:rPr>
            </w:pPr>
            <w:hyperlink w:anchor="page107">
              <w:r>
                <w:rPr>
                  <w:rFonts w:ascii="Arial" w:cs="Arial" w:eastAsia="Arial" w:hAnsi="Arial"/>
                  <w:sz w:val="18"/>
                  <w:szCs w:val="18"/>
                  <w:color w:val="0000FF"/>
                  <w:w w:val="84"/>
                </w:rPr>
                <w:t>S-53</w:t>
              </w:r>
            </w:hyperlink>
          </w:p>
        </w:tc>
        <w:tc>
          <w:tcPr>
            <w:tcW w:w="0" w:type="dxa"/>
            <w:vAlign w:val="bottom"/>
          </w:tcPr>
          <w:p>
            <w:pPr>
              <w:spacing w:after="0"/>
              <w:rPr>
                <w:sz w:val="1"/>
                <w:szCs w:val="1"/>
                <w:color w:val="auto"/>
              </w:rPr>
            </w:pPr>
          </w:p>
        </w:tc>
      </w:tr>
      <w:tr>
        <w:trPr>
          <w:trHeight w:val="135"/>
        </w:trPr>
        <w:tc>
          <w:tcPr>
            <w:tcW w:w="2160" w:type="dxa"/>
            <w:vAlign w:val="bottom"/>
            <w:tcBorders>
              <w:top w:val="single" w:sz="8" w:color="0000FF"/>
            </w:tcBorders>
            <w:gridSpan w:val="5"/>
          </w:tcPr>
          <w:p>
            <w:pPr>
              <w:spacing w:after="0" w:line="136" w:lineRule="exact"/>
              <w:rPr>
                <w:rFonts w:ascii="Arial" w:cs="Arial" w:eastAsia="Arial" w:hAnsi="Arial"/>
                <w:sz w:val="15"/>
                <w:szCs w:val="15"/>
                <w:color w:val="0000FF"/>
              </w:rPr>
            </w:pPr>
            <w:hyperlink w:anchor="page107">
              <w:r>
                <w:rPr>
                  <w:rFonts w:ascii="Arial" w:cs="Arial" w:eastAsia="Arial" w:hAnsi="Arial"/>
                  <w:sz w:val="15"/>
                  <w:szCs w:val="15"/>
                  <w:color w:val="0000FF"/>
                </w:rPr>
                <w:t>2020 and September 27, 2019</w:t>
              </w:r>
            </w:hyperlink>
          </w:p>
        </w:tc>
        <w:tc>
          <w:tcPr>
            <w:tcW w:w="5540" w:type="dxa"/>
            <w:vAlign w:val="bottom"/>
            <w:tcBorders>
              <w:top w:val="single" w:sz="8" w:color="0000FF"/>
            </w:tcBorders>
            <w:gridSpan w:val="4"/>
          </w:tcPr>
          <w:p>
            <w:pPr>
              <w:spacing w:after="0"/>
              <w:rPr>
                <w:sz w:val="11"/>
                <w:szCs w:val="11"/>
                <w:color w:val="auto"/>
              </w:rPr>
            </w:pPr>
          </w:p>
        </w:tc>
        <w:tc>
          <w:tcPr>
            <w:tcW w:w="760" w:type="dxa"/>
            <w:vAlign w:val="bottom"/>
            <w:tcBorders>
              <w:top w:val="single" w:sz="8" w:color="0000FF"/>
            </w:tcBorders>
            <w:gridSpan w:val="2"/>
          </w:tcPr>
          <w:p>
            <w:pPr>
              <w:spacing w:after="0"/>
              <w:rPr>
                <w:sz w:val="11"/>
                <w:szCs w:val="11"/>
                <w:color w:val="auto"/>
              </w:rPr>
            </w:pPr>
          </w:p>
        </w:tc>
        <w:tc>
          <w:tcPr>
            <w:tcW w:w="1360" w:type="dxa"/>
            <w:vAlign w:val="bottom"/>
            <w:gridSpan w:val="4"/>
          </w:tcPr>
          <w:p>
            <w:pPr>
              <w:spacing w:after="0"/>
              <w:rPr>
                <w:sz w:val="11"/>
                <w:szCs w:val="11"/>
                <w:color w:val="auto"/>
              </w:rPr>
            </w:pPr>
          </w:p>
        </w:tc>
        <w:tc>
          <w:tcPr>
            <w:tcW w:w="1040" w:type="dxa"/>
            <w:vAlign w:val="bottom"/>
            <w:vMerge w:val="continue"/>
          </w:tcPr>
          <w:p>
            <w:pPr>
              <w:spacing w:after="0"/>
              <w:rPr>
                <w:sz w:val="11"/>
                <w:szCs w:val="11"/>
                <w:color w:val="auto"/>
              </w:rPr>
            </w:pPr>
          </w:p>
        </w:tc>
        <w:tc>
          <w:tcPr>
            <w:tcW w:w="3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All other schedules are omitted because they are not applicable, not required, or the information required to be set forth therein is included in the consolidated financial statements or in the notes thereto.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Aramark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 of Aramark and subsidiaries (the "Company") as of October 1, 2021, the related consolidated statements of loss, comprehensive income, cash flows, and stockholders’ equity for the year then ended, and the related notes and financial statement schedule II (collectively referred to as the "financial statements"). In our opinion, the financial statements present fairly, in all material respects, the financial position of the Company as of October 1, 2021, and the results of its operations and its cash flows for the year then ended in conformity with accounting principles generally accepted in the United States of America.</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October 1,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November 23, 2021, expressed an unqualified opinion on the effectiveness of the Company’s internal control over financial reporting.</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2" w:lineRule="exact"/>
        <w:rPr>
          <w:sz w:val="20"/>
          <w:szCs w:val="20"/>
          <w:color w:val="auto"/>
        </w:rPr>
      </w:pPr>
    </w:p>
    <w:p>
      <w:pPr>
        <w:ind w:right="5220"/>
        <w:spacing w:after="0" w:line="354" w:lineRule="auto"/>
        <w:rPr>
          <w:sz w:val="20"/>
          <w:szCs w:val="20"/>
          <w:color w:val="auto"/>
        </w:rPr>
      </w:pPr>
      <w:r>
        <w:rPr>
          <w:rFonts w:ascii="Arial" w:cs="Arial" w:eastAsia="Arial" w:hAnsi="Arial"/>
          <w:sz w:val="18"/>
          <w:szCs w:val="18"/>
          <w:b w:val="1"/>
          <w:bCs w:val="1"/>
          <w:color w:val="auto"/>
        </w:rPr>
        <w:t xml:space="preserve">Goodwill - FSS US Reporting Unit - Refer to Note 4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evaluation of goodwill for impairment involves the comparison of the estimated fair value of each reporting unit to its carrying amount annually in the fourth quarter of each year as of the end of the fiscal month of August or more frequently if a change in circumstances or the occurrence of events indicates that potential impairment exists. During the fourth quarter, the Company performed a quantitative test to determine the fair value of each reporting unit using discounted cash flow calculations, which required management to make assumptions and estimates that are subject to risk and uncertainty related to future growth rates, margin projections, and the discount rate. Changes in these assumptions or estimates may impact the impairment analysis and could reduce the underlying cash flows used to estimate fair values and result in an impairment charge. The fair value of the FSS United States (FSS US) reporting unit exceeded its carrying amount, and therefore, the Company determined that its goodwill was not impaired.</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identified the valuation of goodwill for the FSS US reporting unit as a critical audit matter because of the significant judgments made by management to estimate its fair value. Auditing the discounted cash flow calculations for this reporting unit involved a high degree of auditor judgment and an increased effort, which included the involvement of our fair value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360"/>
        <w:spacing w:after="0" w:line="352" w:lineRule="auto"/>
        <w:rPr>
          <w:sz w:val="20"/>
          <w:szCs w:val="20"/>
          <w:color w:val="auto"/>
        </w:rPr>
      </w:pPr>
      <w:r>
        <w:rPr>
          <w:rFonts w:ascii="Arial" w:cs="Arial" w:eastAsia="Arial" w:hAnsi="Arial"/>
          <w:sz w:val="18"/>
          <w:szCs w:val="18"/>
          <w:color w:val="auto"/>
        </w:rPr>
        <w:t xml:space="preserve">specialists, as it related to evaluating management’s assumptions and estimates related to future growth rates, margin projections, and the discount rate. </w:t>
      </w:r>
      <w:r>
        <w:rPr>
          <w:rFonts w:ascii="Arial" w:cs="Arial" w:eastAsia="Arial" w:hAnsi="Arial"/>
          <w:sz w:val="18"/>
          <w:szCs w:val="18"/>
          <w:i w:val="1"/>
          <w:iCs w:val="1"/>
          <w:color w:val="auto"/>
        </w:rPr>
        <w:t>How the Critical Audit Matter Was Addressed in the Audit</w:t>
      </w:r>
    </w:p>
    <w:p>
      <w:pPr>
        <w:spacing w:after="0" w:line="277" w:lineRule="auto"/>
        <w:rPr>
          <w:sz w:val="20"/>
          <w:szCs w:val="20"/>
          <w:color w:val="auto"/>
        </w:rPr>
      </w:pPr>
      <w:r>
        <w:rPr>
          <w:rFonts w:ascii="Arial" w:cs="Arial" w:eastAsia="Arial" w:hAnsi="Arial"/>
          <w:sz w:val="18"/>
          <w:szCs w:val="18"/>
          <w:color w:val="auto"/>
        </w:rPr>
        <w:t>Our audit procedures related to the assumptions and estimates of future growth rates, margin projections, and the discount rate used by management to estimate the fair value of the FSS US reporting unit included the following, among others:</w:t>
      </w:r>
    </w:p>
    <w:p>
      <w:pPr>
        <w:spacing w:after="0" w:line="49" w:lineRule="exact"/>
        <w:rPr>
          <w:sz w:val="20"/>
          <w:szCs w:val="20"/>
          <w:color w:val="auto"/>
        </w:rPr>
      </w:pPr>
    </w:p>
    <w:p>
      <w:pPr>
        <w:jc w:val="both"/>
        <w:ind w:left="900" w:hanging="568"/>
        <w:spacing w:after="0" w:line="263"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tested the effectiveness of internal controls over management’s goodwill impairment evaluation, including those over the determination of the fair value of the FSS US reporting unit, including controls related to management’s assumptions and estimates of future growth rates, margin projections, and the discount rate.</w:t>
      </w:r>
    </w:p>
    <w:p>
      <w:pPr>
        <w:spacing w:after="0" w:line="48" w:lineRule="exact"/>
        <w:rPr>
          <w:rFonts w:ascii="Arial" w:cs="Arial" w:eastAsia="Arial" w:hAnsi="Arial"/>
          <w:sz w:val="18"/>
          <w:szCs w:val="18"/>
          <w:color w:val="auto"/>
        </w:rPr>
      </w:pPr>
    </w:p>
    <w:p>
      <w:pPr>
        <w:ind w:left="900" w:hanging="568"/>
        <w:spacing w:after="0" w:line="277"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FSS US reporting unit growth rates and margin projections by comparing actual results to management’s historical forecasts.</w:t>
      </w:r>
    </w:p>
    <w:p>
      <w:pPr>
        <w:spacing w:after="0" w:line="48" w:lineRule="exact"/>
        <w:rPr>
          <w:rFonts w:ascii="Arial" w:cs="Arial" w:eastAsia="Arial" w:hAnsi="Arial"/>
          <w:sz w:val="18"/>
          <w:szCs w:val="18"/>
          <w:color w:val="auto"/>
        </w:rPr>
      </w:pPr>
    </w:p>
    <w:p>
      <w:pPr>
        <w:ind w:left="900" w:hanging="568"/>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evaluated the reasonableness of management’s FSS US reporting unit growth rates and margin projections by comparing the forecasts to:</w:t>
      </w:r>
    </w:p>
    <w:p>
      <w:pPr>
        <w:spacing w:after="0" w:line="126" w:lineRule="exact"/>
        <w:rPr>
          <w:rFonts w:ascii="Arial" w:cs="Arial" w:eastAsia="Arial" w:hAnsi="Arial"/>
          <w:sz w:val="16"/>
          <w:szCs w:val="16"/>
          <w:color w:val="auto"/>
        </w:rPr>
      </w:pPr>
    </w:p>
    <w:p>
      <w:pPr>
        <w:ind w:left="1540" w:hanging="560"/>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Historical results.</w:t>
      </w:r>
    </w:p>
    <w:p>
      <w:pPr>
        <w:spacing w:after="0" w:line="90" w:lineRule="exact"/>
        <w:rPr>
          <w:rFonts w:ascii="Arial" w:cs="Arial" w:eastAsia="Arial" w:hAnsi="Arial"/>
          <w:sz w:val="18"/>
          <w:szCs w:val="18"/>
          <w:color w:val="auto"/>
        </w:rPr>
      </w:pPr>
    </w:p>
    <w:p>
      <w:pPr>
        <w:ind w:left="1540" w:hanging="560"/>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Internal communications to management and the Board of Directors.</w:t>
      </w:r>
    </w:p>
    <w:p>
      <w:pPr>
        <w:spacing w:after="0" w:line="103" w:lineRule="exact"/>
        <w:rPr>
          <w:rFonts w:ascii="Arial" w:cs="Arial" w:eastAsia="Arial" w:hAnsi="Arial"/>
          <w:sz w:val="18"/>
          <w:szCs w:val="18"/>
          <w:color w:val="auto"/>
        </w:rPr>
      </w:pPr>
    </w:p>
    <w:p>
      <w:pPr>
        <w:ind w:left="1540" w:hanging="560"/>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Forecasted information included in analyst and industry reports for the Company and certain of its peer companies.</w:t>
      </w:r>
    </w:p>
    <w:p>
      <w:pPr>
        <w:spacing w:after="0" w:line="103" w:lineRule="exact"/>
        <w:rPr>
          <w:rFonts w:ascii="Arial" w:cs="Arial" w:eastAsia="Arial" w:hAnsi="Arial"/>
          <w:sz w:val="18"/>
          <w:szCs w:val="18"/>
          <w:color w:val="auto"/>
        </w:rPr>
      </w:pPr>
    </w:p>
    <w:p>
      <w:pPr>
        <w:jc w:val="both"/>
        <w:ind w:left="900" w:hanging="568"/>
        <w:spacing w:after="0" w:line="263" w:lineRule="auto"/>
        <w:tabs>
          <w:tab w:leader="none" w:pos="8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(1) the valuation methodology used and (2) the projections of future growth rates and the discount rate by testing the underlying source information, and by developing a range of independent estimates and comparing those to the rate selected by management.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November 23, 2021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 of Aramark and subsidiaries (the Company) as of October 2, 2020, the related consolidated statements of (loss) income, comprehensive income (loss), cash flows, and stockholders’ equity for each of the fiscal years ended October 2, 2020 and September 27, 2019 and the related notes and financial statement schedule II (collectively, the consolidated financial statements). In our opinion, the consolidated financial statements present fairly, in all material respects, the financial position of the Company as of October 2, 2020, and the results of its operations and its cash flows for each of the fiscal years ended October 2, 2020 and September 27, 2019, in conformity with U.S. generally accepted accounting principles.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8 to the consolidated financial statements, the Company has changed its method of accounting for leases as of September 28,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2002 to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November 24,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OCTOBER 1, 2021 AND OCTOBER 2, 2020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20" w:type="dxa"/>
            <w:vAlign w:val="bottom"/>
          </w:tcPr>
          <w:p>
            <w:pPr>
              <w:spacing w:after="0"/>
              <w:rPr>
                <w:sz w:val="16"/>
                <w:szCs w:val="16"/>
                <w:color w:val="auto"/>
              </w:rPr>
            </w:pPr>
          </w:p>
        </w:tc>
        <w:tc>
          <w:tcPr>
            <w:tcW w:w="144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2, 2020</w:t>
            </w:r>
          </w:p>
        </w:tc>
      </w:tr>
      <w:tr>
        <w:trPr>
          <w:trHeight w:val="215"/>
        </w:trPr>
        <w:tc>
          <w:tcPr>
            <w:tcW w:w="7820" w:type="dxa"/>
            <w:vAlign w:val="bottom"/>
            <w:tcBorders>
              <w:top w:val="single" w:sz="8" w:color="CCEEFF"/>
            </w:tcBorders>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2,509,188</w:t>
            </w:r>
          </w:p>
        </w:tc>
      </w:tr>
      <w:tr>
        <w:trPr>
          <w:trHeight w:val="229"/>
        </w:trPr>
        <w:tc>
          <w:tcPr>
            <w:tcW w:w="7820" w:type="dxa"/>
            <w:vAlign w:val="bottom"/>
          </w:tcPr>
          <w:p>
            <w:pPr>
              <w:ind w:left="460"/>
              <w:spacing w:after="0"/>
              <w:rPr>
                <w:sz w:val="20"/>
                <w:szCs w:val="20"/>
                <w:color w:val="auto"/>
              </w:rPr>
            </w:pPr>
            <w:r>
              <w:rPr>
                <w:rFonts w:ascii="Arial" w:cs="Arial" w:eastAsia="Arial" w:hAnsi="Arial"/>
                <w:sz w:val="18"/>
                <w:szCs w:val="18"/>
                <w:color w:val="auto"/>
              </w:rPr>
              <w:t>Receivables (less allowances: 2021 - $79,644; 2020 - $74,925)</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1,748,601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1,431,206</w:t>
            </w: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436,473</w:t>
            </w:r>
          </w:p>
        </w:tc>
      </w:tr>
      <w:tr>
        <w:trPr>
          <w:trHeight w:val="229"/>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298,944</w:t>
            </w:r>
          </w:p>
        </w:tc>
      </w:tr>
      <w:tr>
        <w:trPr>
          <w:trHeight w:val="223"/>
        </w:trPr>
        <w:tc>
          <w:tcPr>
            <w:tcW w:w="7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2,898,855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4,675,811</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Property and Equipment, at cost:</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Land, buildings and improvements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929,354</w:t>
            </w:r>
          </w:p>
        </w:tc>
      </w:tr>
      <w:tr>
        <w:trPr>
          <w:trHeight w:val="230"/>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Service equipment and fixtures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4,355,699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4,184,603</w:t>
            </w:r>
          </w:p>
        </w:tc>
      </w:tr>
      <w:tr>
        <w:trPr>
          <w:trHeight w:val="223"/>
        </w:trPr>
        <w:tc>
          <w:tcPr>
            <w:tcW w:w="7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5,113,957</w:t>
            </w:r>
          </w:p>
        </w:tc>
      </w:tr>
      <w:tr>
        <w:trPr>
          <w:trHeight w:val="230"/>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Less - Accumulated depreciation</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(3,300,845)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(3,063,049)</w:t>
            </w:r>
          </w:p>
        </w:tc>
      </w:tr>
      <w:tr>
        <w:trPr>
          <w:trHeight w:val="223"/>
        </w:trPr>
        <w:tc>
          <w:tcPr>
            <w:tcW w:w="78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2,038,394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2,050,908</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5,487,297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5,343,828</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2,028,622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1,932,637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587,854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551,394</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1,158,106</w:t>
            </w:r>
          </w:p>
        </w:tc>
      </w:tr>
      <w:tr>
        <w:trPr>
          <w:trHeight w:val="223"/>
        </w:trPr>
        <w:tc>
          <w:tcPr>
            <w:tcW w:w="78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14,376,164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15,712,684</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7"/>
        </w:trPr>
        <w:tc>
          <w:tcPr>
            <w:tcW w:w="7820" w:type="dxa"/>
            <w:vAlign w:val="bottom"/>
            <w:shd w:val="clear" w:color="auto" w:fill="CCEEFF"/>
          </w:tcPr>
          <w:p>
            <w:pPr>
              <w:ind w:left="19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Current maturities of long-term borrowings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99,915</w:t>
            </w:r>
          </w:p>
        </w:tc>
      </w:tr>
      <w:tr>
        <w:trPr>
          <w:trHeight w:val="230"/>
        </w:trPr>
        <w:tc>
          <w:tcPr>
            <w:tcW w:w="7820" w:type="dxa"/>
            <w:vAlign w:val="bottom"/>
          </w:tcPr>
          <w:p>
            <w:pPr>
              <w:ind w:left="4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67,280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71,810</w:t>
            </w: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663,455</w:t>
            </w:r>
          </w:p>
        </w:tc>
      </w:tr>
      <w:tr>
        <w:trPr>
          <w:trHeight w:val="230"/>
        </w:trPr>
        <w:tc>
          <w:tcPr>
            <w:tcW w:w="7820" w:type="dxa"/>
            <w:vAlign w:val="bottom"/>
          </w:tcPr>
          <w:p>
            <w:pPr>
              <w:ind w:left="4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572,076</w:t>
            </w: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940,202</w:t>
            </w:r>
          </w:p>
        </w:tc>
      </w:tr>
      <w:tr>
        <w:trPr>
          <w:trHeight w:val="223"/>
        </w:trPr>
        <w:tc>
          <w:tcPr>
            <w:tcW w:w="782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2,857,433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2,347,458</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7,393,417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9,178,508</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341,667</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1,099,075</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14)</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2"/>
        </w:trPr>
        <w:tc>
          <w:tcPr>
            <w:tcW w:w="782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w w:val="90"/>
              </w:rPr>
              <w:t>Common stock, par value $0.01 (authorized: 600,000,000 shares; issued: 2021—294,329,180 shares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89"/>
        </w:trPr>
        <w:tc>
          <w:tcPr>
            <w:tcW w:w="7820" w:type="dxa"/>
            <w:vAlign w:val="bottom"/>
            <w:shd w:val="clear" w:color="auto" w:fill="CCEEFF"/>
          </w:tcPr>
          <w:p>
            <w:pPr>
              <w:ind w:left="460"/>
              <w:spacing w:after="0" w:line="189" w:lineRule="exact"/>
              <w:rPr>
                <w:sz w:val="20"/>
                <w:szCs w:val="20"/>
                <w:color w:val="auto"/>
              </w:rPr>
            </w:pPr>
            <w:r>
              <w:rPr>
                <w:rFonts w:ascii="Arial" w:cs="Arial" w:eastAsia="Arial" w:hAnsi="Arial"/>
                <w:sz w:val="18"/>
                <w:szCs w:val="18"/>
                <w:color w:val="auto"/>
                <w:w w:val="97"/>
              </w:rPr>
              <w:t>and 2020—290,663,529; and outstanding: 2021—255,998,119 shares and 2020—253,042,169</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r>
      <w:tr>
        <w:trPr>
          <w:trHeight w:val="229"/>
        </w:trPr>
        <w:tc>
          <w:tcPr>
            <w:tcW w:w="7820" w:type="dxa"/>
            <w:vAlign w:val="bottom"/>
          </w:tcPr>
          <w:p>
            <w:pPr>
              <w:ind w:left="460"/>
              <w:spacing w:after="0"/>
              <w:rPr>
                <w:sz w:val="20"/>
                <w:szCs w:val="20"/>
                <w:color w:val="auto"/>
              </w:rPr>
            </w:pPr>
            <w:r>
              <w:rPr>
                <w:rFonts w:ascii="Arial" w:cs="Arial" w:eastAsia="Arial" w:hAnsi="Arial"/>
                <w:sz w:val="18"/>
                <w:szCs w:val="18"/>
                <w:color w:val="auto"/>
              </w:rPr>
              <w:t>Capital surplus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3,533,054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3,416,132</w:t>
            </w:r>
          </w:p>
        </w:tc>
      </w:tr>
      <w:tr>
        <w:trPr>
          <w:trHeight w:val="230"/>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532,379</w:t>
            </w:r>
          </w:p>
        </w:tc>
      </w:tr>
      <w:tr>
        <w:trPr>
          <w:trHeight w:val="230"/>
        </w:trPr>
        <w:tc>
          <w:tcPr>
            <w:tcW w:w="7820" w:type="dxa"/>
            <w:vAlign w:val="bottom"/>
          </w:tcPr>
          <w:p>
            <w:pPr>
              <w:ind w:left="4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(307,258)</w:t>
            </w:r>
          </w:p>
        </w:tc>
      </w:tr>
      <w:tr>
        <w:trPr>
          <w:trHeight w:val="229"/>
        </w:trPr>
        <w:tc>
          <w:tcPr>
            <w:tcW w:w="78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Treasury stock (shares held in treasury: 2021—38,331,061 shares and 2020—37,621,360 shares)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(908,172)</w:t>
            </w:r>
          </w:p>
        </w:tc>
      </w:tr>
      <w:tr>
        <w:trPr>
          <w:trHeight w:val="223"/>
        </w:trPr>
        <w:tc>
          <w:tcPr>
            <w:tcW w:w="782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2,735,988</w:t>
            </w:r>
          </w:p>
        </w:tc>
      </w:tr>
      <w:tr>
        <w:trPr>
          <w:trHeight w:val="248"/>
        </w:trPr>
        <w:tc>
          <w:tcPr>
            <w:tcW w:w="7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15,712,684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w:t>
      </w:r>
      <w:r>
        <w:rPr>
          <w:rFonts w:ascii="Arial" w:cs="Arial" w:eastAsia="Arial" w:hAnsi="Arial"/>
          <w:sz w:val="17"/>
          <w:szCs w:val="17"/>
          <w:color w:val="auto"/>
        </w:rPr>
        <w:t>e accompanying notes are an integral part of these consolidated financial statements.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1, 2021, OCTOBER 2, 2020 AND SEPTEMBER 27, 2019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1"/>
        </w:trPr>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5"/>
                <w:szCs w:val="15"/>
                <w:color w:val="auto"/>
              </w:rPr>
            </w:pPr>
          </w:p>
        </w:tc>
        <w:tc>
          <w:tcPr>
            <w:tcW w:w="1500" w:type="dxa"/>
            <w:vAlign w:val="bottom"/>
          </w:tcPr>
          <w:p>
            <w:pPr>
              <w:jc w:val="right"/>
              <w:ind w:right="159"/>
              <w:spacing w:after="0"/>
              <w:rPr>
                <w:sz w:val="20"/>
                <w:szCs w:val="20"/>
                <w:color w:val="auto"/>
              </w:rPr>
            </w:pPr>
            <w:r>
              <w:rPr>
                <w:rFonts w:ascii="Arial" w:cs="Arial" w:eastAsia="Arial" w:hAnsi="Arial"/>
                <w:sz w:val="14"/>
                <w:szCs w:val="14"/>
                <w:b w:val="1"/>
                <w:bCs w:val="1"/>
                <w:color w:val="auto"/>
                <w:w w:val="94"/>
              </w:rPr>
              <w:t>September 27, 2019</w:t>
            </w:r>
          </w:p>
        </w:tc>
      </w:tr>
      <w:tr>
        <w:trPr>
          <w:trHeight w:val="211"/>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12,095,965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12,829,559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16,227,341</w:t>
            </w:r>
          </w:p>
        </w:tc>
      </w:tr>
      <w:tr>
        <w:trPr>
          <w:trHeight w:val="193"/>
        </w:trPr>
        <w:tc>
          <w:tcPr>
            <w:tcW w:w="602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9"/>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11,007,080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11,993,667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14,532,662</w:t>
            </w:r>
          </w:p>
        </w:tc>
      </w:tr>
      <w:tr>
        <w:trPr>
          <w:trHeight w:val="213"/>
        </w:trPr>
        <w:tc>
          <w:tcPr>
            <w:tcW w:w="602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550,692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595,195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592,573</w:t>
            </w:r>
          </w:p>
        </w:tc>
      </w:tr>
      <w:tr>
        <w:trPr>
          <w:trHeight w:val="219"/>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346,749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307,016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367,256</w:t>
            </w:r>
          </w:p>
        </w:tc>
      </w:tr>
      <w:tr>
        <w:trPr>
          <w:trHeight w:val="213"/>
        </w:trPr>
        <w:tc>
          <w:tcPr>
            <w:tcW w:w="6020" w:type="dxa"/>
            <w:vAlign w:val="bottom"/>
          </w:tcPr>
          <w:p>
            <w:pPr>
              <w:ind w:left="46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198,600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sale of Healthcare Technologies</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(156,309)</w:t>
            </w:r>
          </w:p>
        </w:tc>
      </w:tr>
      <w:tr>
        <w:trPr>
          <w:trHeight w:val="209"/>
        </w:trPr>
        <w:tc>
          <w:tcPr>
            <w:tcW w:w="60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11,904,521</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13,094,478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15,336,182</w:t>
            </w:r>
          </w:p>
        </w:tc>
      </w:tr>
      <w:tr>
        <w:trPr>
          <w:trHeight w:val="213"/>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891,159</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Gain on Equity Investment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(137,934)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Defined Benefit Pension Plan Termination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Financing Costs, net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401,366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382,800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334,987</w:t>
            </w: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(647,719)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556,172</w:t>
            </w:r>
          </w:p>
        </w:tc>
      </w:tr>
      <w:tr>
        <w:trPr>
          <w:trHeight w:val="21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(186,284)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107,706</w:t>
            </w:r>
          </w:p>
        </w:tc>
      </w:tr>
      <w:tr>
        <w:trPr>
          <w:trHeight w:val="212"/>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448,466</w:t>
            </w:r>
          </w:p>
        </w:tc>
      </w:tr>
      <w:tr>
        <w:trPr>
          <w:trHeight w:val="213"/>
        </w:trPr>
        <w:tc>
          <w:tcPr>
            <w:tcW w:w="60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Less: Net (loss) income attributable to noncontrolling interest</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r>
      <w:tr>
        <w:trPr>
          <w:trHeight w:val="234"/>
        </w:trPr>
        <w:tc>
          <w:tcPr>
            <w:tcW w:w="60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(loss) income attributable to Aramark stockholders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(90,833)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448,549</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share attributable to Aramark stockholders: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6020" w:type="dxa"/>
            <w:vAlign w:val="bottom"/>
          </w:tcPr>
          <w:p>
            <w:pPr>
              <w:ind w:left="46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9"/>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9"/>
        </w:trPr>
        <w:tc>
          <w:tcPr>
            <w:tcW w:w="6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246,854</w:t>
            </w:r>
          </w:p>
        </w:tc>
      </w:tr>
      <w:tr>
        <w:trPr>
          <w:trHeight w:val="210"/>
        </w:trPr>
        <w:tc>
          <w:tcPr>
            <w:tcW w:w="6020" w:type="dxa"/>
            <w:vAlign w:val="bottom"/>
          </w:tcPr>
          <w:p>
            <w:pPr>
              <w:ind w:left="46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254,748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251,828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252,010</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1, 2021, OCTOBER 2, 2020 AND SEPTEMBER 27, 2019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1"/>
        </w:trPr>
        <w:tc>
          <w:tcPr>
            <w:tcW w:w="6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5"/>
                <w:szCs w:val="15"/>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5"/>
                <w:szCs w:val="15"/>
                <w:color w:val="auto"/>
              </w:rPr>
            </w:pPr>
          </w:p>
        </w:tc>
        <w:tc>
          <w:tcPr>
            <w:tcW w:w="1500" w:type="dxa"/>
            <w:vAlign w:val="bottom"/>
          </w:tcPr>
          <w:p>
            <w:pPr>
              <w:jc w:val="right"/>
              <w:ind w:right="152"/>
              <w:spacing w:after="0"/>
              <w:rPr>
                <w:sz w:val="20"/>
                <w:szCs w:val="20"/>
                <w:color w:val="auto"/>
              </w:rPr>
            </w:pPr>
            <w:r>
              <w:rPr>
                <w:rFonts w:ascii="Arial" w:cs="Arial" w:eastAsia="Arial" w:hAnsi="Arial"/>
                <w:sz w:val="14"/>
                <w:szCs w:val="14"/>
                <w:b w:val="1"/>
                <w:bCs w:val="1"/>
                <w:color w:val="auto"/>
                <w:w w:val="94"/>
              </w:rPr>
              <w:t>September 27, 2019</w:t>
            </w:r>
          </w:p>
        </w:tc>
      </w:tr>
      <w:tr>
        <w:trPr>
          <w:trHeight w:val="224"/>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448,466</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(22,594)</w:t>
            </w:r>
          </w:p>
        </w:tc>
      </w:tr>
      <w:tr>
        <w:trPr>
          <w:trHeight w:val="230"/>
        </w:trPr>
        <w:tc>
          <w:tcPr>
            <w:tcW w:w="602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8,925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(34,308)</w:t>
            </w:r>
          </w:p>
        </w:tc>
      </w:tr>
      <w:tr>
        <w:trPr>
          <w:trHeight w:val="229"/>
        </w:trPr>
        <w:tc>
          <w:tcPr>
            <w:tcW w:w="6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6020" w:type="dxa"/>
            <w:vAlign w:val="bottom"/>
          </w:tcPr>
          <w:p>
            <w:pPr>
              <w:ind w:left="900"/>
              <w:spacing w:after="0"/>
              <w:rPr>
                <w:sz w:val="20"/>
                <w:szCs w:val="20"/>
                <w:color w:val="auto"/>
              </w:rPr>
            </w:pPr>
            <w:r>
              <w:rPr>
                <w:rFonts w:ascii="Arial" w:cs="Arial" w:eastAsia="Arial" w:hAnsi="Arial"/>
                <w:sz w:val="18"/>
                <w:szCs w:val="18"/>
                <w:color w:val="auto"/>
              </w:rPr>
              <w:t>Unrealized gains (losses) arising during the period</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(82,005)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(62,450)</w:t>
            </w:r>
          </w:p>
        </w:tc>
      </w:tr>
      <w:tr>
        <w:trPr>
          <w:trHeight w:val="230"/>
        </w:trPr>
        <w:tc>
          <w:tcPr>
            <w:tcW w:w="60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Reclassification adjustments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r>
      <w:tr>
        <w:trPr>
          <w:trHeight w:val="229"/>
        </w:trPr>
        <w:tc>
          <w:tcPr>
            <w:tcW w:w="60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Share of equity investee's comprehensive income (loss)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(125,742)</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322,724</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602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322,807</w:t>
            </w:r>
          </w:p>
        </w:tc>
      </w:tr>
      <w:tr>
        <w:trPr>
          <w:trHeight w:val="21"/>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1, 2021, OCTOBER 2, 2020 AND SEPTEMBER 27, 2019</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October 2, 2020</w:t>
            </w:r>
          </w:p>
        </w:tc>
        <w:tc>
          <w:tcPr>
            <w:tcW w:w="160" w:type="dxa"/>
            <w:vAlign w:val="bottom"/>
          </w:tcPr>
          <w:p>
            <w:pPr>
              <w:spacing w:after="0"/>
              <w:rPr>
                <w:sz w:val="16"/>
                <w:szCs w:val="16"/>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27, 2019</w:t>
            </w:r>
          </w:p>
        </w:tc>
      </w:tr>
      <w:tr>
        <w:trPr>
          <w:trHeight w:val="170"/>
        </w:trPr>
        <w:tc>
          <w:tcPr>
            <w:tcW w:w="6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Net (loss)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(92,219)</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(461,435)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448,466</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Adjustments to reconcile net (loss) income to net cash provided by operating activities: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550,692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595,195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592,573</w:t>
            </w:r>
          </w:p>
        </w:tc>
      </w:tr>
      <w:tr>
        <w:trPr>
          <w:trHeight w:val="192"/>
        </w:trPr>
        <w:tc>
          <w:tcPr>
            <w:tcW w:w="60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Goodwill impairment and asset write-downs</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283,743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Gain on equity investment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(137,934)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0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Loss on defined benefit pension plan termination</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(43,234)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(134,048)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40,503</w:t>
            </w:r>
          </w:p>
        </w:tc>
      </w:tr>
      <w:tr>
        <w:trPr>
          <w:trHeight w:val="192"/>
        </w:trPr>
        <w:tc>
          <w:tcPr>
            <w:tcW w:w="60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Share-based compensation expense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71,053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55,280</w:t>
            </w: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Net gain on sale of Healthcare Technologies</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(139,165)</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(290,214)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362,708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(78,771)</w:t>
            </w:r>
          </w:p>
        </w:tc>
      </w:tr>
      <w:tr>
        <w:trPr>
          <w:trHeight w:val="192"/>
        </w:trPr>
        <w:tc>
          <w:tcPr>
            <w:tcW w:w="60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(49,732)</w:t>
            </w: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101,939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(86,444)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(37,854)</w:t>
            </w:r>
          </w:p>
        </w:tc>
      </w:tr>
      <w:tr>
        <w:trPr>
          <w:trHeight w:val="192"/>
        </w:trPr>
        <w:tc>
          <w:tcPr>
            <w:tcW w:w="60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17,680</w:t>
            </w:r>
          </w:p>
        </w:tc>
      </w:tr>
      <w:tr>
        <w:trPr>
          <w:trHeight w:val="186"/>
        </w:trPr>
        <w:tc>
          <w:tcPr>
            <w:tcW w:w="6020" w:type="dxa"/>
            <w:vAlign w:val="bottom"/>
          </w:tcPr>
          <w:p>
            <w:pPr>
              <w:ind w:left="9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261,154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(143,640)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193,532</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Payments made to clients on contracts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(40,073)</w:t>
            </w: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Changes in other noncurrent liabilities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(17,427)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92,782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18,904</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other assets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(41,436)</w:t>
            </w:r>
          </w:p>
        </w:tc>
      </w:tr>
      <w:tr>
        <w:trPr>
          <w:trHeight w:val="186"/>
        </w:trPr>
        <w:tc>
          <w:tcPr>
            <w:tcW w:w="6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operating activities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657,079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176,682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984,227</w:t>
            </w:r>
          </w:p>
        </w:tc>
      </w:tr>
      <w:tr>
        <w:trPr>
          <w:trHeight w:val="166"/>
        </w:trPr>
        <w:tc>
          <w:tcPr>
            <w:tcW w:w="60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Purchases of property and equipment and other</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(407,818)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(418,508)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(503,090)</w:t>
            </w: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Disposals of property and equipment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32,474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54,074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17,871</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divestitures</w:t>
            </w: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293,711</w:t>
            </w: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Acquisition of certain businesses, net of cash acquired</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(265,766)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(22,201)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(44,863)</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governmental agencies related to property and equipment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23,025</w:t>
            </w:r>
          </w:p>
        </w:tc>
      </w:tr>
      <w:tr>
        <w:trPr>
          <w:trHeight w:val="186"/>
        </w:trPr>
        <w:tc>
          <w:tcPr>
            <w:tcW w:w="6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Other investing activities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3,825</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(634,386)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(361,120)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(209,521)</w:t>
            </w:r>
          </w:p>
        </w:tc>
      </w:tr>
      <w:tr>
        <w:trPr>
          <w:trHeight w:val="166"/>
        </w:trPr>
        <w:tc>
          <w:tcPr>
            <w:tcW w:w="60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long-term borrowings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893,993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3,239,772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77,630</w:t>
            </w: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Payments of long-term borrowings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(2,453,571)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(1,000,463)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(654,560)</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Net change in funding under the Receivables Facility</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315,600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Payments of dividends</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(112,010)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(110,893)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(108,439)</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Proceeds from issuance of common stock</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39,087</w:t>
            </w:r>
          </w:p>
        </w:tc>
      </w:tr>
      <w:tr>
        <w:trPr>
          <w:trHeight w:val="186"/>
        </w:trPr>
        <w:tc>
          <w:tcPr>
            <w:tcW w:w="6020" w:type="dxa"/>
            <w:vAlign w:val="bottom"/>
          </w:tcPr>
          <w:p>
            <w:pPr>
              <w:ind w:left="460"/>
              <w:spacing w:after="0"/>
              <w:rPr>
                <w:sz w:val="20"/>
                <w:szCs w:val="20"/>
                <w:color w:val="auto"/>
              </w:rPr>
            </w:pPr>
            <w:r>
              <w:rPr>
                <w:rFonts w:ascii="Arial" w:cs="Arial" w:eastAsia="Arial" w:hAnsi="Arial"/>
                <w:sz w:val="14"/>
                <w:szCs w:val="14"/>
                <w:color w:val="auto"/>
              </w:rPr>
              <w:t>Repurchase of common stock</w:t>
            </w:r>
          </w:p>
        </w:tc>
        <w:tc>
          <w:tcPr>
            <w:tcW w:w="22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(6,540)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(50,000)</w:t>
            </w:r>
          </w:p>
        </w:tc>
      </w:tr>
      <w:tr>
        <w:trPr>
          <w:trHeight w:val="192"/>
        </w:trPr>
        <w:tc>
          <w:tcPr>
            <w:tcW w:w="6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Other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(59,738)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(89,976)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(38,610)</w:t>
            </w:r>
          </w:p>
        </w:tc>
      </w:tr>
      <w:tr>
        <w:trPr>
          <w:trHeight w:val="17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(2,005,339)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2,437,522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(734,892)</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(8,196)</w:t>
            </w:r>
          </w:p>
        </w:tc>
      </w:tr>
      <w:tr>
        <w:trPr>
          <w:trHeight w:val="179"/>
        </w:trPr>
        <w:tc>
          <w:tcPr>
            <w:tcW w:w="6020" w:type="dxa"/>
            <w:vAlign w:val="bottom"/>
          </w:tcPr>
          <w:p>
            <w:pPr>
              <w:ind w:left="20"/>
              <w:spacing w:after="0"/>
              <w:rPr>
                <w:sz w:val="20"/>
                <w:szCs w:val="20"/>
                <w:color w:val="auto"/>
              </w:rPr>
            </w:pPr>
            <w:r>
              <w:rPr>
                <w:rFonts w:ascii="Arial" w:cs="Arial" w:eastAsia="Arial" w:hAnsi="Arial"/>
                <w:sz w:val="14"/>
                <w:szCs w:val="14"/>
                <w:color w:val="auto"/>
              </w:rPr>
              <w:t>(Decrease) increase in cash and cash equivalents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(1,976,597)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2,262,545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31,618</w:t>
            </w:r>
          </w:p>
        </w:tc>
      </w:tr>
      <w:tr>
        <w:trPr>
          <w:trHeight w:val="19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2,509,188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246,643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215,025</w:t>
            </w:r>
          </w:p>
        </w:tc>
      </w:tr>
      <w:tr>
        <w:trPr>
          <w:trHeight w:val="179"/>
        </w:trPr>
        <w:tc>
          <w:tcPr>
            <w:tcW w:w="60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532,591</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2,509,188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246,643</w:t>
            </w:r>
          </w:p>
        </w:tc>
      </w:tr>
      <w:tr>
        <w:trPr>
          <w:trHeight w:val="24"/>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1, 2021, OCTOBER 2, 2020 AND SEPTEMBER 27, 2019</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8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Stockholders'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860" w:type="dxa"/>
            <w:vAlign w:val="bottom"/>
          </w:tcPr>
          <w:p>
            <w:pPr>
              <w:jc w:val="right"/>
              <w:ind w:right="254"/>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49"/>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28, 2018</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3,029,558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3,132,421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(724,952)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Adoption of new accounting standard</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58,395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58,395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4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Net income attributable to Aramark</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448,549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448,549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stockholders</w:t>
            </w: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(125,742)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40" w:type="dxa"/>
            <w:vAlign w:val="bottom"/>
            <w:shd w:val="clear" w:color="auto" w:fill="CCEEFF"/>
          </w:tcPr>
          <w:p>
            <w:pPr>
              <w:ind w:left="460"/>
              <w:spacing w:after="0" w:line="176" w:lineRule="exact"/>
              <w:rPr>
                <w:sz w:val="20"/>
                <w:szCs w:val="20"/>
                <w:color w:val="auto"/>
              </w:rPr>
            </w:pPr>
            <w:r>
              <w:rPr>
                <w:rFonts w:ascii="Arial" w:cs="Arial" w:eastAsia="Arial" w:hAnsi="Arial"/>
                <w:sz w:val="18"/>
                <w:szCs w:val="18"/>
                <w:color w:val="auto"/>
              </w:rPr>
              <w:t>Capital contributions from issuance of</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48,785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48,749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55,280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(84,344)</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Payments of dividends ($0.44 per share)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27,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3,320,047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3,236,450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(809,296)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w w:val="93"/>
              </w:rPr>
              <w:t>Net loss attributable to Aramark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(461,529)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(461,529)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40" w:type="dxa"/>
            <w:vAlign w:val="bottom"/>
          </w:tcPr>
          <w:p>
            <w:pPr>
              <w:ind w:left="460"/>
              <w:spacing w:after="0" w:line="176" w:lineRule="exact"/>
              <w:rPr>
                <w:sz w:val="20"/>
                <w:szCs w:val="20"/>
                <w:color w:val="auto"/>
              </w:rPr>
            </w:pPr>
            <w:r>
              <w:rPr>
                <w:rFonts w:ascii="Arial" w:cs="Arial" w:eastAsia="Arial" w:hAnsi="Arial"/>
                <w:sz w:val="18"/>
                <w:szCs w:val="18"/>
                <w:color w:val="auto"/>
              </w:rPr>
              <w:t>Capital contributions from issuance of</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134,607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134,529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Capital contributions from stockholder</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40" w:type="dxa"/>
            <w:vAlign w:val="bottom"/>
          </w:tcPr>
          <w:p>
            <w:pPr>
              <w:ind w:left="4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(98,876)</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Payments of dividends ($0.44 per share)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3,416,132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w w:val="93"/>
              </w:rPr>
              <w:t>Net loss attributable to Aramark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(90,833)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(90,833)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840" w:type="dxa"/>
            <w:vAlign w:val="bottom"/>
          </w:tcPr>
          <w:p>
            <w:pPr>
              <w:ind w:left="460"/>
              <w:spacing w:after="0" w:line="176" w:lineRule="exact"/>
              <w:rPr>
                <w:sz w:val="20"/>
                <w:szCs w:val="20"/>
                <w:color w:val="auto"/>
              </w:rPr>
            </w:pPr>
            <w:r>
              <w:rPr>
                <w:rFonts w:ascii="Arial" w:cs="Arial" w:eastAsia="Arial" w:hAnsi="Arial"/>
                <w:sz w:val="18"/>
                <w:szCs w:val="18"/>
                <w:color w:val="auto"/>
              </w:rPr>
              <w:t>Capital contributions from issuance of</w:t>
            </w: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45,905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45,869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46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(24,499)</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of dividends ($0.44 per share)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Pr>
          <w:p>
            <w:pPr>
              <w:ind w:left="20"/>
              <w:spacing w:after="0"/>
              <w:rPr>
                <w:sz w:val="20"/>
                <w:szCs w:val="20"/>
                <w:color w:val="auto"/>
              </w:rPr>
            </w:pPr>
            <w:r>
              <w:rPr>
                <w:rFonts w:ascii="Arial" w:cs="Arial" w:eastAsia="Arial" w:hAnsi="Arial"/>
                <w:sz w:val="18"/>
                <w:szCs w:val="18"/>
                <w:color w:val="auto"/>
              </w:rPr>
              <w:t>Balance, October 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3,533,054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327,557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(932,671)</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BASIS OF PRESENTATION AND SUMMARY OF SIGNIFICANT ACCOUNTING POLICIES:</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w:t>
      </w:r>
    </w:p>
    <w:p>
      <w:pPr>
        <w:spacing w:after="0" w:line="62" w:lineRule="exact"/>
        <w:rPr>
          <w:sz w:val="20"/>
          <w:szCs w:val="20"/>
          <w:color w:val="auto"/>
        </w:rPr>
      </w:pPr>
    </w:p>
    <w:p>
      <w:pPr>
        <w:ind w:left="660" w:right="240" w:hanging="328"/>
        <w:spacing w:after="0" w:line="334"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Food and Support Services United States ("FSS United States") - Food, refreshment, specialized dietary and support services, including facility maintenance and housekeeping, provided to business, educational and healthcare institutions and in sports, leisure and other facilities.</w:t>
      </w:r>
    </w:p>
    <w:p>
      <w:pPr>
        <w:ind w:left="660" w:right="320" w:hanging="328"/>
        <w:spacing w:after="0" w:line="342"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Food and Support Services International ("FSS International") - Food, refreshment, specialized dietary and support services, including facility maintenance and housekeeping, provided to business, educational and healthcare institutions and in sports, leisure and other facilities.</w:t>
      </w:r>
    </w:p>
    <w:p>
      <w:pPr>
        <w:spacing w:after="0" w:line="2" w:lineRule="exact"/>
        <w:rPr>
          <w:rFonts w:ascii="Arial" w:cs="Arial" w:eastAsia="Arial" w:hAnsi="Arial"/>
          <w:sz w:val="16"/>
          <w:szCs w:val="16"/>
          <w:color w:val="auto"/>
        </w:rPr>
      </w:pPr>
    </w:p>
    <w:p>
      <w:pPr>
        <w:ind w:left="660" w:hanging="328"/>
        <w:spacing w:after="0" w:line="296"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Uniform and Career Apparel ("Uniform") - Provides a full service employee uniform solution, including design, sourcing and manufacturing, delivery, cleaning and maintenance on a contract basis. Directly markets personalized uniforms and accessories, provides managed restroom services and rents uniforms, work clothing, outerwear, particulate-free garments and non-garment items and related services, including mats, shop towels and first aid supplies, to clients in a wide range of industries in the United States, Puerto Rico, Canada and through a joint venture in Japan, including the manufacturing, transportation, construction, restaurant and hotel, healthcare and pharmaceutical industries.</w:t>
      </w:r>
    </w:p>
    <w:p>
      <w:pPr>
        <w:spacing w:after="0" w:line="4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all of its subsidiaries in which a controlling financial interest is maintained in accordance with generally accepted accounting principles in the United States ("U.S. GAAP"). All significant intercompany transactions and accounts have been eliminated.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08"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color w:val="auto"/>
        </w:rPr>
        <w:t>The Company's fiscal year is the fifty-two or fifty-three week period which ends on the Friday nearest September 30th. The fiscal years ended October 1, 2021 and September 27, 2019 were each fifty-two week periods and the fiscal year ended October 2, 2020 was a fifty-three week period.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0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December 2019, the Financial Accounting Standards Board ("FASB") issued an accounting standards update ("ASU") which simplifies the accounting for income taxes and clarifies and amends existing income tax guidance. Impacted areas include intraperiod tax allocations, interim period taxes, deferred tax liabilities with outside basis differences, franchise taxes and transactions which result in the "step-up" of goodwill. The Company early adopted this guidance in the first quarter of fiscal 2021. The adoption of this guidance did not have a material impact on the consolidated financial statements.</w:t>
      </w:r>
    </w:p>
    <w:p>
      <w:pPr>
        <w:spacing w:after="0" w:line="3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November 2019, the FASB issued an ASU which provides clarification and improvements to existing guidance related to the credit losses on financial instruments standard. The guidance was effective for the Company in the first quarter of fiscal 2021. The adoption of this guidance did not have a material impact on the consolidated financial statements.</w:t>
      </w:r>
    </w:p>
    <w:p>
      <w:pPr>
        <w:spacing w:after="0" w:line="4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May 2019, the FASB issued an ASU which provides the option to irrevocably elect to apply the fair value measurement option on an instrument-by-instrument basis for certain financial instruments within the scope of the credit losses on financial instruments standard. The guidance was effective for the Company in the first quarter of fiscal 2021. The adoption of this guidance did not have a material impact on the consolidated financial statements.</w:t>
      </w:r>
    </w:p>
    <w:p>
      <w:pPr>
        <w:spacing w:after="0" w:line="27"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April 2019, the FASB issued an ASU which provides clarification, error corrections and improvements to existing guidance related to the credit losses on financial instruments ASU issued in June 2016, the derivatives and hedging ASU issued in August 2017 and the financial instruments ASU issued in January 2016. The Company adopted the guidance related to the financial instruments ASU and the derivatives and hedging ASU in prior fiscal years, which did not have a material impact on the consolidated financial statements. The guidance related to the credit losses on financial instruments ASU was effective for the Company in the first quarter of fiscal 2021, which did not have a material impact on the consolidated financial statements.</w:t>
      </w:r>
    </w:p>
    <w:p>
      <w:pPr>
        <w:spacing w:after="0" w:line="4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August 2018, the FASB issued an ASU which adds, modifies and removes several disclosure requirements related to defined benefit pension plans. The Company early adopted the guidance in the fourth quarter of fiscal 2021, which did not have a material impact on the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In August 2018, the FASB issued an ASU which adds, modifies and removes several disclosure requirements related to fair value measurements. The guidance was effective for the Company in the first quarter of fiscal 2021, which did not have a material impact on the consolidated financial statements.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2016, the FASB issued an ASU to require entities to account for expected credit losses on financial instruments including trade receivables. The expected credit loss model replaced the incurred credit loss model, that generally required a loss to be incurred before it was recognized. The forward-looking credit loss model required the Company to consider historical experience, current conditions and reasonable and supportable forecasts that affect the collectability of the reported amount in estimating credit losses. The amended guidance required financial assets that are measured at amortized cost be presented at the net amount expected to be collected. The allowance for credit losses is a valuation account that is deducted from the amortized cost basis of financial assets. The Company adopted this guidance on October 3, 2020 (the first date of fiscal 2021) using a modified retrospective approach. This approach allows the new standard to be applied retrospectively through a cumulative-effect adjustment to retained earnings recognized upon adoption. The adoption of this guidance did not have a material impact on the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October 2021, the FASB issued an ASU which requires that an entity (acquirer) recognize and measure contract assets and contract liabilities acquired in a business combination 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 if it had originated the contracts. The guidance is effective for the Company in the first quarter of fiscal 2024 and early adoption is permitted. The Company is currently evaluating the impact of this standard.</w:t>
      </w:r>
    </w:p>
    <w:p>
      <w:pPr>
        <w:spacing w:after="0" w:line="5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January 2021, the FASB issued an ASU which clarifies certain optional expedients and exceptions for contract modifications and hedge accounting that may apply to derivatives that are affected by the discontinuance of LIBOR and the reference rate reform standard. The Company may adopt this guidance through December 2022 if the remaining amendment to the reference rate reform standard is adopted. The Company is currently evaluating the impact of this standard.</w:t>
      </w:r>
    </w:p>
    <w:p>
      <w:pPr>
        <w:spacing w:after="0" w:line="6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2020, the FASB issued an ASU which provides optional expedients that may be adopted and applied through December 2022 to assist with the discontinuance of LIBOR. The expedients allow companies to ease the potential accounting burden when modifying contracts and hedging relationships that use LIBOR as a reference rate, if certain criteria are met. During fiscal 2020, the Company adopted the optional expedient to assert probability of forecasted hedged transactions occurring on its interest rate swap derivative contracts regardless of any expected contract modifications related to reference rate reform. Other optional expedients related to hedging relationships may be contemplated in the future resulting from reference rate reform. The Company reviewed its portfolio of debt agreements, lease agreements and other contracts and determined that only its debt agreements will be impacted by this standard, as the lease agreements and other contracts do not use LIBOR as a reference rate. The Company is currently evaluating the impact of the remaining amendment of this standard.</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2020, the FASB issued an ASU which provides clarification and improvements to existing guidance related to accounting for certain equity securities upon the application or discontinuation of equity method accounting and the measurement of forward contracts and purchased options on certain securities. The guidance is effective for the Company in the first quarter of fiscal 2022 and early adoption is permitted. The adoption of this guidance will not have a material impact on the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recognizes revenue when its performance obligation is satisfied upon the transfer of control of the promised product or service to customers in an amount that reflects the consideration the Company expects to be entitled to in exchange for those goods and services. In each of the Company's operating segments, revenue is recognized over time in the period in which services are provided pursuant to the terms of the Company's contractual relationships with its clients. The Company generally records revenue on food and support services contracts (both profit and loss contracts and client interest contracts) on a gross basis as the Company is the primary obligor and service provider. See Note 7 for additional information on revenue recognition.</w:t>
      </w:r>
    </w:p>
    <w:p>
      <w:pPr>
        <w:spacing w:after="0" w:line="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Certain profit and loss contracts include payments to the client, typically calculated as a fixed or variable percentage of various categories of revenue and income. In some cases these contracts require minimum guaranteed payments that are contingent on certain future events. These expenses are currently recorded in "Cost of services provided (exclusive of depreciation and amortization)."</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from client interest contracts is generally comprised of amounts billed to clients for food, labor and other costs that the Company incurs, controls and pays for. Revenue from these contracts also includes any associated management fees, client subsidies or incentive fees based upon the Company's performance under the contract. Revenue from direct marketing activities is recognized at a point in time upon shipment. All revenue related taxes are presented on a net basis.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an accounts receivable balance when revenue is recognized prior to or at the time of invoicing the customer. A majority of the Company’s receivables balances are based on contracts with customers.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estimates and reserves for its credit loss exposure based on historical experience, current conditions and reasonable and supportable forecasts that affect the collectability of the reported amount in estimating credit losses. Credit loss expense is classified within "Cost of services provided (exclusive of depreciation and amortization)."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Consideration</w:t>
      </w:r>
    </w:p>
    <w:p>
      <w:pPr>
        <w:spacing w:after="0" w:line="10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Consideration received from vendors includes rebates, allowances and volume discounts and are accounted for as an adjustment to the cost of the vendors' products or services and are reported as a reduction of "Cost of services provided (exclusive of depreciation and amortization)," "Inventory," or "Property and equipment, net." Income from rebates, allowances and volume discounts is recognized based on actual purchases in the fiscal period relative to total actual purchases to be made for the contractual rebate period agreed to with the vendor. Rebates, allowances and volume discounts related to “Inventory” held at the balance sheet date are deducted from the carrying value of these inventories. Rebates, allowances and volume discounts related to "Property and equipment, net" are deducted from the costs capitalized.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materially differ from those estimates.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(loss) is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Fiscal Year Ended</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90"/>
              </w:rPr>
              <w:t>October 1, 2021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October 2, 2020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September 27, 2019</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92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rPr>
              <w:t>Pre-Tax</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Tax Effect</w:t>
            </w:r>
          </w:p>
        </w:tc>
        <w:tc>
          <w:tcPr>
            <w:tcW w:w="90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6"/>
              </w:rPr>
              <w:t>After-Tax</w:t>
            </w:r>
          </w:p>
        </w:tc>
        <w:tc>
          <w:tcPr>
            <w:tcW w:w="100" w:type="dxa"/>
            <w:vAlign w:val="bottom"/>
          </w:tcPr>
          <w:p>
            <w:pPr>
              <w:spacing w:after="0"/>
              <w:rPr>
                <w:sz w:val="13"/>
                <w:szCs w:val="13"/>
                <w:color w:val="auto"/>
              </w:rPr>
            </w:pPr>
          </w:p>
        </w:tc>
        <w:tc>
          <w:tcPr>
            <w:tcW w:w="960" w:type="dxa"/>
            <w:vAlign w:val="bottom"/>
          </w:tcPr>
          <w:p>
            <w:pPr>
              <w:jc w:val="right"/>
              <w:ind w:right="139"/>
              <w:spacing w:after="0" w:line="158" w:lineRule="exact"/>
              <w:rPr>
                <w:sz w:val="20"/>
                <w:szCs w:val="20"/>
                <w:color w:val="auto"/>
              </w:rPr>
            </w:pPr>
            <w:r>
              <w:rPr>
                <w:rFonts w:ascii="Arial" w:cs="Arial" w:eastAsia="Arial" w:hAnsi="Arial"/>
                <w:sz w:val="16"/>
                <w:szCs w:val="16"/>
                <w:b w:val="1"/>
                <w:bCs w:val="1"/>
                <w:color w:val="auto"/>
              </w:rPr>
              <w:t>Pre-Tax</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w w:val="99"/>
              </w:rPr>
              <w:t>Tax Effect</w:t>
            </w:r>
          </w:p>
        </w:tc>
        <w:tc>
          <w:tcPr>
            <w:tcW w:w="840" w:type="dxa"/>
            <w:vAlign w:val="bottom"/>
          </w:tcPr>
          <w:p>
            <w:pPr>
              <w:jc w:val="right"/>
              <w:ind w:right="79"/>
              <w:spacing w:after="0" w:line="158" w:lineRule="exact"/>
              <w:rPr>
                <w:sz w:val="20"/>
                <w:szCs w:val="20"/>
                <w:color w:val="auto"/>
              </w:rPr>
            </w:pPr>
            <w:r>
              <w:rPr>
                <w:rFonts w:ascii="Arial" w:cs="Arial" w:eastAsia="Arial" w:hAnsi="Arial"/>
                <w:sz w:val="16"/>
                <w:szCs w:val="16"/>
                <w:b w:val="1"/>
                <w:bCs w:val="1"/>
                <w:color w:val="auto"/>
                <w:w w:val="93"/>
              </w:rPr>
              <w:t>After-Tax</w:t>
            </w:r>
          </w:p>
        </w:tc>
        <w:tc>
          <w:tcPr>
            <w:tcW w:w="120" w:type="dxa"/>
            <w:vAlign w:val="bottom"/>
          </w:tcPr>
          <w:p>
            <w:pPr>
              <w:spacing w:after="0"/>
              <w:rPr>
                <w:sz w:val="13"/>
                <w:szCs w:val="13"/>
                <w:color w:val="auto"/>
              </w:rPr>
            </w:pPr>
          </w:p>
        </w:tc>
        <w:tc>
          <w:tcPr>
            <w:tcW w:w="980" w:type="dxa"/>
            <w:vAlign w:val="bottom"/>
          </w:tcPr>
          <w:p>
            <w:pPr>
              <w:jc w:val="right"/>
              <w:ind w:right="159"/>
              <w:spacing w:after="0" w:line="158" w:lineRule="exact"/>
              <w:rPr>
                <w:sz w:val="20"/>
                <w:szCs w:val="20"/>
                <w:color w:val="auto"/>
              </w:rPr>
            </w:pPr>
            <w:r>
              <w:rPr>
                <w:rFonts w:ascii="Arial" w:cs="Arial" w:eastAsia="Arial" w:hAnsi="Arial"/>
                <w:sz w:val="16"/>
                <w:szCs w:val="16"/>
                <w:b w:val="1"/>
                <w:bCs w:val="1"/>
                <w:color w:val="auto"/>
              </w:rPr>
              <w:t>Pre-Tax</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w w:val="96"/>
              </w:rPr>
              <w:t>Tax Effect</w:t>
            </w:r>
          </w:p>
        </w:tc>
        <w:tc>
          <w:tcPr>
            <w:tcW w:w="92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w w:val="99"/>
              </w:rPr>
              <w:t>After-Tax</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1020" w:type="dxa"/>
            <w:vAlign w:val="bottom"/>
            <w:tcBorders>
              <w:bottom w:val="single" w:sz="8" w:color="auto"/>
            </w:tcBorders>
            <w:gridSpan w:val="2"/>
            <w:vMerge w:val="continue"/>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1020" w:type="dxa"/>
            <w:vAlign w:val="bottom"/>
            <w:tcBorders>
              <w:bottom w:val="single" w:sz="8" w:color="auto"/>
            </w:tcBorders>
            <w:gridSpan w:val="2"/>
            <w:vMerge w:val="continue"/>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9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(92,219)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(461,435)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448,466</w:t>
            </w: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color w:val="auto"/>
              </w:rPr>
              <w:t>Pension plan adjustments</w:t>
            </w:r>
          </w:p>
        </w:tc>
        <w:tc>
          <w:tcPr>
            <w:tcW w:w="920" w:type="dxa"/>
            <w:vAlign w:val="bottom"/>
          </w:tcPr>
          <w:p>
            <w:pPr>
              <w:jc w:val="right"/>
              <w:spacing w:after="0"/>
              <w:rPr>
                <w:sz w:val="20"/>
                <w:szCs w:val="20"/>
                <w:color w:val="auto"/>
              </w:rPr>
            </w:pPr>
            <w:r>
              <w:rPr>
                <w:rFonts w:ascii="Arial" w:cs="Arial" w:eastAsia="Arial" w:hAnsi="Arial"/>
                <w:sz w:val="16"/>
                <w:szCs w:val="16"/>
                <w:color w:val="auto"/>
              </w:rPr>
              <w:t>63,959</w:t>
            </w:r>
          </w:p>
        </w:tc>
        <w:tc>
          <w:tcPr>
            <w:tcW w:w="980" w:type="dxa"/>
            <w:vAlign w:val="bottom"/>
          </w:tcPr>
          <w:p>
            <w:pPr>
              <w:jc w:val="right"/>
              <w:spacing w:after="0"/>
              <w:rPr>
                <w:sz w:val="20"/>
                <w:szCs w:val="20"/>
                <w:color w:val="auto"/>
              </w:rPr>
            </w:pPr>
            <w:r>
              <w:rPr>
                <w:rFonts w:ascii="Arial" w:cs="Arial" w:eastAsia="Arial" w:hAnsi="Arial"/>
                <w:sz w:val="16"/>
                <w:szCs w:val="16"/>
                <w:color w:val="auto"/>
              </w:rPr>
              <w:t>(15,391)</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48,568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(33,831)</w:t>
            </w:r>
          </w:p>
        </w:tc>
        <w:tc>
          <w:tcPr>
            <w:tcW w:w="880" w:type="dxa"/>
            <w:vAlign w:val="bottom"/>
          </w:tcPr>
          <w:p>
            <w:pPr>
              <w:jc w:val="right"/>
              <w:spacing w:after="0"/>
              <w:rPr>
                <w:sz w:val="20"/>
                <w:szCs w:val="20"/>
                <w:color w:val="auto"/>
              </w:rPr>
            </w:pPr>
            <w:r>
              <w:rPr>
                <w:rFonts w:ascii="Arial" w:cs="Arial" w:eastAsia="Arial" w:hAnsi="Arial"/>
                <w:sz w:val="16"/>
                <w:szCs w:val="16"/>
                <w:color w:val="auto"/>
              </w:rPr>
              <w:t>8,162</w:t>
            </w: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(25,669)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(29,137)</w:t>
            </w:r>
          </w:p>
        </w:tc>
        <w:tc>
          <w:tcPr>
            <w:tcW w:w="880" w:type="dxa"/>
            <w:vAlign w:val="bottom"/>
          </w:tcPr>
          <w:p>
            <w:pPr>
              <w:jc w:val="right"/>
              <w:spacing w:after="0"/>
              <w:rPr>
                <w:sz w:val="20"/>
                <w:szCs w:val="20"/>
                <w:color w:val="auto"/>
              </w:rPr>
            </w:pPr>
            <w:r>
              <w:rPr>
                <w:rFonts w:ascii="Arial" w:cs="Arial" w:eastAsia="Arial" w:hAnsi="Arial"/>
                <w:sz w:val="16"/>
                <w:szCs w:val="16"/>
                <w:color w:val="auto"/>
              </w:rPr>
              <w:t>6,543</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(22,594)</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Foreign currency translation</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7,383</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8,925</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(6,348)</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(7,818)</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(34,099)</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(34,308)</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9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rPr>
              <w:t>Unrealized gains (losses)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(110,817)</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28,812</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(82,005)</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(84,392)</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21,942</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(62,450)</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arising during the period</w:t>
            </w:r>
          </w:p>
        </w:tc>
        <w:tc>
          <w:tcPr>
            <w:tcW w:w="9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60"/>
              <w:spacing w:after="0"/>
              <w:rPr>
                <w:sz w:val="20"/>
                <w:szCs w:val="20"/>
                <w:color w:val="auto"/>
              </w:rPr>
            </w:pPr>
            <w:r>
              <w:rPr>
                <w:rFonts w:ascii="Arial" w:cs="Arial" w:eastAsia="Arial" w:hAnsi="Arial"/>
                <w:sz w:val="16"/>
                <w:szCs w:val="16"/>
                <w:color w:val="auto"/>
              </w:rPr>
              <w:t>Reclassification adjustments</w:t>
            </w:r>
          </w:p>
        </w:tc>
        <w:tc>
          <w:tcPr>
            <w:tcW w:w="920" w:type="dxa"/>
            <w:vAlign w:val="bottom"/>
          </w:tcPr>
          <w:p>
            <w:pPr>
              <w:jc w:val="right"/>
              <w:spacing w:after="0"/>
              <w:rPr>
                <w:sz w:val="20"/>
                <w:szCs w:val="20"/>
                <w:color w:val="auto"/>
              </w:rPr>
            </w:pPr>
            <w:r>
              <w:rPr>
                <w:rFonts w:ascii="Arial" w:cs="Arial" w:eastAsia="Arial" w:hAnsi="Arial"/>
                <w:sz w:val="16"/>
                <w:szCs w:val="16"/>
                <w:color w:val="auto"/>
              </w:rPr>
              <w:t>50,595</w:t>
            </w:r>
          </w:p>
        </w:tc>
        <w:tc>
          <w:tcPr>
            <w:tcW w:w="980" w:type="dxa"/>
            <w:vAlign w:val="bottom"/>
          </w:tcPr>
          <w:p>
            <w:pPr>
              <w:jc w:val="right"/>
              <w:spacing w:after="0"/>
              <w:rPr>
                <w:sz w:val="20"/>
                <w:szCs w:val="20"/>
                <w:color w:val="auto"/>
              </w:rPr>
            </w:pPr>
            <w:r>
              <w:rPr>
                <w:rFonts w:ascii="Arial" w:cs="Arial" w:eastAsia="Arial" w:hAnsi="Arial"/>
                <w:sz w:val="16"/>
                <w:szCs w:val="16"/>
                <w:color w:val="auto"/>
              </w:rPr>
              <w:t>(13,155)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37,440</w:t>
            </w:r>
          </w:p>
        </w:tc>
        <w:tc>
          <w:tcPr>
            <w:tcW w:w="1060" w:type="dxa"/>
            <w:vAlign w:val="bottom"/>
            <w:gridSpan w:val="2"/>
          </w:tcPr>
          <w:p>
            <w:pPr>
              <w:jc w:val="right"/>
              <w:ind w:right="19"/>
              <w:spacing w:after="0"/>
              <w:rPr>
                <w:sz w:val="20"/>
                <w:szCs w:val="20"/>
                <w:color w:val="auto"/>
              </w:rPr>
            </w:pPr>
            <w:r>
              <w:rPr>
                <w:rFonts w:ascii="Arial" w:cs="Arial" w:eastAsia="Arial" w:hAnsi="Arial"/>
                <w:sz w:val="16"/>
                <w:szCs w:val="16"/>
                <w:color w:val="auto"/>
              </w:rPr>
              <w:t>34,409</w:t>
            </w:r>
          </w:p>
        </w:tc>
        <w:tc>
          <w:tcPr>
            <w:tcW w:w="880" w:type="dxa"/>
            <w:vAlign w:val="bottom"/>
          </w:tcPr>
          <w:p>
            <w:pPr>
              <w:jc w:val="right"/>
              <w:spacing w:after="0"/>
              <w:rPr>
                <w:sz w:val="20"/>
                <w:szCs w:val="20"/>
                <w:color w:val="auto"/>
              </w:rPr>
            </w:pPr>
            <w:r>
              <w:rPr>
                <w:rFonts w:ascii="Arial" w:cs="Arial" w:eastAsia="Arial" w:hAnsi="Arial"/>
                <w:sz w:val="16"/>
                <w:szCs w:val="16"/>
                <w:color w:val="auto"/>
              </w:rPr>
              <w:t>(8,946)</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(6,484)</w:t>
            </w:r>
          </w:p>
        </w:tc>
        <w:tc>
          <w:tcPr>
            <w:tcW w:w="880" w:type="dxa"/>
            <w:vAlign w:val="bottom"/>
          </w:tcPr>
          <w:p>
            <w:pPr>
              <w:jc w:val="right"/>
              <w:spacing w:after="0"/>
              <w:rPr>
                <w:sz w:val="20"/>
                <w:szCs w:val="20"/>
                <w:color w:val="auto"/>
              </w:rPr>
            </w:pPr>
            <w:r>
              <w:rPr>
                <w:rFonts w:ascii="Arial" w:cs="Arial" w:eastAsia="Arial" w:hAnsi="Arial"/>
                <w:sz w:val="16"/>
                <w:szCs w:val="16"/>
                <w:color w:val="auto"/>
              </w:rPr>
              <w:t>1,686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(4,798)</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Share of equity investee's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3,405</w:t>
            </w:r>
          </w:p>
        </w:tc>
        <w:tc>
          <w:tcPr>
            <w:tcW w:w="100" w:type="dxa"/>
            <w:vAlign w:val="bottom"/>
            <w:vMerge w:val="restart"/>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vMerge w:val="restart"/>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gridSpan w:val="2"/>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gridSpan w:val="2"/>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gridSpan w:val="2"/>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320" w:type="dxa"/>
            <w:vAlign w:val="bottom"/>
          </w:tcPr>
          <w:p>
            <w:pPr>
              <w:ind w:left="20"/>
              <w:spacing w:after="0" w:line="146" w:lineRule="exact"/>
              <w:rPr>
                <w:sz w:val="20"/>
                <w:szCs w:val="20"/>
                <w:color w:val="auto"/>
              </w:rPr>
            </w:pPr>
            <w:r>
              <w:rPr>
                <w:rFonts w:ascii="Arial" w:cs="Arial" w:eastAsia="Arial" w:hAnsi="Arial"/>
                <w:sz w:val="16"/>
                <w:szCs w:val="16"/>
                <w:color w:val="auto"/>
              </w:rPr>
              <w:t>Other comprehensive income</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126,570</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(27,323)</w:t>
            </w:r>
          </w:p>
        </w:tc>
        <w:tc>
          <w:tcPr>
            <w:tcW w:w="1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99,247</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(116,851)</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26,558</w:t>
            </w:r>
          </w:p>
        </w:tc>
        <w:tc>
          <w:tcPr>
            <w:tcW w:w="1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(90,293)</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(155,704)</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29,962</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(125,742)</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(loss)</w:t>
            </w:r>
          </w:p>
        </w:tc>
        <w:tc>
          <w:tcPr>
            <w:tcW w:w="9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9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7,028</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(551,728)</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322,724</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Less: Net (loss) income</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line="162" w:lineRule="exact"/>
              <w:rPr>
                <w:sz w:val="20"/>
                <w:szCs w:val="20"/>
                <w:color w:val="auto"/>
              </w:rPr>
            </w:pPr>
            <w:r>
              <w:rPr>
                <w:rFonts w:ascii="Arial" w:cs="Arial" w:eastAsia="Arial" w:hAnsi="Arial"/>
                <w:sz w:val="16"/>
                <w:szCs w:val="16"/>
                <w:color w:val="auto"/>
              </w:rPr>
              <w:t>attributable to noncontrolling</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w:t>
            </w:r>
          </w:p>
        </w:tc>
        <w:tc>
          <w:tcPr>
            <w:tcW w:w="9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Comprehensive income (loss)</w:t>
            </w: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attributable to Aramark</w:t>
            </w:r>
          </w:p>
        </w:tc>
        <w:tc>
          <w:tcPr>
            <w:tcW w:w="92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8,414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(551,822)</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322,807</w:t>
            </w:r>
          </w:p>
        </w:tc>
        <w:tc>
          <w:tcPr>
            <w:tcW w:w="0" w:type="dxa"/>
            <w:vAlign w:val="bottom"/>
          </w:tcPr>
          <w:p>
            <w:pPr>
              <w:spacing w:after="0"/>
              <w:rPr>
                <w:sz w:val="1"/>
                <w:szCs w:val="1"/>
                <w:color w:val="auto"/>
              </w:rPr>
            </w:pPr>
          </w:p>
        </w:tc>
      </w:tr>
      <w:tr>
        <w:trPr>
          <w:trHeight w:val="205"/>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9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(72,891)</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(135,937)</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(87,598)</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Gains and losses resulting from the translation of financial statements of non-United States subsidiaries are reflected as a component of accumulated other comprehensive income (loss) in stockholders' equity. Beginning in fiscal 2018, Argentina was determined to have a highly inflationary economy. As a result, the Company remeasures the financial statements of Argentina's operations in accordance with the accounting guidance for highly inflationary economies. The impact of the remeasurements was a foreign currency transaction loss of approximately $1.8 million, $2.5 million and $4.9 million during fiscal 2021, fiscal 2020 and fiscal 2019, respectively, to the Consolidated Statements of (Loss) Income. The impact of foreign currency transaction gains and losses exclusive of Argentina's operations included in the Company's operating results for fiscal 2021, fiscal 2020 and fiscal 2019 were immaterial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to be cash equivalents.</w:t>
      </w:r>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insures portions of its general liability, automobile liability and workers’ compensation risks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October 1, 2021. These regulations may have the effect of limiting the Company's ability to access certain cash and cash equivalents held by the Captive for uses other than for the payment of its general liability, automobile liability and workers’ compensation claims and related Captive costs. As of October 1, 2021 and October 2, 2020, cash and cash equivalents at the Captive were $194.3 million and $92.1 million, respectively.</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Inventories are valued at the lower of cost (principally the first-in, first-out method) or net realizable value. As of October 1, 2021 and October 2, 2020, the Company's reserve for inventory obsolescence was approximately $45.7 million and $36.7 million, respectively. The increase is mainly related to excess inventory related to personal protective equipment ("PPE"). The inventory obsolescence reserve is determined based on history and projected customer consumption and specific identification. In addition, the Company recorded approximately $25.4 million in inventory write-downs during fiscal 2021 to reflect the current net realizable value of PPE inventory.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1920" w:type="dxa"/>
            <w:vAlign w:val="bottom"/>
            <w:gridSpan w:val="2"/>
          </w:tcPr>
          <w:p>
            <w:pPr>
              <w:ind w:left="420"/>
              <w:spacing w:after="0"/>
              <w:rPr>
                <w:sz w:val="20"/>
                <w:szCs w:val="20"/>
                <w:color w:val="auto"/>
              </w:rPr>
            </w:pPr>
            <w:r>
              <w:rPr>
                <w:rFonts w:ascii="Arial" w:cs="Arial" w:eastAsia="Arial" w:hAnsi="Arial"/>
                <w:sz w:val="14"/>
                <w:szCs w:val="14"/>
                <w:b w:val="1"/>
                <w:bCs w:val="1"/>
                <w:color w:val="auto"/>
              </w:rPr>
              <w:t>October 1, 2021</w:t>
            </w:r>
          </w:p>
        </w:tc>
        <w:tc>
          <w:tcPr>
            <w:tcW w:w="1800" w:type="dxa"/>
            <w:vAlign w:val="bottom"/>
          </w:tcPr>
          <w:p>
            <w:pPr>
              <w:jc w:val="right"/>
              <w:ind w:right="334"/>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5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Food</w:t>
            </w:r>
            <w:r>
              <w:rPr>
                <w:rFonts w:ascii="Arial" w:cs="Arial" w:eastAsia="Arial" w:hAnsi="Arial"/>
                <w:sz w:val="23"/>
                <w:szCs w:val="23"/>
                <w:color w:val="auto"/>
                <w:vertAlign w:val="superscript"/>
              </w:rPr>
              <w:t>(1)</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42.7 %</w:t>
            </w:r>
          </w:p>
        </w:tc>
      </w:tr>
      <w:tr>
        <w:trPr>
          <w:trHeight w:val="230"/>
        </w:trPr>
        <w:tc>
          <w:tcPr>
            <w:tcW w:w="7520" w:type="dxa"/>
            <w:vAlign w:val="bottom"/>
          </w:tcPr>
          <w:p>
            <w:pPr>
              <w:ind w:left="20"/>
              <w:spacing w:after="0" w:line="230" w:lineRule="exact"/>
              <w:rPr>
                <w:sz w:val="20"/>
                <w:szCs w:val="20"/>
                <w:color w:val="auto"/>
              </w:rPr>
            </w:pPr>
            <w:r>
              <w:rPr>
                <w:rFonts w:ascii="Arial" w:cs="Arial" w:eastAsia="Arial" w:hAnsi="Arial"/>
                <w:sz w:val="18"/>
                <w:szCs w:val="18"/>
                <w:color w:val="auto"/>
              </w:rPr>
              <w:t>Career apparel and linens</w:t>
            </w:r>
            <w:r>
              <w:rPr>
                <w:rFonts w:ascii="Arial" w:cs="Arial" w:eastAsia="Arial" w:hAnsi="Arial"/>
                <w:sz w:val="23"/>
                <w:szCs w:val="23"/>
                <w:color w:val="auto"/>
                <w:vertAlign w:val="superscript"/>
              </w:rPr>
              <w:t>(2)</w:t>
            </w:r>
          </w:p>
        </w:tc>
        <w:tc>
          <w:tcPr>
            <w:tcW w:w="1800" w:type="dxa"/>
            <w:vAlign w:val="bottom"/>
          </w:tcPr>
          <w:p>
            <w:pPr>
              <w:jc w:val="right"/>
              <w:spacing w:after="0"/>
              <w:rPr>
                <w:sz w:val="20"/>
                <w:szCs w:val="20"/>
                <w:color w:val="auto"/>
              </w:rPr>
            </w:pPr>
            <w:r>
              <w:rPr>
                <w:rFonts w:ascii="Arial" w:cs="Arial" w:eastAsia="Arial" w:hAnsi="Arial"/>
                <w:sz w:val="18"/>
                <w:szCs w:val="18"/>
                <w:color w:val="auto"/>
              </w:rPr>
              <w:t>46.0 %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52.2 %</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Parts, supplies and novelties</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3"/>
        </w:trPr>
        <w:tc>
          <w:tcPr>
            <w:tcW w:w="75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394"/>
        <w:spacing w:after="0"/>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Food inventory increased during fiscal 2021 as the COVID-19 pandemic ("COVID-19") lockdowns were lifted and operations began to re-open.</w:t>
      </w:r>
    </w:p>
    <w:p>
      <w:pPr>
        <w:spacing w:after="0" w:line="26" w:lineRule="exact"/>
        <w:rPr>
          <w:rFonts w:ascii="Arial" w:cs="Arial" w:eastAsia="Arial" w:hAnsi="Arial"/>
          <w:sz w:val="13"/>
          <w:szCs w:val="13"/>
          <w:color w:val="auto"/>
        </w:rPr>
      </w:pPr>
    </w:p>
    <w:p>
      <w:pPr>
        <w:ind w:left="420" w:hanging="394"/>
        <w:spacing w:after="0"/>
        <w:tabs>
          <w:tab w:leader="none" w:pos="4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Career apparel and linens inventory decreased during fiscal 2021 due to decreased production and distribution of PPE, which was elevated during fiscal 2020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and other current assets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details of "Prepayments and other current assets" as presented in the Consolidated Balance Sheets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12,566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Prepaid Taxes and Licenses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11,130</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Income Tax Asset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123,608</w:t>
            </w: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Prepaid Expenses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150,810</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298,944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hanging="394"/>
        <w:spacing w:after="0"/>
        <w:tabs>
          <w:tab w:leader="none" w:pos="4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Fiscal 2020 income tax receivable driven by the net loss position during fiscal 2020 from the impact of COVID-19. Income tax proceeds were received in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Property and equipment are stated at cost and are depreciated over their estimated useful lives on a straight-line basis. Gains and losses on dispositions are included in operating results. Maintenance and repairs are charged to current operations and replacements and significant improvements that extend the useful life of the asset are capitalized. The estimated useful lives for the major categories of property and equipment are 10 to 40 years for buildings and improvements and three to 20 years for service equipment and fixtures. Depreciation expense during fiscal 2021, fiscal 2020 and fiscal 2019 was $378.3 million, $418.3 million and $421.4 million, respectively.</w:t>
      </w:r>
    </w:p>
    <w:p>
      <w:pPr>
        <w:spacing w:after="0" w:line="53"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During the fourth quarter of fiscal 2020, the Company recognized impairment charges of $30.6 million within its FSS United States and FSS International segments, consisting of right-of-use assets ($11.6 million), property and equipment ($17.8 million) and other assets ($1.2 million), which are included in "Cost of services provided (exclusive of depreciation and amortization)" on the Consolidated Statements of (Loss) Income for the fiscal year ended October 2, 2020. These impairment charges primarily relate to client contracts that were reassessed due to the impact of COVID-19. In order to determine the impairment charges, the Company compared the estimated fair value of each asset group, calculated using discount cash flows, to its book value.</w:t>
      </w:r>
    </w:p>
    <w:p>
      <w:pPr>
        <w:spacing w:after="0" w:line="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third quarter of fiscal 2020, the Company permanently vacated certain rental properties and assets at various locations throughout the United States related to non-core operations and no longer intends to operate or sublease at these locations. Accordingly, the Company recorded a loss on disposal by abandonment of $28.5 million within its FSS United States segment, consisting of right-of-use assets ($10.3 million), leasehold improvements ($17.4 million) and other assets ($0.8 million), which is included in "Cost of services provided (exclusive of depreciation and amortization)" on the Consolidated Statements of (Loss) Income for the fiscal year ended October 2, 2020. The Company has no remaining lease liability related to the abandoned leases as of October 1, 2021.</w:t>
      </w:r>
    </w:p>
    <w:p>
      <w:pPr>
        <w:spacing w:after="0" w:line="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During the third quarter of fiscal 2020, the Company received $25.0 million of insurance proceeds from one of its insurance carriers related to property damage and business interruption from a tornado at one of its Uniform market centers in Nashville, Tennessee. These proceeds serve to cover the cost of rebuilding the property and for any incremental expenses the Company incurs to continue servicing its customers at nearby market centers. The Company’s insurance policy provides coverage for the property damage and reimbursement for other expenses and incremental costs that have been incurred related to the damages and losses. The Company recorded a gain during fiscal 2020 of approximately $16.3 million from these proceeds, which represents the excess of previously incurred losses, including the write-down of the damaged property and equipment and business interruption expenses. The gain is included in “Cost of services provided (exclusive of depreciation and amortization” on the Consolidated Statements of (Loss) Income. The Company allocated $21.5 million of the insurance proceeds to the recovery of the damaged building and equipment and is included within “Net cash used in investing activities” on the Consolidated Statement of Cash Flows for the fiscal year ended October 2, 2020. The remaining $3.5 million of insurance proceeds is included within “Net cash provided by operating activities” to offset the business interruption expenses incurred during the fiscal year ended October 2, 2020.</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"Other Assets" as presented in the Consolidated Balance Sheets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Cost to fulfill - Client</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113,940</w:t>
            </w:r>
          </w:p>
        </w:tc>
      </w:tr>
      <w:tr>
        <w:trPr>
          <w:trHeight w:val="229"/>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Cost to fulfill - Rental merchandise in-service</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324,433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311,238</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receivables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28,460</w:t>
            </w:r>
          </w:p>
        </w:tc>
      </w:tr>
      <w:tr>
        <w:trPr>
          <w:trHeight w:val="230"/>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Miscellaneous investments</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405,498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262,609</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Computer software costs, net</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177,136</w:t>
            </w:r>
          </w:p>
        </w:tc>
      </w:tr>
      <w:tr>
        <w:trPr>
          <w:trHeight w:val="230"/>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Employee sales commissions</w:t>
            </w:r>
            <w:r>
              <w:rPr>
                <w:rFonts w:ascii="Arial" w:cs="Arial" w:eastAsia="Arial" w:hAnsi="Arial"/>
                <w:sz w:val="23"/>
                <w:szCs w:val="23"/>
                <w:color w:val="auto"/>
                <w:vertAlign w:val="superscript"/>
              </w:rPr>
              <w:t>(5)</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124,610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122,011</w:t>
            </w:r>
          </w:p>
        </w:tc>
      </w:tr>
      <w:tr>
        <w:trPr>
          <w:trHeight w:val="229"/>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(6)</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142,712</w:t>
            </w: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1,335,142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1,158,106</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hanging="414"/>
        <w:spacing w:after="0"/>
        <w:tabs>
          <w:tab w:leader="none" w:pos="440" w:val="left"/>
        </w:tabs>
        <w:numPr>
          <w:ilvl w:val="0"/>
          <w:numId w:val="43"/>
        </w:numPr>
        <w:rPr>
          <w:rFonts w:ascii="Arial" w:cs="Arial" w:eastAsia="Arial" w:hAnsi="Arial"/>
          <w:sz w:val="13"/>
          <w:szCs w:val="13"/>
          <w:color w:val="auto"/>
        </w:rPr>
      </w:pPr>
      <w:r>
        <w:rPr>
          <w:rFonts w:ascii="Arial" w:cs="Arial" w:eastAsia="Arial" w:hAnsi="Arial"/>
          <w:sz w:val="13"/>
          <w:szCs w:val="13"/>
          <w:color w:val="auto"/>
        </w:rPr>
        <w:t>Cost to fulfill - Client represent payments made by the Company to enhance the service resources used by the Company to satisfy its performance obligation (see Note 7).</w:t>
      </w:r>
    </w:p>
    <w:p>
      <w:pPr>
        <w:sectPr>
          <w:pgSz w:w="11900" w:h="16838" w:orient="portrait"/>
          <w:cols w:equalWidth="0" w:num="1">
            <w:col w:w="11240"/>
          </w:cols>
          <w:pgMar w:left="320" w:top="179" w:right="339" w:bottom="1440" w:gutter="0" w:footer="0" w:header="0"/>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(2)</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Costs to fulfill - Rental merchandise in-service represent personalized work apparel, linens and other rental items in service at customer locations (see Note 7).</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Miscellaneous investments represent investments in 50% or less owned entities.</w:t>
      </w:r>
    </w:p>
    <w:p>
      <w:pPr>
        <w:spacing w:after="0" w:line="26" w:lineRule="exact"/>
        <w:rPr>
          <w:sz w:val="20"/>
          <w:szCs w:val="20"/>
          <w:color w:val="auto"/>
        </w:rPr>
      </w:pPr>
    </w:p>
    <w:p>
      <w:pPr>
        <w:sectPr>
          <w:pgSz w:w="11900" w:h="16838" w:orient="portrait"/>
          <w:cols w:equalWidth="0" w:num="2">
            <w:col w:w="180" w:space="260"/>
            <w:col w:w="10800"/>
          </w:cols>
          <w:pgMar w:left="320" w:top="179" w:right="339" w:bottom="1440" w:gutter="0" w:footer="0" w:header="0"/>
          <w:type w:val="continuous"/>
        </w:sectPr>
      </w:pPr>
    </w:p>
    <w:p>
      <w:pPr>
        <w:ind w:left="440" w:right="60" w:hanging="414"/>
        <w:spacing w:after="0" w:line="228" w:lineRule="auto"/>
        <w:tabs>
          <w:tab w:leader="none" w:pos="4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Computer software costs represent capitalized costs incurred to purchase or develop software for internal use, and are amortized over the estimated useful life of the software, generally a period of three to 10 years. The Company recorded non-cash asset write-downs within its FSS United States segment of approximately $26.1 million related to certain information technology assets during the fiscal year ended October 2, 2020, as a result of management decisions to discontinue use of these solutions and from non-renewal or expirations of contracts with specific vendors. These non-cash charges were recorded in "Cost of services provided (exclusive of depreciation and amortization)" on the Consolidated Statements of (Loss) Income for the fiscal year ended October 2, 2020.</w:t>
      </w:r>
    </w:p>
    <w:p>
      <w:pPr>
        <w:sectPr>
          <w:pgSz w:w="11900" w:h="16838" w:orient="portrait"/>
          <w:cols w:equalWidth="0" w:num="1">
            <w:col w:w="11240"/>
          </w:cols>
          <w:pgMar w:left="320" w:top="179" w:right="339" w:bottom="1440" w:gutter="0" w:footer="0" w:header="0"/>
          <w:type w:val="continuous"/>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(5)</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Employee sales commissions represent commission payments made to employees related to new or retained business contracts (see Note 7).</w:t>
      </w:r>
    </w:p>
    <w:p>
      <w:pPr>
        <w:spacing w:after="0" w:line="121" w:lineRule="exact"/>
        <w:rPr>
          <w:sz w:val="20"/>
          <w:szCs w:val="20"/>
          <w:color w:val="auto"/>
        </w:rPr>
      </w:pPr>
    </w:p>
    <w:p>
      <w:pPr>
        <w:spacing w:after="0"/>
        <w:rPr>
          <w:sz w:val="20"/>
          <w:szCs w:val="20"/>
          <w:color w:val="auto"/>
        </w:rPr>
      </w:pPr>
      <w:r>
        <w:rPr>
          <w:rFonts w:ascii="Arial" w:cs="Arial" w:eastAsia="Arial" w:hAnsi="Arial"/>
          <w:sz w:val="10"/>
          <w:szCs w:val="10"/>
          <w:color w:val="auto"/>
        </w:rPr>
        <w:t>Other consists primarily of noncurrent deferred tax assets, pension assets, deferred financing costs on certain revolving credit facilities and other noncurrent assets.</w:t>
      </w:r>
    </w:p>
    <w:p>
      <w:pPr>
        <w:spacing w:after="0" w:line="200" w:lineRule="exact"/>
        <w:rPr>
          <w:sz w:val="20"/>
          <w:szCs w:val="20"/>
          <w:color w:val="auto"/>
        </w:rPr>
      </w:pPr>
    </w:p>
    <w:p>
      <w:pPr>
        <w:sectPr>
          <w:pgSz w:w="11900" w:h="16838" w:orient="portrait"/>
          <w:cols w:equalWidth="0" w:num="2">
            <w:col w:w="180" w:space="260"/>
            <w:col w:w="10800"/>
          </w:cols>
          <w:pgMar w:left="320" w:top="179" w:right="339" w:bottom="1440" w:gutter="0" w:footer="0" w:header="0"/>
          <w:type w:val="continuous"/>
        </w:sectPr>
      </w:pPr>
    </w:p>
    <w:p>
      <w:pPr>
        <w:spacing w:after="0" w:line="3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Company's principal equity method investment is its 50% ownership interest in AIM Services Co., Ltd., a Japanese food and support services company (approximately $187.5 million and $182.9 million at October 1, 2021 and October 2, 2020, respectively). The Company's equity in undistributed earnings of AIM Services Co., Ltd. for fiscal 2021, fiscal 2020, and fiscal 2019 was approximately $16.7 million, $10.8 million and $24.9 million, respectively, and is recorded as a reduction of "Cost of services provided (exclusive of depreciation and amortization)" on the Consolidated Statements of (Loss) Income.</w:t>
      </w:r>
    </w:p>
    <w:p>
      <w:pPr>
        <w:spacing w:after="0" w:line="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During fiscal 2021, the Company identified an observable price change related to an equity investment without a readily determinable fair value and recognized a non-cash gain of $137.9 million on the Consolidated Statements of (Loss) Income. The carrying amount of equity investments without readily determinable fair values as of October 1, 2021 and October 2, 2020 was $180.5 million and $42.5 million, respectively. During fiscal 2019, the Company recognized an impairment of $7.0 million in "Cost of services provided (exclusive of depreciation and amortization)" related to an equity investment.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Accrued Expenses and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details of "Accrued expenses and other current liabilities" in the Consolidated Balance Sheets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(1)(2)</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291,680</w:t>
            </w:r>
          </w:p>
        </w:tc>
      </w:tr>
      <w:tr>
        <w:trPr>
          <w:trHeight w:val="229"/>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Accrued client expenses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127,086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44,419</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53,146</w:t>
            </w:r>
          </w:p>
        </w:tc>
      </w:tr>
      <w:tr>
        <w:trPr>
          <w:trHeight w:val="229"/>
        </w:trPr>
        <w:tc>
          <w:tcPr>
            <w:tcW w:w="7720" w:type="dxa"/>
            <w:vAlign w:val="bottom"/>
          </w:tcPr>
          <w:p>
            <w:pPr>
              <w:ind w:left="20"/>
              <w:spacing w:after="0" w:line="230" w:lineRule="exact"/>
              <w:rPr>
                <w:sz w:val="20"/>
                <w:szCs w:val="20"/>
                <w:color w:val="auto"/>
              </w:rPr>
            </w:pPr>
            <w:r>
              <w:rPr>
                <w:rFonts w:ascii="Arial" w:cs="Arial" w:eastAsia="Arial" w:hAnsi="Arial"/>
                <w:sz w:val="18"/>
                <w:szCs w:val="18"/>
                <w:color w:val="auto"/>
              </w:rPr>
              <w:t>Accrued insurance</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interest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167,323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174,048</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376,909</w:t>
            </w: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1,135,028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940,202</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w:t>
      </w:r>
    </w:p>
    <w:p>
      <w:pPr>
        <w:ind w:left="440" w:right="220"/>
        <w:spacing w:after="0" w:line="218" w:lineRule="auto"/>
        <w:rPr>
          <w:sz w:val="20"/>
          <w:szCs w:val="20"/>
          <w:color w:val="auto"/>
        </w:rPr>
      </w:pPr>
      <w:r>
        <w:rPr>
          <w:rFonts w:ascii="Arial" w:cs="Arial" w:eastAsia="Arial" w:hAnsi="Arial"/>
          <w:sz w:val="13"/>
          <w:szCs w:val="13"/>
          <w:color w:val="auto"/>
        </w:rPr>
        <w:t>Includes consideration received in advance from customers prior to the service being performed ($312.6 million and $263.8 million) or from vendors prior to the goods being consumed ($21.3 million and $27.9 million) in fiscal 2021 and fiscal 2020, respectively.</w:t>
      </w:r>
    </w:p>
    <w:p>
      <w:pPr>
        <w:spacing w:after="0" w:line="15" w:lineRule="exact"/>
        <w:rPr>
          <w:sz w:val="20"/>
          <w:szCs w:val="20"/>
          <w:color w:val="auto"/>
        </w:rPr>
      </w:pPr>
    </w:p>
    <w:p>
      <w:pPr>
        <w:ind w:left="440" w:hanging="380"/>
        <w:spacing w:after="0"/>
        <w:tabs>
          <w:tab w:leader="none" w:pos="4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Increases in fiscal 2021 as COVID-19 lockdowns were lifted and operations began to re-open. See Note 7.</w:t>
      </w:r>
    </w:p>
    <w:p>
      <w:pPr>
        <w:spacing w:after="0" w:line="39" w:lineRule="exact"/>
        <w:rPr>
          <w:rFonts w:ascii="Arial" w:cs="Arial" w:eastAsia="Arial" w:hAnsi="Arial"/>
          <w:sz w:val="13"/>
          <w:szCs w:val="13"/>
          <w:color w:val="auto"/>
        </w:rPr>
      </w:pPr>
    </w:p>
    <w:p>
      <w:pPr>
        <w:ind w:left="440" w:right="740" w:hanging="380"/>
        <w:spacing w:after="0" w:line="376" w:lineRule="auto"/>
        <w:tabs>
          <w:tab w:leader="none" w:pos="440" w:val="left"/>
        </w:tabs>
        <w:numPr>
          <w:ilvl w:val="0"/>
          <w:numId w:val="45"/>
        </w:numPr>
        <w:rPr>
          <w:rFonts w:ascii="Arial" w:cs="Arial" w:eastAsia="Arial" w:hAnsi="Arial"/>
          <w:sz w:val="10"/>
          <w:szCs w:val="10"/>
          <w:color w:val="auto"/>
        </w:rPr>
      </w:pPr>
      <w:r>
        <w:rPr>
          <w:rFonts w:ascii="Arial" w:cs="Arial" w:eastAsia="Arial" w:hAnsi="Arial"/>
          <w:sz w:val="10"/>
          <w:szCs w:val="10"/>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the Company's history.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Taxes and Other Noncurrent Liabilities</w:t>
      </w:r>
    </w:p>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details of "Deferred Income Taxes and Other Noncurrent Liabilities" as presented in the Consolidated Balance Sheets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(see Note 10)</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398,777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210,884</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Pension-related liabilities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18,044</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116,882</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Insurance reserves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143,923</w:t>
            </w: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Other noncurrent liabilities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210,565</w:t>
            </w:r>
          </w:p>
        </w:tc>
      </w:tr>
      <w:tr>
        <w:trPr>
          <w:trHeight w:val="248"/>
        </w:trPr>
        <w:tc>
          <w:tcPr>
            <w:tcW w:w="7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1,099,075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w:t>
      </w:r>
    </w:p>
    <w:p>
      <w:pPr>
        <w:ind w:left="400" w:right="560"/>
        <w:spacing w:after="0" w:line="299" w:lineRule="auto"/>
        <w:rPr>
          <w:sz w:val="20"/>
          <w:szCs w:val="20"/>
          <w:color w:val="auto"/>
        </w:rPr>
      </w:pPr>
      <w:r>
        <w:rPr>
          <w:rFonts w:ascii="Arial" w:cs="Arial" w:eastAsia="Arial" w:hAnsi="Arial"/>
          <w:sz w:val="10"/>
          <w:szCs w:val="10"/>
          <w:color w:val="auto"/>
        </w:rPr>
        <w:t>The Company is self-insured for certain obligations related to its employee health care benefit programs as well as for certain risks retained under its general liability, automobile liability and workers’ compensation liability programs. Reserves are estimated through actuarial methods, with the assistance of third-party actuaries using loss development assumptions based on the Company's claims history.</w:t>
      </w:r>
    </w:p>
    <w:p>
      <w:pPr>
        <w:ind w:left="400" w:right="320" w:hanging="374"/>
        <w:spacing w:after="0" w:line="226" w:lineRule="auto"/>
        <w:tabs>
          <w:tab w:leader="none" w:pos="4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Fiscal 2021 and 2020 include the payment deferral related to the employer portion of social security taxes as permitted under the Coronavirus Aid, Relief and Economic Security Act of $64.3 million and $80.8 million, respectively. Fiscal 2021 also includes the non-current portion of the Next Level contingent consideration of $65.4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9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COVID-19 has adversely affected global economies, financial markets and the overall environment for the Company and the extent to which it may impact future results of operations and overall financial performance remains uncertain. The decline in operations from COVID-19 caused a deterioration in the Company's revenue, operating income (loss) and net (loss) income for the fiscal years ended October 1, 2021 and October 2, 2020. The Company's financial results began to improve during the second half of fiscal 2021 from operations re-opening as vaccines were distributed and lockdowns were lifted as well as from actions to reduce variable and fixed costs, including headcount reductions primarily taken during the second half of fiscal 2020. However, certain businesses continue to be impacted by COVID-19. The allowance for credit losses increased to $79.6 million as of October 1, 2021 compared to $74.9 million as of October 2, 2020, which includes the Company's current estimates that reflect the continued economic uncertainty resulting from COVID-19. In response, the Company continues to apply effective cost discipline to mitigate the negative impact of COVID-19 as well as take advantage of relief provisions, including the </w:t>
      </w:r>
      <w:r>
        <w:rPr>
          <w:rFonts w:ascii="Arial" w:cs="Arial" w:eastAsia="Arial" w:hAnsi="Arial"/>
          <w:sz w:val="16"/>
          <w:szCs w:val="16"/>
          <w:color w:val="212529"/>
        </w:rPr>
        <w:t>Coronavirus Aid, Relief and Economic Security Act ("CARES Act"), the Consolidated Appropriations Act of 2021</w:t>
      </w:r>
      <w:r>
        <w:rPr>
          <w:rFonts w:ascii="Arial" w:cs="Arial" w:eastAsia="Arial" w:hAnsi="Arial"/>
          <w:sz w:val="16"/>
          <w:szCs w:val="16"/>
          <w:color w:val="auto"/>
        </w:rPr>
        <w:t xml:space="preserve"> </w:t>
      </w:r>
      <w:r>
        <w:rPr>
          <w:rFonts w:ascii="Arial" w:cs="Arial" w:eastAsia="Arial" w:hAnsi="Arial"/>
          <w:sz w:val="16"/>
          <w:szCs w:val="16"/>
          <w:color w:val="212529"/>
        </w:rPr>
        <w:t xml:space="preserve">("CAA") and </w:t>
      </w:r>
      <w:r>
        <w:rPr>
          <w:rFonts w:ascii="Arial" w:cs="Arial" w:eastAsia="Arial" w:hAnsi="Arial"/>
          <w:sz w:val="16"/>
          <w:szCs w:val="16"/>
          <w:color w:val="000000"/>
        </w:rPr>
        <w:t>other United States and foreign governmental programs (see below and Note 10).</w:t>
      </w:r>
    </w:p>
    <w:p>
      <w:pPr>
        <w:spacing w:after="0" w:line="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ongoing impact of COVID-19, including the emergence of COVID-19 variants, on the Company's longer-term operational and financial performance will depend on future developments, which are highly uncertain and cannot be predicted.</w:t>
      </w:r>
    </w:p>
    <w:p>
      <w:pPr>
        <w:spacing w:after="0" w:line="4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212529"/>
        </w:rPr>
        <w:t>The CARES Act provides an employee retention credit (“CARES Employee Retention credit”), which is a refundable tax credit against certain employment taxes of up to $5,000 per employee for eligible employers. The tax credit is equal to 50% of qualified wages paid to employees during a quarter, capped at $10,000 of qualified wages per employee through December 31,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212529"/>
        </w:rPr>
        <w:t xml:space="preserve">2020. Additional relief provisions were passed by the United States government, which extend and slightly expand the qualified wage caps on these credits through December 31, 2021. Based on these additional provisions, the tax credit is now equal to 70% of qualified wages paid to employees during a quarter, and the limit on qualified wages per employee has been increased to $10,000 of qualified wages per quarter. The Company qualifies for the tax credit under the CARES Act and expects to continue to receive additional tax credits under the additional relief provisions for qualified wages through December 31, 2021. During the </w:t>
      </w:r>
      <w:r>
        <w:rPr>
          <w:rFonts w:ascii="Arial" w:cs="Arial" w:eastAsia="Arial" w:hAnsi="Arial"/>
          <w:sz w:val="17"/>
          <w:szCs w:val="17"/>
          <w:color w:val="000000"/>
        </w:rPr>
        <w:t>fiscal year</w:t>
      </w:r>
      <w:r>
        <w:rPr>
          <w:rFonts w:ascii="Arial" w:cs="Arial" w:eastAsia="Arial" w:hAnsi="Arial"/>
          <w:sz w:val="17"/>
          <w:szCs w:val="17"/>
          <w:color w:val="212529"/>
        </w:rPr>
        <w:t xml:space="preserve"> ended </w:t>
      </w:r>
      <w:r>
        <w:rPr>
          <w:rFonts w:ascii="Arial" w:cs="Arial" w:eastAsia="Arial" w:hAnsi="Arial"/>
          <w:sz w:val="17"/>
          <w:szCs w:val="17"/>
          <w:color w:val="000000"/>
        </w:rPr>
        <w:t>October 1, 2021 and October 2, 2020</w:t>
      </w:r>
      <w:r>
        <w:rPr>
          <w:rFonts w:ascii="Arial" w:cs="Arial" w:eastAsia="Arial" w:hAnsi="Arial"/>
          <w:sz w:val="17"/>
          <w:szCs w:val="17"/>
          <w:color w:val="212529"/>
        </w:rPr>
        <w:t xml:space="preserve">, the Company recorded $15.1 million and $18.7 million related to the CARES Employee Retention credit in “Cost of services provided (exclusive of depreciation and amortization)” on the Company’s Consolidated Statements of (Loss) Income. As of </w:t>
      </w:r>
      <w:r>
        <w:rPr>
          <w:rFonts w:ascii="Arial" w:cs="Arial" w:eastAsia="Arial" w:hAnsi="Arial"/>
          <w:sz w:val="17"/>
          <w:szCs w:val="17"/>
          <w:color w:val="000000"/>
        </w:rPr>
        <w:t>October 1, 2021, the Company has a $23.8 million receivable balance from the United States government related to the</w:t>
      </w:r>
      <w:r>
        <w:rPr>
          <w:rFonts w:ascii="Arial" w:cs="Arial" w:eastAsia="Arial" w:hAnsi="Arial"/>
          <w:sz w:val="17"/>
          <w:szCs w:val="17"/>
          <w:color w:val="212529"/>
        </w:rPr>
        <w:t xml:space="preserve"> </w:t>
      </w:r>
      <w:r>
        <w:rPr>
          <w:rFonts w:ascii="Arial" w:cs="Arial" w:eastAsia="Arial" w:hAnsi="Arial"/>
          <w:sz w:val="17"/>
          <w:szCs w:val="17"/>
          <w:color w:val="000000"/>
        </w:rPr>
        <w:t>CARES Act, which is recorded in "Receivables" on the Company's Consolidated Balance Sheet.</w:t>
      </w:r>
    </w:p>
    <w:p>
      <w:pPr>
        <w:spacing w:after="0" w:line="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12529"/>
        </w:rPr>
        <w:t xml:space="preserve">The CARES Act also provided for deferred payment of the employer portion of social security taxes through the end of calendar 2020, with 50% of the deferred amount due December 31, 2021 and the remaining 50% due December 31, 2022. Approximately $128.5 million of social security taxes remain deferred, of which 50% are recorded as liabilities within "Accrued payroll and related expenses" and 50% are recorded as liabilities within "Deferred Income Taxes and Other Noncurrent Liabilities" on the Company's Consolidated Balance Sheet as of </w:t>
      </w:r>
      <w:r>
        <w:rPr>
          <w:rFonts w:ascii="Arial" w:cs="Arial" w:eastAsia="Arial" w:hAnsi="Arial"/>
          <w:sz w:val="18"/>
          <w:szCs w:val="18"/>
          <w:color w:val="000000"/>
        </w:rPr>
        <w:t>October 1, 2021</w:t>
      </w:r>
      <w:r>
        <w:rPr>
          <w:rFonts w:ascii="Arial" w:cs="Arial" w:eastAsia="Arial" w:hAnsi="Arial"/>
          <w:sz w:val="18"/>
          <w:szCs w:val="18"/>
          <w:color w:val="212529"/>
        </w:rPr>
        <w:t xml:space="preserve">. Deferred amounts of approximately $80.8 million were recorded as a liability within "Deferred Income Taxes and Other Noncurrent Liabilities" on the Company's Consolidated Balance Sheet as of </w:t>
      </w:r>
      <w:r>
        <w:rPr>
          <w:rFonts w:ascii="Arial" w:cs="Arial" w:eastAsia="Arial" w:hAnsi="Arial"/>
          <w:sz w:val="18"/>
          <w:szCs w:val="18"/>
          <w:color w:val="000000"/>
        </w:rPr>
        <w:t>October 2, 2020.</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Within the FSS International and Uniform segments, many foreign jurisdictions in which the Company operates are also providing companies various forms of relief from the COVID-19 pandemic, including labor related tax credits. These labor related tax credits generally allow companies to receive credits if they retain employees on their payroll, rather than furloughing or terminating employees as a result of the business disruption caused by COVID-</w:t>
      </w:r>
    </w:p>
    <w:p>
      <w:pPr>
        <w:spacing w:after="0" w:line="2" w:lineRule="exact"/>
        <w:rPr>
          <w:sz w:val="20"/>
          <w:szCs w:val="20"/>
          <w:color w:val="auto"/>
        </w:rPr>
      </w:pPr>
    </w:p>
    <w:p>
      <w:pPr>
        <w:ind w:right="200" w:firstLine="8"/>
        <w:spacing w:after="0" w:line="271" w:lineRule="auto"/>
        <w:tabs>
          <w:tab w:leader="none" w:pos="2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qualifies for these tax credits and expects to continue to receive additional tax credits for qualified wages in foreign jurisdictions while these programs remain through December 31, 2021. The Company recorded approximately $155.3 million and $128.1 million of labor related tax credits within "Cost of services provided (exclusive of depreciation and amortization)" on the Consolidated Statements of (Loss) Income during the fiscal years ended October 1, 2021 and October 2, 2020, respectively, of which approximately $17.9 million and $23.0 million, respectively, were recorded in the Uniform segment with the remaining balances recorded in the FSS International segment.</w:t>
      </w:r>
    </w:p>
    <w:p>
      <w:pPr>
        <w:spacing w:after="0" w:line="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accounts for these labor related tax credits as a reduction to the expense that they are intended to compensate in the period in which the corresponding expense is incurred and there is reasonable assurance the Company will both receive the tax credits and comply with all conditions attached to the tax credits. The Company believes these tax credits are not expected to be returned to the foreign jurisdictions.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8"/>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6"/>
                <w:szCs w:val="16"/>
                <w:color w:val="auto"/>
              </w:rPr>
            </w:pPr>
          </w:p>
        </w:tc>
        <w:tc>
          <w:tcPr>
            <w:tcW w:w="152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Income taxes (refunded) paid</w:t>
            </w: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139.3</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Significant non-cash activities follow:</w:t>
      </w:r>
    </w:p>
    <w:p>
      <w:pPr>
        <w:spacing w:after="0" w:line="104" w:lineRule="exact"/>
        <w:rPr>
          <w:sz w:val="20"/>
          <w:szCs w:val="20"/>
          <w:color w:val="auto"/>
        </w:rPr>
      </w:pPr>
    </w:p>
    <w:p>
      <w:pPr>
        <w:ind w:left="660" w:right="600" w:hanging="328"/>
        <w:spacing w:after="0" w:line="263"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fiscal 2021, fiscal 2020 and fiscal 2019, the Company executed finance lease transactions. The present value of the future rental obligations was approximately $36.0 million, $29.3 million and $41.6 million for the respective periods, which is included in property and equipment and long-term borrowings.</w:t>
      </w:r>
    </w:p>
    <w:p>
      <w:pPr>
        <w:spacing w:after="0" w:line="62" w:lineRule="exact"/>
        <w:rPr>
          <w:rFonts w:ascii="Arial" w:cs="Arial" w:eastAsia="Arial" w:hAnsi="Arial"/>
          <w:sz w:val="18"/>
          <w:szCs w:val="18"/>
          <w:color w:val="auto"/>
        </w:rPr>
      </w:pPr>
    </w:p>
    <w:p>
      <w:pPr>
        <w:ind w:left="660" w:right="680" w:hanging="328"/>
        <w:spacing w:after="0" w:line="331" w:lineRule="auto"/>
        <w:tabs>
          <w:tab w:leader="none" w:pos="6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fiscal 2021, fiscal 2020 and fiscal 2019, cashless settlements of the exercise price and related employee minimum tax withholding liabilities of share-based payment awards were approximately $24.5 million, $92.3 million and $34.3 million,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 Level Hospitality ("Next Level") Acquisition</w:t>
      </w:r>
    </w:p>
    <w:p>
      <w:pPr>
        <w:spacing w:after="0" w:line="104"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On June 4, 2021, the Company completed the acquisition of Next Level Hospitality ("Next Level"), a premier provider of culinary and environmental services in the senior living industry, specializing in skilled nursing and rehabilitation facilities, pursuant to the Unit Purchase Agreement ("Next Level Purchase Agreement") dated as of April 28, 2021, by and among Aramark Healthcare Support Services, LLC, a wholly owned subsidiary of the Company, Aramark Services, Inc. ("ASI"), a wholly owned subsidiary of the Company, Next Level Hospitality Services, LLC, Next Level Stockholders and Seth Gribetz, in his capacity as Stockholder Representative. Upon completion of the acquisition, Next Level became a wholly owned subsidiary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of the Company and its results are included in the Company's FSS United States segment. The cash consideration paid for Next Level was $226.1 million. In addition, contingent consideration of $78.4 million was recorded as part of the acquisition, which the Company may be required to pay if Next Level achieves certain adjusted EBITDA levels during calendar year 2021 and 2022. The acquisition was financed utilizing cash and cash equivalents on hand.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10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has accounted for the Next Level acquisition as a business combination under the acquisition method of accounting. The Company has finalized its allocation of the purchase price for the transaction based upon the fair value of net assets acquired and liabilities assumed at the date of acquisition. For tax purposes, this acquisition is a taxable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and Measurement of Assets Acquired and Liabilities Assumed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assets and liabilities assigned as of the acquisition date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18,088</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307,291</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325,379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50,956</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48,323</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99,279</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67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000" w:type="dxa"/>
            <w:vAlign w:val="bottom"/>
            <w:gridSpan w:val="4"/>
          </w:tcPr>
          <w:p>
            <w:pPr>
              <w:spacing w:after="0"/>
              <w:rPr>
                <w:sz w:val="20"/>
                <w:szCs w:val="20"/>
                <w:color w:val="auto"/>
              </w:rPr>
            </w:pPr>
            <w:r>
              <w:rPr>
                <w:rFonts w:ascii="Arial" w:cs="Arial" w:eastAsia="Arial" w:hAnsi="Arial"/>
                <w:sz w:val="18"/>
                <w:szCs w:val="18"/>
                <w:color w:val="auto"/>
                <w:w w:val="95"/>
              </w:rPr>
              <w:t>The following table identifies the Company’s allocation of purchase price to the intangible assets acquired by category:</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right"/>
              <w:ind w:right="150"/>
              <w:spacing w:after="0"/>
              <w:rPr>
                <w:sz w:val="20"/>
                <w:szCs w:val="20"/>
                <w:color w:val="auto"/>
              </w:rPr>
            </w:pPr>
            <w:r>
              <w:rPr>
                <w:rFonts w:ascii="Arial" w:cs="Arial" w:eastAsia="Arial" w:hAnsi="Arial"/>
                <w:sz w:val="18"/>
                <w:szCs w:val="18"/>
                <w:color w:val="auto"/>
                <w:w w:val="93"/>
              </w:rPr>
              <w:t>Estimated Fair Value (in</w:t>
            </w:r>
          </w:p>
        </w:tc>
        <w:tc>
          <w:tcPr>
            <w:tcW w:w="2240" w:type="dxa"/>
            <w:vAlign w:val="bottom"/>
            <w:gridSpan w:val="3"/>
          </w:tcPr>
          <w:p>
            <w:pPr>
              <w:jc w:val="center"/>
              <w:spacing w:after="0"/>
              <w:rPr>
                <w:sz w:val="20"/>
                <w:szCs w:val="20"/>
                <w:color w:val="auto"/>
              </w:rPr>
            </w:pPr>
            <w:r>
              <w:rPr>
                <w:rFonts w:ascii="Arial" w:cs="Arial" w:eastAsia="Arial" w:hAnsi="Arial"/>
                <w:sz w:val="18"/>
                <w:szCs w:val="18"/>
                <w:color w:val="auto"/>
                <w:w w:val="90"/>
              </w:rPr>
              <w:t>Weighted-Average Estimated</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millions)</w:t>
            </w: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Useful Life (in years)</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77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Trade name</w:t>
            </w:r>
          </w:p>
        </w:tc>
        <w:tc>
          <w:tcPr>
            <w:tcW w:w="1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49.5</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center"/>
              <w:ind w:right="77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23"/>
        </w:trPr>
        <w:tc>
          <w:tcPr>
            <w:tcW w:w="66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Total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5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the customer relationship assets was determined using the “multi-period excess earnings method” which considers the present value of net cash flows expected to be generated by the customer relationships, excluding any cash flows related to contributory assets. The fair value of the trade name acquired was determined using the “relief-from-royalty method” which considers the discounted estimated royalty payments that are expected to be avoided as a result of the trademarks being owned.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recorded $123.6 million of goodwill in connection with its purchase price allocation relating to the Next Level acquisition, all of which was recognized in the FSS United States reporting segment. Goodwill is calculated as the excess of consideration transferred over the net assets recognized and represents future economic benefits arising from other assets acquired that could not be individually identified and separately recognized, such as assembled workforce. Factors that contributed to the Company's preliminary recognition of goodwill include the Company's intent to complement its existing healthcare business and expand its customer base. Goodwill related to the Next Level acquisition is expected to be deductible for income tax purposes.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Earnings for Next Level</w:t>
      </w:r>
    </w:p>
    <w:p>
      <w:pPr>
        <w:spacing w:after="0" w:line="10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Included in the Company's Consolidated Statements of (Loss) Income for the fiscal year ended October 1, 2021 was revenue of approximately $108.9 million. Net loss in the Company's Consolidated Statements of (Loss) Income from Next Level was not material for fiscal 2021. The effects of the acquisition on proforma revenue and net income of the combined entity were not material.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0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November 9, 2018, the Company completed the sale of its wholly-owned Healthcare Technologies ("HCT") business for $293.7 million in cash. The transaction resulted in a pretax gain of $156.3 million (tax effected gain of $139.2 million) in the Consolidated Statements of (Loss) Income for the fiscal year ended September 27,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and Integration Costs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of the Avendra and AmeriPride acquisitions occurring in fiscal year 2018, the Company incurred merger and integration costs of approximately $22.2 million, $28.9 million and $36.1 million during fiscal 2021, fiscal 2020 and fiscal 2019, respectively. The expenses mainly related to costs for transitional employees and integration related consulting costs and charges related to plant consolidations, mainly asset write-downs, the implementation of a new route accounting system and other expenses.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fiscal 2021, the Company paid net cash consideration of approximately $39.7 million for various acquisitions, excluding the purchase of Next Level. During fiscal 2020 and fiscal 2019, the Company paid net cash consideration of approximately $22.2 million and $44.9 million for various acquisitions, respectively. The revenue, net income, assets and liabilities of the acquisitions did not have a material impact on the Company's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SEVERANCE:</w:t>
      </w:r>
    </w:p>
    <w:p>
      <w:pPr>
        <w:spacing w:after="0" w:line="10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Beginning in the third quarter of fiscal 2020, the Company made changes to its organization as a result of COVID-19 to align its cost base to better support its clients' needs as the Company navigates the current environment and focuses on its long-term strategy. These actions included headcount reductions, which resulted in severance charges of approximately $145.8 million during the fiscal year ended October 2, 2020, which were recorded in both “Cost of services provided (exclusive of depreciation and amortization” and “Selling and general corporate expenses” on the Consolidated Statements of (Loss) Income. The Company reversed approximately $16.3 million of unpaid obligations related to severance during fiscal 2021, which were recorded in both "Cost of services provided (exclusive of depreciation and amortization)" and "Selling and general corporate expenses" on the Consolidated Statements of (Loss) Income. The majority of these charges were paid in fiscal 2021, with the remaining balance expected to be paid out within the next fiscal year.</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severance charges by segment recognized in the Consolidated Statements of (Loss) Income for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 2020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95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30"/>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fiscal 2018, the Company commenced a new phase of strategic reinvestment and reorganization actions to streamline and improve efficiencies and effectiveness of its selling, general and administrative functions, which resulted in net severance charges of approximately $18.7 million during fiscal 2019. The Company completed this cost savings phase as of September 27, 2019. There are no remaining unpaid obligations as of October 1, 2021.</w:t>
      </w:r>
    </w:p>
    <w:p>
      <w:pPr>
        <w:spacing w:after="0" w:line="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unpaid obligations for severance and related costs as of October 1, 2021, which are included in "Accrued payroll and related expenses" on the Consolidated Balance Sheets.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October 2, 2020</w:t>
            </w: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Net Expense Reduction</w:t>
            </w:r>
            <w:r>
              <w:rPr>
                <w:rFonts w:ascii="Arial" w:cs="Arial" w:eastAsia="Arial" w:hAnsi="Arial"/>
                <w:sz w:val="18"/>
                <w:szCs w:val="18"/>
                <w:b w:val="1"/>
                <w:bCs w:val="1"/>
                <w:color w:val="auto"/>
                <w:w w:val="98"/>
                <w:vertAlign w:val="superscript"/>
              </w:rPr>
              <w:t>(1)</w:t>
            </w:r>
          </w:p>
        </w:tc>
        <w:tc>
          <w:tcPr>
            <w:tcW w:w="30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Arial" w:cs="Arial" w:eastAsia="Arial" w:hAnsi="Arial"/>
                <w:sz w:val="14"/>
                <w:szCs w:val="14"/>
                <w:b w:val="1"/>
                <w:bCs w:val="1"/>
                <w:color w:val="auto"/>
              </w:rPr>
              <w:t>Payments</w:t>
            </w:r>
          </w:p>
        </w:tc>
        <w:tc>
          <w:tcPr>
            <w:tcW w:w="220" w:type="dxa"/>
            <w:vAlign w:val="bottom"/>
          </w:tcPr>
          <w:p>
            <w:pPr>
              <w:spacing w:after="0"/>
              <w:rPr>
                <w:sz w:val="14"/>
                <w:szCs w:val="14"/>
                <w:color w:val="auto"/>
              </w:rPr>
            </w:pPr>
          </w:p>
        </w:tc>
        <w:tc>
          <w:tcPr>
            <w:tcW w:w="14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October 1, 2021</w:t>
            </w:r>
          </w:p>
        </w:tc>
        <w:tc>
          <w:tcPr>
            <w:tcW w:w="0" w:type="dxa"/>
            <w:vAlign w:val="bottom"/>
          </w:tcPr>
          <w:p>
            <w:pPr>
              <w:spacing w:after="0"/>
              <w:rPr>
                <w:sz w:val="1"/>
                <w:szCs w:val="1"/>
                <w:color w:val="auto"/>
              </w:rPr>
            </w:pPr>
          </w:p>
        </w:tc>
      </w:tr>
      <w:tr>
        <w:trPr>
          <w:trHeight w:val="189"/>
        </w:trPr>
        <w:tc>
          <w:tcPr>
            <w:tcW w:w="4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20"/>
              <w:spacing w:after="0"/>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 Reorganization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Fiscal 2020 Reorganization</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Reorganization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w:t>
      </w:r>
    </w:p>
    <w:p>
      <w:pPr>
        <w:ind w:left="400"/>
        <w:spacing w:after="0"/>
        <w:rPr>
          <w:sz w:val="20"/>
          <w:szCs w:val="20"/>
          <w:color w:val="auto"/>
        </w:rPr>
      </w:pPr>
      <w:r>
        <w:rPr>
          <w:rFonts w:ascii="Arial" w:cs="Arial" w:eastAsia="Arial" w:hAnsi="Arial"/>
          <w:sz w:val="13"/>
          <w:szCs w:val="13"/>
          <w:color w:val="auto"/>
        </w:rPr>
        <w:t>During fiscal 2021, several previously expected actions were reversed due to changes in facts, including the timing of client re-openings after COVID-19 restrictions began to lift.</w:t>
      </w:r>
    </w:p>
    <w:p>
      <w:pPr>
        <w:spacing w:after="0" w:line="19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fiscal 2021, the Uniform segment approved action plans to streamline and improve the efficiency and effectiveness of the segment's general and administrative functions. Part of this action plan also included a series of facility consolidations and closures. As a result of these actions, severance charges of approximately $9.0 million were recorded within “Cost of services provided (exclusive of depreciation and amortization)” on the Consolidated Statements of (Loss) Income for the fiscal year ended October 1, 2021. The severance charges are expected to be paid out through fiscal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 The Company performs its assessment of goodwill at the reporting unit level. Within the FSS International segment, each country or region is evaluated separately since such operating units are relatively autonomous and separate goodwill balances have been recorded for each entity. The Company performs its annual impairment test as of the end of the fiscal month of August. If results of the qualitative assessment indicate a more likely than not determination or if a qualitative assessment is not performed, a quantitative test is performed by comparing the estimated fair value using discounted cash flow calculations of each reporting unit with its estimated net book value.</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fourth quarter of fiscal 2021, the Company performed the annual impairment test for goodwill for each of the reporting units using a quantitative testing approach. The Company compared the estimated fair value using discounted cash flow calculations of each reporting unit with its book value. Based on the evaluation performed, the Company determined that the fair value of each of the reporting units significantly exceeded its respective carrying amount, and therefore, the Company determined that goodwill was not impaired.</w:t>
      </w:r>
    </w:p>
    <w:p>
      <w:pPr>
        <w:spacing w:after="0" w:line="6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fiscal 2020, the Company identified a triggering event from the decline in its stock price resulting from COVID-19. As a result, the Company performed a quantitative impairment test and recognized a non-cash impairment charge of $198.6 million related to one reporting unit within the FSS International segment on the Consolidated Statements of (Loss) Income for the fiscal year ended October 2, 2020. For tax purposes, the impairment charge was not tax deductible. The impaired reporting unit has a remaining goodwill balance of $91.0 million as of October 1, 2021.</w:t>
      </w:r>
    </w:p>
    <w:p>
      <w:pPr>
        <w:spacing w:after="0" w:line="3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determination of fair value for each reporting unit includes assumptions, which are considered Level 3 inputs, that are subject to risk and uncertainty. The discounted cash flow calculations are dependent on several subjective factors including the timing of future cash flows and the underlying margin projection assumptions, future growth rates and the discount rate. If assumptions or estimates in the fair value calculations change or if future cash flows or future growth rates vary from what was expected, including those assumptions relating to the duration and severity of COVID-19, this may impact the impairment analysis and could reduce the underlying cash flows used to estimate fair values and result in a decline in fair value that may trigger future impairment charges.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fiscal 2021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Segment</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2020</w:t>
            </w: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4"/>
                <w:szCs w:val="14"/>
                <w:b w:val="1"/>
                <w:bCs w:val="1"/>
                <w:color w:val="auto"/>
              </w:rPr>
              <w:t>Acquisitions</w:t>
            </w:r>
          </w:p>
        </w:tc>
        <w:tc>
          <w:tcPr>
            <w:tcW w:w="2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6"/>
                <w:szCs w:val="16"/>
                <w:color w:val="auto"/>
              </w:rPr>
            </w:pPr>
          </w:p>
        </w:tc>
        <w:tc>
          <w:tcPr>
            <w:tcW w:w="1460" w:type="dxa"/>
            <w:vAlign w:val="bottom"/>
          </w:tcPr>
          <w:p>
            <w:pPr>
              <w:jc w:val="right"/>
              <w:ind w:right="274"/>
              <w:spacing w:after="0"/>
              <w:rPr>
                <w:sz w:val="20"/>
                <w:szCs w:val="20"/>
                <w:color w:val="auto"/>
              </w:rPr>
            </w:pPr>
            <w:r>
              <w:rPr>
                <w:rFonts w:ascii="Arial" w:cs="Arial" w:eastAsia="Arial" w:hAnsi="Arial"/>
                <w:sz w:val="14"/>
                <w:szCs w:val="14"/>
                <w:b w:val="1"/>
                <w:bCs w:val="1"/>
                <w:color w:val="auto"/>
              </w:rPr>
              <w:t>October 1, 2021</w:t>
            </w:r>
          </w:p>
        </w:tc>
      </w:tr>
      <w:tr>
        <w:trPr>
          <w:trHeight w:val="229"/>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3,953,332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134,546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4,087,936</w:t>
            </w: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426,118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434,465</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964,378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964,896</w:t>
            </w:r>
          </w:p>
        </w:tc>
      </w:tr>
      <w:tr>
        <w:trPr>
          <w:trHeight w:val="223"/>
        </w:trPr>
        <w:tc>
          <w:tcPr>
            <w:tcW w:w="4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5,343,828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5,487,297</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October 1, 2021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October 2, 2020</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35"/>
        </w:trPr>
        <w:tc>
          <w:tcPr>
            <w:tcW w:w="3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1"/>
                <w:szCs w:val="11"/>
                <w:color w:val="auto"/>
              </w:rPr>
            </w:pPr>
          </w:p>
        </w:tc>
        <w:tc>
          <w:tcPr>
            <w:tcW w:w="104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60" w:type="dxa"/>
            <w:vAlign w:val="bottom"/>
          </w:tcPr>
          <w:p>
            <w:pPr>
              <w:jc w:val="right"/>
              <w:ind w:right="477"/>
              <w:spacing w:after="0" w:line="135" w:lineRule="exact"/>
              <w:rPr>
                <w:sz w:val="20"/>
                <w:szCs w:val="20"/>
                <w:color w:val="auto"/>
              </w:rPr>
            </w:pPr>
            <w:r>
              <w:rPr>
                <w:rFonts w:ascii="Arial" w:cs="Arial" w:eastAsia="Arial" w:hAnsi="Arial"/>
                <w:sz w:val="14"/>
                <w:szCs w:val="14"/>
                <w:b w:val="1"/>
                <w:bCs w:val="1"/>
                <w:color w:val="auto"/>
              </w:rPr>
              <w:t>Net</w:t>
            </w:r>
          </w:p>
        </w:tc>
      </w:tr>
      <w:tr>
        <w:trPr>
          <w:trHeight w:val="188"/>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060" w:type="dxa"/>
            <w:vAlign w:val="bottom"/>
          </w:tcPr>
          <w:p>
            <w:pPr>
              <w:jc w:val="right"/>
              <w:ind w:right="317"/>
              <w:spacing w:after="0"/>
              <w:rPr>
                <w:sz w:val="20"/>
                <w:szCs w:val="20"/>
                <w:color w:val="auto"/>
              </w:rPr>
            </w:pPr>
            <w:r>
              <w:rPr>
                <w:rFonts w:ascii="Arial" w:cs="Arial" w:eastAsia="Arial" w:hAnsi="Arial"/>
                <w:sz w:val="14"/>
                <w:szCs w:val="14"/>
                <w:b w:val="1"/>
                <w:bCs w:val="1"/>
                <w:color w:val="auto"/>
              </w:rPr>
              <w:t>Amount</w:t>
            </w:r>
          </w:p>
        </w:tc>
      </w:tr>
      <w:tr>
        <w:trPr>
          <w:trHeight w:val="224"/>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933,331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(1,308,002)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887,698</w:t>
            </w:r>
          </w:p>
        </w:tc>
      </w:tr>
      <w:tr>
        <w:trPr>
          <w:trHeight w:val="229"/>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1,052,744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1,044,939</w:t>
            </w:r>
          </w:p>
        </w:tc>
      </w:tr>
      <w:tr>
        <w:trPr>
          <w:trHeight w:val="248"/>
        </w:trPr>
        <w:tc>
          <w:tcPr>
            <w:tcW w:w="3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(1,315,807)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1,932,637</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During fiscal 2021, the Company acquired customer relationship assets and trade names with values of approximately $157.8 million and $52.5 million, respectively. During fiscal 2020, the Company acquired customer relationship assets with values of approximately $9.7 million. Customer relationship assets are being amortized principally on a straight-line basis over the expected period of benefit with a weighted average life of approximately 14 years. The Aramark, Avendra and a majority of the other trade names are indefinite lived intangible assets and are not amortized, but are evaluated for impairment at least annually or more frequently if events or changes in circumstances indicate that it is more likely than not that the asset is impaired. The Company utilized the "relief-from-royalty" method, which considers the discounted estimated royalty payments that are expected to be avoided as a result of the trade names being owned. The Company completed its annual trade name impairment test for fiscal 2021, which did not result in an impairment charge. Amortization of other intangible assets for fiscal 2021, fiscal 2020 and fiscal 2019 was approximately $116.5 million, $117.6 million and $117.0 million, respectively.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the recorded balances at October 1, 2021, total estimated amortization of all acquisition-related intangible assets for fiscal years 2022 through 2026 are as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95,729</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91,583</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91,166</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91,308</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87,606</w:t>
            </w:r>
          </w:p>
        </w:tc>
      </w:tr>
      <w:tr>
        <w:trPr>
          <w:trHeight w:val="405"/>
        </w:trPr>
        <w:tc>
          <w:tcPr>
            <w:tcW w:w="7740" w:type="dxa"/>
            <w:vAlign w:val="bottom"/>
          </w:tcPr>
          <w:p>
            <w:pPr>
              <w:spacing w:after="0"/>
              <w:rPr>
                <w:sz w:val="20"/>
                <w:szCs w:val="20"/>
                <w:color w:val="auto"/>
              </w:rPr>
            </w:pPr>
            <w:r>
              <w:rPr>
                <w:rFonts w:ascii="Arial" w:cs="Arial" w:eastAsia="Arial" w:hAnsi="Arial"/>
                <w:sz w:val="18"/>
                <w:szCs w:val="18"/>
                <w:b w:val="1"/>
                <w:bCs w:val="1"/>
                <w:color w:val="auto"/>
              </w:rPr>
              <w:t>NOTE 5. BORROWINGS: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Arial" w:cs="Arial" w:eastAsia="Arial" w:hAnsi="Arial"/>
                <w:sz w:val="18"/>
                <w:szCs w:val="18"/>
                <w:color w:val="auto"/>
              </w:rPr>
              <w:t>Long-term borrowings, net, are summarized in the following table (in thousands):</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04"/>
        </w:trPr>
        <w:tc>
          <w:tcPr>
            <w:tcW w:w="7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24"/>
                <w:szCs w:val="24"/>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April 2026</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849,895</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1,660,382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1,659,194</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485,346</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833,643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888,540</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2028</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830,133</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5.000% senior notes, due April 2025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594,719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593,381</w:t>
            </w:r>
          </w:p>
        </w:tc>
      </w:tr>
      <w:tr>
        <w:trPr>
          <w:trHeight w:val="230"/>
        </w:trPr>
        <w:tc>
          <w:tcPr>
            <w:tcW w:w="77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377,960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6.375% senior notes, due May 2025</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1,483,328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1,479,341</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notes, due June 2026</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495,426</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5.000% senior notes, due February 2028</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1,140,144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1,138,864</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Facility, due June 2024</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315,600</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146,368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142,588</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22,155</w:t>
            </w:r>
          </w:p>
        </w:tc>
      </w:tr>
      <w:tr>
        <w:trPr>
          <w:trHeight w:val="223"/>
        </w:trPr>
        <w:tc>
          <w:tcPr>
            <w:tcW w:w="7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7,452,267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9,278,423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(99,915)</w:t>
            </w:r>
          </w:p>
        </w:tc>
      </w:tr>
      <w:tr>
        <w:trPr>
          <w:trHeight w:val="223"/>
        </w:trPr>
        <w:tc>
          <w:tcPr>
            <w:tcW w:w="77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7,393,417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9,178,508</w:t>
            </w: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420" w:hanging="394"/>
        <w:spacing w:after="0"/>
        <w:tabs>
          <w:tab w:leader="none" w:pos="420" w:val="left"/>
        </w:tabs>
        <w:numPr>
          <w:ilvl w:val="0"/>
          <w:numId w:val="49"/>
        </w:numPr>
        <w:rPr>
          <w:rFonts w:ascii="Arial" w:cs="Arial" w:eastAsia="Arial" w:hAnsi="Arial"/>
          <w:sz w:val="25"/>
          <w:szCs w:val="25"/>
          <w:color w:val="auto"/>
          <w:vertAlign w:val="superscript"/>
        </w:rPr>
      </w:pPr>
      <w:r>
        <w:rPr>
          <w:rFonts w:ascii="Arial" w:cs="Arial" w:eastAsia="Arial" w:hAnsi="Arial"/>
          <w:sz w:val="13"/>
          <w:szCs w:val="13"/>
          <w:color w:val="auto"/>
        </w:rPr>
        <w:t>This is a Euro denominated borrowing. See the disclosure below in the Senior Notes section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2021, there were approximately $869.5 million of outstanding foreign currency borrowings.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October 1, 2021, the Company had $71.9 million of borrowings under the revolving credit facility, no borrowings under the receivables facility, $532.6 million of cash and cash equivalents, approximately $1,091.6 million of availability under the senior secured revolving credit facility and $400.0 million of availability under the receivables facility. During fiscal 2021, the Company repaid $780.0 million of outstanding borrowings under the United States revolving credit facility, $500.0 million aggregate principal amount of 4.750% Senior Notes due 2026 (the "4.750% 2026 Notes") and $315.6 million of outstanding borrowings under the receivables facility utilizing cash and cash equivalents on hand. Additionally, during fiscal 2021, the Company made $244.2 million of net repayments on term loan borrowings.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Agreement</w:t>
      </w:r>
    </w:p>
    <w:p>
      <w:pPr>
        <w:spacing w:after="0" w:line="10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Aramark Services, Inc. ("ASI"), an indirect wholly owned subsidiary of the Company, and certain of its subsidiaries entered into a credit agreement on March 28, 2017 (as supplemented or otherwise modified from time to time, the "Credit Agreement"), which replaced the existing Amended and Restated Credit Agreement, originally dated January 26, 2007, and last amended on March 28, 2014 (the "Previous Credit Agreement").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senior secured term loan facilities consisting of the following as of October 1, 2021:</w:t>
      </w:r>
    </w:p>
    <w:p>
      <w:pPr>
        <w:spacing w:after="0" w:line="104" w:lineRule="exact"/>
        <w:rPr>
          <w:sz w:val="20"/>
          <w:szCs w:val="20"/>
          <w:color w:val="auto"/>
        </w:rPr>
      </w:pPr>
    </w:p>
    <w:p>
      <w:pPr>
        <w:ind w:left="660" w:right="380" w:hanging="328"/>
        <w:spacing w:after="0" w:line="308"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United States dollar denominated term loan to ASI in the amount of $1,660.4 million, due 2025 ("U.S. Term B-3 Loans due 2025"), $833.6 million, due 2027 ("U.S. Term B-4 Loans due 2027") and $722.0 million due 2028 ("U.S. Term B-5 Loans due 2028");</w:t>
      </w:r>
    </w:p>
    <w:p>
      <w:pPr>
        <w:spacing w:after="0" w:line="24"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yen denominated term loan to ASI in the amount of ¥9,087.8 million (approximately $81.8 million), due 2026 (the "Yen Term C-2 Loans due 2026");</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left="660" w:right="260" w:hanging="328"/>
        <w:spacing w:after="0" w:line="27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Canadian dollar denominated term loan to Aramark Canada Ltd. in the amount of C$251.7 million (approximately $199.0 million), due 2026 (the "Canadian Term A-3 Loans due 2026"); and</w:t>
      </w:r>
    </w:p>
    <w:p>
      <w:pPr>
        <w:spacing w:after="0" w:line="35"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euro denominated term loan to Aramark Investments Limited, a U.K. borrower, in an amount of €108.5 million (approximately $125.7 million), of which €32.3 million (approximately $37.4 million) is due in 2023 (the "Euro Term A-1 Loans due 2023") and the remainder of which is due 2026 (the "Euro Term A-2 Loans due 2026").</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Credit Agreement also includes a revolving credit facility available for loans in United States dollars, Canadian dollars, euros and pounds sterling to ASI and certain foreign borrowers with aggregate commitments of $1.2 billion. A portion of the revolving credit facility with commitments of $53.7 million has a final maturity date of October 1, 2023 and the remainder of the revolving credit facility has a final maturity date of April 6, 2026. As of October 1, 2021, there was approximately $1,091.6 million available for borrowing under the revolving credit facility. The Company's revolving credit facility includes a $250.0 million sublimit for letters of credit. The revolving credit facility may be drawn by ASI as well as by certain foreign subsidiaries of ASI. Each foreign borrower is subject to a sublimit of $150.0 million with respect to borrowings under the revolving credit facility. In addition to paying interest on outstanding principal under the senior secured credit facilities, the Company is required to pay a commitment fee to the lenders under the revolving credit facility in respect of the unutilized commitments thereunder. The revolving credit facility is subject to a commitment fee ranging from a rate of 0.15% to 0.30% per annum. The actual rate within the range is based on a Consolidated Leverage Ratio, as defined in the Credit Agreement.</w:t>
      </w:r>
    </w:p>
    <w:p>
      <w:pPr>
        <w:spacing w:after="0" w:line="4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The primary borrower under the senior secured credit facilities is ASI. In addition, certain subsidiaries of ASI are borrowers of the term loan facilities and/or the revolving credit facility. The Company is not a guarantor under the senior secured credit facilities and is not subject to the covenants or obligations under the Credit Agreement.</w:t>
      </w:r>
    </w:p>
    <w:p>
      <w:pPr>
        <w:spacing w:after="0" w:line="4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applicable margin on the U.S. Term B-3 Loans due 2025 and the U.S. Term B-4 Loans due 2027 is 1.75% with respect to eurocurrency (LIBOR) borrowings, subject to a LIBOR floor of 0.00%, and 0.75% with respect to base-rate borrowings, subject to a minimum base rate of 0.00%. The applicable margin on the U.S. Term B-5 Loans due 2028 is 2.50% with respect to eurocurrency (LIBOR) borrowings, subject to a LIBOR floor of 0.00% and 1.50% with respect to base-rate borrowings, subject to a minimum base rate of 0.00%. The applicable margin spread for the Yen Term C-2 Loans due 2026, the Canadian Term A-3 Loans due 2026, the Euro Term A-1 Loans due 2023, the Euro Term A-2 Loans due 2026 and the senior secured revolving credit facility is 1.125% to 1.625% (as of October 1, 2021 - 1.625%) with respect to eurocurrency (LIBOR) borrowings, bankers’ acceptance ("BA") rate borrowings, Tokyo Interbank offer ("TIBOR") rate borrowings and letters of credit fees, subject to a floor of 0.00%, and 0.125% to 0.625% (as of October 1, 2021 - 0.625%) with respect to United States and Canadian base rate borrowings, subject to a floor of 0.00%, and 1.1576% to 1.6576% (as of October 1, 2021 - 1.6576%) with respect to Sterling Overnight Index Average ("SONIA") rate borrowings, subject to a floor of 0.00%. The actual spreads within all ranges referred to above are based on a Consolidated Leverage Ratio, as defined in the Credit Agreement.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 Refinancing Transactions</w:t>
      </w:r>
    </w:p>
    <w:p>
      <w:pPr>
        <w:spacing w:after="0" w:line="10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April 6, 2021, the Company entered into Amendment No. 11 to the Credit Agreement. Amendment No. 11 provided for, among other things, the extension of the maturity date, in each case, applicable to a portion of the revolving credit facility (the "2018 Tranche Revolving Facility"), a portion of the Canadian dollar denominated term loan due October 2023 (the "Canadian Term A-2 Loans due 2023"), all of the Euro Term A-1 Loans due 2023, all of the Yen Term C-1 Loans due 2023 and all of the United States dollar denominated term loan due 2024 (the "U.S. Term B-2 Loans due 2024") and an increase of approximately $200.0 million in commitments available under the 2018 Tranche Revolving Facility, in each case, under the Credit Agreement through the establishment of Replacement Revolving Commitments (as defined in the Credit Agreement), New Revolving Commitments (as defined in the Credit Agreement), borrowings of Extended Term Loans (as defined in the Credit Agreement) and borrowings of Refinancing Term Loans (as defined in the Credit Agreement), as applicable, under the Credit Agreement comprised of (i) in the case of the portion of the 2018 Tranche Revolving Facility which was extended, new 2021 Tranche Revolving Commitments (the "New 2021 Tranche Revolving Commitments") in an amount equal to $1,153.1 million, terminating in April 2026, (ii) in the case of the portion of the Canadian Term A-2 Loans due 2023 which was extended, the new Canadian Term A-3 Loans due 2026 in an amount equal to C$276.9 million, due in April 2026, (iii) in the case of the portion of the Euro Term A-1 Loans due 2023 which was extended, the new Euro Term A-2 Loans due 2026 in an amount equal to €78.8 million, due in April 2026, (iv) in the case of the Yen Term C-1 Loans due 2023, the new Yen Term C-2 Loans due 2026 in an amount equal to ¥9,343.3 million, due in April 2026 and (v) in the case of the U.S. Term B-2 Loans due 2024, the new U.S. Term B-5 Loans due 2028 in an amount equal to $833.0 million, due in April 2028. The new Canadian Term A-3 Loans due 2026, Euro Term A-2 Loans due 2026, Yen Term C-2 Loans due 2026 and U.S. Term B-5 Loans due 2028 were funded in full on April 6, 2021 and were applied by the Company to refinance in part the Canadian Term A-2 Loans due 2023 and Euro Term A-1 Loans due 2023 and to refinance in full the Yen Term C-1 Loans due 2023 and U.S. Term B-2 Loans due 2024, in each case, previously outstanding under the Credit Agreement. As of April 6, 2021 and after giving effect to Amendment No. 11, $53.7 million of 2018 Tranche Revolving Commitments, €33.6 million of Euro Term A-1 Loans due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and C$27.1 million of Canadian Term A-2 Loans due 2023 were outstanding under the Credit Agreement, as amended by Amendment No. 11, in each case due in October 2023 (which date is unchanged from the maturity date previously applicable to such loans and commitments, as applicable). The Canadian Term A-2 Loans due 2023 were repaid in full as of October 1, 2021.</w:t>
      </w:r>
    </w:p>
    <w:p>
      <w:pPr>
        <w:spacing w:after="0" w:line="4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New 2021 Tranche Revolving Commitments are subject to substantially similar terms currently relating to guarantees, collateral, mandatory prepayments and covenants that are applicable to the Company’s existing 2018 Tranche Revolving Facility outstanding under the Credit Agreement. For the avoidance of doubt, the remaining 2018 Revolving Tranche Commitments shall be available only in United States dollars and shall bear interest and accrue unused fees at rates consistent with the 2021 Tranche Revolving Facility.</w:t>
      </w:r>
    </w:p>
    <w:p>
      <w:pPr>
        <w:spacing w:after="0" w:line="6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Canadian Term A-3 Loans due 2026 are subject to substantially similar terms currently relating to guarantees, collateral, mandatory prepayments and covenants that are applicable to the Company’s Canadian Term A-2 Loans due 2023 under the Credit Agreement. Amortization payments in respect of the remaining Canadian Term A-2 Loans due 2023 have been reduced on a pro rate basis to reflect the partial refinancing thereof.</w:t>
      </w:r>
    </w:p>
    <w:p>
      <w:pPr>
        <w:spacing w:after="0" w:line="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Euro Term A-2 Loans due 2026 are subject to substantially similar terms currently relating to guarantees, collateral, mandatory prepayments and covenants that are applicable to the Company’s existing Euro Term A-1 Loans due 2023 outstanding under the Credit Agreement. Amortization payments in respect of the remaining Euro Term A-1 Loans have been reduced on a pro rata basis to reflect the partial refinancing thereof.</w:t>
      </w:r>
    </w:p>
    <w:p>
      <w:pPr>
        <w:spacing w:after="0" w:line="3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Yen Term C-2 Loans due 2026 are subject to substantially similar terms currently relating to guarantees, collateral, mandatory prepayments and covenants that are applicable to the Company’s existing Yen Term C-1 Loans due 2023 outstanding under the Credit Agreement, except for the option to use TIBOR rate borrowings on or after January 31, 2022.</w:t>
      </w:r>
    </w:p>
    <w:p>
      <w:pPr>
        <w:spacing w:after="0" w:line="6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U.S. Term B-5 Loans due 2028 are subject to substantially similar terms currently relating to guarantees, collateral, mandatory prepayments and covenants that are applicable to the Company’s existing U.S. Term B Loans outstanding under the Credit Agreement.</w:t>
      </w:r>
    </w:p>
    <w:p>
      <w:pPr>
        <w:spacing w:after="0" w:line="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Company capitalized third-party costs of approximately $16.8 million related to banker fees, rating agency fees and legal fees directly attributable to the refinancings in Amendment No. 11, of which $11.6 million are included in "Long-Term Borrowings" and $5.2 million are included in "Other Assets" on the Consolidated Balance Sheet </w:t>
      </w:r>
      <w:r>
        <w:rPr>
          <w:rFonts w:ascii="Arial" w:cs="Arial" w:eastAsia="Arial" w:hAnsi="Arial"/>
          <w:sz w:val="17"/>
          <w:szCs w:val="17"/>
          <w:color w:val="212529"/>
        </w:rPr>
        <w:t>as of October 1, 2021</w:t>
      </w:r>
      <w:r>
        <w:rPr>
          <w:rFonts w:ascii="Arial" w:cs="Arial" w:eastAsia="Arial" w:hAnsi="Arial"/>
          <w:sz w:val="17"/>
          <w:szCs w:val="17"/>
          <w:color w:val="auto"/>
        </w:rPr>
        <w:t>. Amounts paid for the capitalized third-party costs are included within "Other Financing activities" on the Consolidated Statements of Cash Flows for the fiscal year ended October 1, 2021. Additionally the Company recorded a $2.7 million non-cash loss for the write-off of unamortized deferred financing costs on the revolving credit facility and U.S. Term B-2 Loans due 2024 to "Interest and Other Financing Costs, net" in the Consolidated Statements of (Loss) Income for the fiscal year ended October 1, 2021.</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Refinancing Transactions</w:t>
      </w:r>
    </w:p>
    <w:p>
      <w:pPr>
        <w:spacing w:after="0" w:line="10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January 15, 2020, ASI entered into Amendment No. 8 to the Credit Agreement. Amendment No. 8 provided for an incremental, senior secured credit facility under the Credit Agreement, the U.S. Term B-4 Loans due 2027, comprised of a United States dollar denominated term loan made to ASI in an amount equal to $900.0 million, due January 15, 2027. The U.S. Term B-4 Loans due 2027 were borrowed with an original issue discount of 0.125%.</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net proceeds from the U.S. Term B-4 Loans due 2027 were used to redeem the aggregate $900.0 million principal amount outstanding on ASI’s</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5.125% Senior Notes due 2024 (the “2024 Notes”) at a redemption price of 102.563% of the aggregate principal amount and to pay accrued interest, certain fees and related expenses. The Company recorded $20.9 million of charges to "Interest and Other Financing Costs, net" in the Consolidated Statements of (Loss) Income for the fiscal year ended October 2, 2020, consisting of the payment of a $23.1 million call premium and a $2.2 million non-cash gain for the write-off of unamortized debt premium and unamortized deferred financing costs on the 2024 Notes. The Company capitalized third-party costs of approximately $6.6 million related to banker fees, rating agency fees and legal fees directly attributable to the U.S. Term B-4 Loans due 2027, which are included in "Long-Term Borrowings" on the Consolidated Balance Sheets. Amounts paid for the call premium and capitalized third-party costs are included within "Other financing activities" on the Consolidated Statements of Cash Flows for the fiscal year ended October 2, 2020.</w:t>
      </w:r>
    </w:p>
    <w:p>
      <w:pPr>
        <w:spacing w:after="0" w:line="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U.S. Term B-4 Loans due 2027 are subject to substantially similar terms relating to guarantees, collateral, mandatory prepayments and covenants that are applicable to the Company’s then existing U.S. Term B-2 Loans due 2024 and U.S. Term B-3 Loans due 2025, in each case, outstanding under the Credit Agreement as of October 2,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Refinancing Transactions</w:t>
      </w:r>
    </w:p>
    <w:p>
      <w:pPr>
        <w:spacing w:after="0" w:line="9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On October 1, 2018, the Company extended the maturity dates of the then existing Revolving Credit Facility, Yen Term Loan due 2022, Canadian Term Loan due 2022, Canadian Term Loan due 2023 and Euro Term Loan due 2022 to October 1, 2023 and lowered the interest rates applicable to each such tranche of commitments or outstanding indebtedness, as applicable, as described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Incremental Facilities</w:t>
      </w:r>
    </w:p>
    <w:p>
      <w:pPr>
        <w:spacing w:after="0" w:line="1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provides that the Company has the right at any time to request one or more incremental term loan facilities or increases under existing term loan facilities and/or additional revolving credit facilities or increases under the existing revolving credit facility in an amount up to $1,400.0 million of incremental commitments in the aggregate plus an unlimited amount so long as the pro forma Consolidated Secured Debt to Covenant Adjusted EBITDA ratio (each as calculated in accordance with the Credit Agreement (the "Consolidated Secured Debt Ratio")) would not exceed 3.00 to 1.00, plus any amount of loans and commitments optionally prepaid and terminated under the senior secured credit facilities. The lenders under these facilities are not under any obligation to provide any such incremental facilities or commitments and any such addition of or increase in facilities or commitments will be subject to customary conditions precedent.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 and Amortization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requires the Company to prepay outstanding term loans, subject to certain exceptions, with:</w:t>
      </w:r>
    </w:p>
    <w:p>
      <w:pPr>
        <w:spacing w:after="0" w:line="104" w:lineRule="exact"/>
        <w:rPr>
          <w:sz w:val="20"/>
          <w:szCs w:val="20"/>
          <w:color w:val="auto"/>
        </w:rPr>
      </w:pPr>
    </w:p>
    <w:p>
      <w:pPr>
        <w:ind w:left="660" w:right="100" w:hanging="328"/>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50% of ASI's annual excess cash flow (as defined in the Credit Agreement) with step-downs to 25% and 0% upon ASI's reaching certain Consolidated Secured Debt Ratio thresholds; provided, further, that such prepayment shall only be required to the extent excess cash flow for the applicable year exceeds $10.0 million;</w:t>
      </w:r>
    </w:p>
    <w:p>
      <w:pPr>
        <w:spacing w:after="0" w:line="48"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52"/>
        </w:numPr>
        <w:rPr>
          <w:rFonts w:ascii="Arial" w:cs="Arial" w:eastAsia="Arial" w:hAnsi="Arial"/>
          <w:sz w:val="16"/>
          <w:szCs w:val="16"/>
          <w:color w:val="auto"/>
        </w:rPr>
      </w:pPr>
      <w:r>
        <w:rPr>
          <w:rFonts w:ascii="Arial" w:cs="Arial" w:eastAsia="Arial" w:hAnsi="Arial"/>
          <w:sz w:val="16"/>
          <w:szCs w:val="16"/>
          <w:color w:val="auto"/>
        </w:rPr>
        <w:t>100% of the net cash proceeds of all non-ordinary course asset sales or other dispositions of property subject to certain exceptions and customary reinvestment rights; provided, further, that such prepayment shall only be required to the extent net cash proceeds exceeds $100.0 million; and</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100% of the net cash proceeds of any incurrence of debt, but excluding proceeds from certain debt permitted under the Credit Agreement.</w:t>
      </w:r>
    </w:p>
    <w:p>
      <w:pPr>
        <w:spacing w:after="0" w:line="11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The foregoing mandatory prepayments will be applied to the term loan facilities on a pro rata basis and will reduce the obligations to make scheduled amortization payments on a dollar for dollar basis as directed by the Company. The Company may voluntarily repay outstanding loans under the Credit Agreement any time without premium or penalty, other than (i) customary "breakage" costs with respect to LIBOR loans, and (ii) with respect to any voluntary prepayments of the U.S. Term B-5 Loans due 2028 in connection with any repricing transaction (as defined in the Credit Agreement) effected prior to October 6, 2021, a 1% prepayment premium. Prepaid term loans may not be reborrowed.</w:t>
      </w:r>
    </w:p>
    <w:p>
      <w:pPr>
        <w:spacing w:after="0" w:line="4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Company made optional prepayments of approximately $194.1 million of outstanding United States dollar and Canadian dollar term loans during fiscal 2021, no optional prepayments during fiscal 2020 and optional prepayments of approximately $500.0 million of outstanding United States dollar term loans during fiscal 2019.</w:t>
      </w:r>
    </w:p>
    <w:p>
      <w:pPr>
        <w:spacing w:after="0" w:line="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If a change of control as defined in the Credit Agreement occurs, this will cause an event of default under the Credit Agreement. Upon an event of default, the new senior secured credit facilities may be accelerated, in which case the Company would be required to repay all outstanding loans plus accrued and unpaid interest and all other amounts outstanding under the new senior secured credit facilities under the Credit Agreement.</w:t>
      </w:r>
    </w:p>
    <w:p>
      <w:pPr>
        <w:spacing w:after="0" w:line="4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new Canadian Term A-3 Loans due 2026 require the payment of installments in quarterly principal amounts of C$3.5 million from June 30, 2021 through March 31, 2023, C$5.2 million from June 30, 2023 through March 31, 2024, C$6.9 million from June 30, 2024 through March 31, 2025, C$10.4 million from June 30, 2025 through March 31, 2026 and C$159.2 million at maturity.</w:t>
      </w:r>
    </w:p>
    <w:p>
      <w:pPr>
        <w:spacing w:after="0" w:line="49"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new Euro Term A-2 Loans due 2026 require the payment of installments in quarterly principal amounts of €1.0 million from June 30, 2021 through March 31, 2023, €1.5 million from June 30, 2023 through March 31, 2024, €2.0 million from June 30, 2024 through March 31, 2025, €3.0 million from June 30, 2025 through March 31, 2026 and €45.3 million at maturity.</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remaining Euro Term A-1 Loans due 2023 require the payment of installments in quarterly principal amounts of €0.7 million from June 30, 2021 through September 30, 2021, €1.0 million from December 31, 2021 through September 30, 2022, €1.5 million from December 31, 2022 through June 30, 2023 and €24.0 million at maturity.</w:t>
      </w:r>
    </w:p>
    <w:p>
      <w:pPr>
        <w:spacing w:after="0" w:line="6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new Yen Term C-2 Loans due 2026 require the payment of installments in quarterly principal amounts of ¥116.8 million from June 30, 2021 through March 31, 2023, ¥175.2 million from June 30, 2023 through March 31, 2024, ¥233.6 million from June 30, 2024 through March 31, 2025, ¥350.4 million from June 30, 2025 through March 31, 2026 and ¥5,372.4 million at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U.S. Term B-5 Loans due 2028 require the payment of installments in a quarterly principal amount of $2.1 million from June 30, 2021 through March 31, 2028, and $774.7 million at maturity. All quarterly amortization installments with respect to the U.S. Term B-5 Loans due 2028 were repaid in full as of October 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obligations under the Credit Agreement are unconditionally guaranteed by Aramark Intermediate HoldCo Corporation and, subject to certain exceptions, substantially all of ASI's existing and future wholly-owned domestic subsidiaries excluding certain immaterial subsidiaries, receivables facility subsidiaries, certain other customarily excluded subsidiaries and certain subsidiaries designated under the Credit Agreement as "unrestricted subsidiaries," referred to, collectively, as the United States Guarantors. All obligations under the Credit Agreement, and the guarantees of those obligations, are secured by (i) a pledge of 100% of the capital stock of ASI, (ii) pledges of 100% of the capital stock (or 65% of voting stock and 100% of non-voting stock, in the case of the stock of foreign subsidiaries) held by ASI, Aramark Intermediate HoldCo Corporation or any of the United States Guarantors and (iii) a security interest in, and mortgages on, substantially all tangible assets of Aramark Intermediate HoldCo Corporation, ASI or any of the United States Guarantors.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ASI's ability and the ability of its restricted subsidiaries to: incur additional indebtedness; issue preferred stock or provide guarantees; create liens on assets; engage in mergers or consolidations; sell assets; pay dividends, make distributions or repurchase its capital stock; make investments, loans or advances; repay or repurchase any subordinated debt, except as scheduled or at maturity; create restrictions on the payment of dividends or other amounts to ASI from its restricted subsidiaries; make certain acquisitions; engage in certain transactions with affiliates; amend material agreements governing ASI's subordinated debt (or any indebtedness that refinances its subordinated debt); and fundamentally change ASI's business. The Credit Agreement also contains certain customary affirmative covenants, such as financial and other reporting, and certain events of default. At October 1, 2021, ASI was in compliance with all of these covenants.</w:t>
      </w:r>
    </w:p>
    <w:p>
      <w:pPr>
        <w:spacing w:after="0" w:line="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sale-leaseback transactions, disqualified and preferred stock and advances under the receivables facility secured by a lien reduced by the amount of cash and cash equivalents in the consolidated balance sheet that is free and clear of any lien. Non-compliance with the maximum Consolidated Secured Debt Ratio could result in the requirement to immediately repay all amounts outstanding under the Credit Agreement, which, if ASI's lenders under the Credit Agreement (other than the lenders in respect of ASI’s U.S. Term B-3 Loans due 2025, U.S. Term B-4 Loans due 2027 and U.S. Term B-5 Loans due 2028 which lenders shall not benefit from the maximum Consolidated Secured Debt Ratio) failed to waive any such default, would also constitute a default under the indentures governing the senior notes.</w:t>
      </w:r>
    </w:p>
    <w:p>
      <w:pPr>
        <w:spacing w:after="0" w:line="3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April 22, 2020, as a result of the impact of COVID-19 on the Company's business, ASI entered into Amendment No. 9 to the Credit Agreement. Amendment No. 9 provided for a covenant waiver period which suspended the Consolidated Secured Debt Ratio covenant required under the credit agreement for four fiscal quarters, commencing with the fourth quarter of fiscal 2020 through the third quarter of fiscal 2021, subject to, among other things, ongoing compliance with a minimum liquidity condition of $400.0 million and restrictions on making certain restricted payments (including share repurchases) and investments in unrestricted subsidiaries, in each case, as set forth in Amendment No. 9. This exclusion was intended to prevent the effects of COVID-19 from impacting the covenant calculation. The covenant waiver period expired at the beginning of the fourth quarter of fiscal 2021. The Consolidated Secured Debt Ratio debt covenant is once again effective and the amendment adjusted period ended October 1, 2021 consists of results from the third quarter of fiscal 2019 through the first quarter of fiscal 2020 plus the fourth quarter of fiscal 2021, excluding the results of the second quarter of fiscal 2020 through the third quarter of fiscal 2021. The actual ratio at October 1, 2021 was 2.32x.</w:t>
      </w:r>
    </w:p>
    <w:p>
      <w:pPr>
        <w:spacing w:after="0" w:line="5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Credit Agreement establishes an incurrence-based minimum Interest Coverage Ratio, defined as Covenant Adjusted EBITDA to consolidated interest expense, as a condition for ASI and its restricted subsidiaries to incur additional indebtedness and to make certain restricted payments. The minimum Interest Coverage Ratio is 2.00x for the term of the Credit Agreement. If ASI does not maintain this minimum Interest Coverage Ratio calculated on a pro forma basis for any such additional indebtedness or restricted payments, it could be prohibited from being able to incur additional indebtedness, other than the additional funding provided for under the Credit Agreement and pursuant to specified exceptions, and make certain restricted payments, other than pursuant to certain exceptions. The actual ratio was 2.60x for the fiscal year ended October 1, 2021.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 failure to pay any obligations under the Credit Agreement as they become due or any event causing amounts to become due prior to their stated maturity could result in a cross-default and potential acceleration of the Company’s other outstanding debt obligations, including the senior notes.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4.750% Senior Notes due 2026</w:t>
      </w:r>
    </w:p>
    <w:p>
      <w:pPr>
        <w:spacing w:after="0" w:line="104"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On June 2, 2021, the Company redeemed the aggregate $500.0 million principal amount outstanding on the 4.750% 2026 Notes at a redemption price of 102.375% of the aggregate principal amount together with accrued and unpaid interest. The Company recorded $16.0 million of charges to "Interest and Other Financing Costs, net" on the Consolidated Statements of (Loss) Income for the fiscal year ended October 1, 2021, consisting of the payment of a $11.9 million call premium and a $4.1 million non-cash loss for the write-off of unamortized deferred financing costs on the 4.750% 2026 Notes. The amount paid for the call premium is included within "Other financing activities" on the Consolidated Statements of Cash Flows for the fiscal year ended October 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6.375% Senior Notes due 2025</w:t>
      </w:r>
    </w:p>
    <w:p>
      <w:pPr>
        <w:spacing w:after="0" w:line="104"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On April 27, 2020, ASI issued $1,500.0 million aggregate principal amount of 6.375% Senior Notes due May 1, 2025 (the "6.375% 2025 Notes"). ASI used the net proceeds from the 6.375% 2025 Notes for general corporate purposes. The Company capitalized third-party costs of approximately $22.3 million directly attributable to the 6.375% 2025 Notes, which are included in "Long-Term Borrowings" on the Consolidated Balance Sheets and within "Other financing activities" on the Consolidated Statements of Cash Flows for the fiscal year ended October 2, 2020.</w:t>
      </w:r>
    </w:p>
    <w:p>
      <w:pPr>
        <w:spacing w:after="0" w:line="5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6.375% 2025 Notes were issued pursuant to an indenture, dated as of April 27, 2020 (the "6.375% 2025 Notes Indenture"), entered into by and among ASI, the Company and certain other Aramark entities, as guarantors, and the U.S. Bank National Association, as trustee. The 6.375% 2025 Notes were issued at par.</w:t>
      </w:r>
    </w:p>
    <w:p>
      <w:pPr>
        <w:spacing w:after="0" w:line="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6.375% 2025 Notes are senior unsecured obligations of ASI. The 6.375% 2025 Notes rank equal in right of payment to all of the Issuer's existing and future senior indebtedness and will rank senior in right of payment to the Issuer's future subordinated indebtedness. The 6.375% 2025 Notes are guaranteed on a senior, unsecured basis by the Company and substantially all of the domestic subsidiaries of ASI. The guarantees of the 6.375% 2025 Notes rank equal in right of payment to all of the senior obligations of such guarantor. The 6.375% 2025 Notes are effectively subordinated to all of ASI's existing and future secured indebtedness, to the extent of the value of the assets securing that indebtedness, and structurally subordinated to all of the liabilities of any of ASI's subsidiaries that do not guarantee the 6.375% 2025 Notes. Interest on the 6.375% 2025 Notes is payable on May 1 and November 1 of each year.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certain types of changes of control, the holders of the 6.375% 2025 Notes may require ASI to purchase for cash all or a portion of their</w:t>
      </w:r>
    </w:p>
    <w:p>
      <w:pPr>
        <w:spacing w:after="0" w:line="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6.375% 2025 Notes at a purchase price equal to 101% of the principal amount of such 6.375% 2025 Notes, plus accrued and unpaid interest, if any, to, but not including, the purchase date. At any time prior to May 1, 2022, ASI has the option to redeem all or a part of the 6.375% 2025 Notes at a purchase price equal to 100% of the principal amount of such 6.375% 2025 Notes plus an applicable premium and accrued and unpaid interest, if any, to, but not including the date of redemption. In addition, prior to May 1, 2022, ASI has the option to redeem up to 40% of the aggregate principal amount of all 6.375% 2025 Notes at a purchase price equal to 106.375% of the principal amount of such 6.375% 2025 Notes plus accrued and unpaid interest, if any, to, but not including, the date of redemption, with the net cash proceeds of one or more equity offerings, provided that at least 50% of the sum of the aggregate principal amount of the 6.375% 2025 Notes originally issued remain outstanding immediately after the purchase and the redemption occurs within 90 days of the closing date of the equity offering.</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6.375% 2025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6.375% 2025 Notes Indenture also provides for events of default which, if any of them occurs, would permit or require the principal of and accrued interest on the applicable series of 6.375% 2025 Notes to become or to be declared due and payable. Further, a failure to pay any obligations under the 6.375%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5.000% Senior Notes due 2028</w:t>
      </w:r>
    </w:p>
    <w:p>
      <w:pPr>
        <w:spacing w:after="0" w:line="10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January 18, 2018, ASI issued $1,150.0 million aggregate principal amount of 5.000% Senior Notes due February 1, 2028 (the "2028 Notes"). The net proceeds from the 2028 Notes were used to finance the AmeriPride acquisition, to pay down certain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borrowings under the revolving credit facility and to pay fees related to the transaction. The Company capitalized third-party costs of approximately $14.2 million directly attributable to the 2028 Notes, which are included in "Long-Term Borrowings" on the Consolidated Balance Sheets and are being amortized over the debt period.</w:t>
      </w:r>
    </w:p>
    <w:p>
      <w:pPr>
        <w:spacing w:after="0" w:line="4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2028 Notes were issued pursuant to an indenture, dated as of January 18, 2018 (the "2028 Notes Indenture"), entered into by and among ASI, the Company and certain other Aramark entities, as guarantors, and the U.S. Bank National Association, as trustee. The 2028 Notes were issued at par.</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2028 Notes are senior unsecured obligations of ASI. The 2028 Notes rank equal in right of payment to all of the Issuer's existing and future senior indebtedness and will rank senior in right of payment to the Issuer's future subordinated indebtedness. The 2028 Notes are guaranteed on a senior, unsecured basis by the Company and substantially all of the domestic subsidiaries of ASI. The guarantees of the 2028 Notes rank equal in right of payment to all of the senior obligations of such guarantor. The 2028 Notes are effectively subordinated to all of ASI's existing and future secured indebtedness, to the extent of the value of the assets securing that indebtedness, and structurally subordinated to all of the liabilities of any of ASI's subsidiaries that do not guarantee the 2028 Notes. Interest on the 2028 Notes is payable on February 1 and August 1 of each year.</w:t>
      </w:r>
    </w:p>
    <w:p>
      <w:pPr>
        <w:spacing w:after="0" w:line="56" w:lineRule="exact"/>
        <w:rPr>
          <w:sz w:val="20"/>
          <w:szCs w:val="20"/>
          <w:color w:val="auto"/>
        </w:rPr>
      </w:pPr>
    </w:p>
    <w:p>
      <w:pPr>
        <w:ind w:right="500"/>
        <w:spacing w:after="0" w:line="334" w:lineRule="auto"/>
        <w:rPr>
          <w:sz w:val="20"/>
          <w:szCs w:val="20"/>
          <w:color w:val="auto"/>
        </w:rPr>
      </w:pPr>
      <w:r>
        <w:rPr>
          <w:rFonts w:ascii="Arial" w:cs="Arial" w:eastAsia="Arial" w:hAnsi="Arial"/>
          <w:sz w:val="16"/>
          <w:szCs w:val="16"/>
          <w:color w:val="auto"/>
        </w:rPr>
        <w:t>At any time prior to February 1, 2023, ASI has the option to redeem all or a part of the 2028 Notes at a purchase price equal to 100% of the principal amount of such 2028 Notes plus an applicable premium and accrued and unpaid interest, if any, to, but not including the date of redemption.</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2028 Notes Indenture contains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2028 Notes Indenture also provides for events of default which, if any of them occurs, would permit or require the principal of and accrued interest on the applicable series of 2028 Notes to become or to be declared due and payable. Further, a failure to pay any obligations under</w:t>
      </w:r>
    </w:p>
    <w:p>
      <w:pPr>
        <w:spacing w:after="0" w:line="4"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the 2028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5.000% Senior Notes due 2025 and 3.125% Senior Notes due 2025</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March 22, 2017, ASI issued $600.0 million of 5.000% Senior Notes due April 1, 2025 (the "5.000% 2025 Notes"). The 5.000% 2025 Notes were issued pursuant to an indenture (the "5.000% 2025 Notes Indenture"), entered into by and among ASI, the Company and certain other Aramark entities, as guarantors, and The Bank of New York Mellon, as trustee. The 5.000% 2025 Notes were issued at par. On March 27, 2017, Aramark International Finance S.à.r.l. ("AIFS"), an indirect wholly owned subsidiary of the Company, issued €325.0 million of 3.125% Senior Notes due April 1, 2025 (the "3.125% 2025 Notes" and, together with the 5.000% 2025 Notes, the "2025 Notes"). The 3.125% 2025 Notes were issued pursuant to an indenture (the "3.125% 2025 Notes Indenture"), entered into by and among AIFS, the Company and certain other Aramark entities, as guarantors, The Bank of New York Mellon, as trustee and registrar, and The Bank of New York Mellon, London Branch, as paying agent and transfer agent. The 3.125% 2025 Notes were issued at par.</w:t>
      </w:r>
    </w:p>
    <w:p>
      <w:pPr>
        <w:spacing w:after="0" w:line="3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2025 Notes are senior unsecured obligations of the respective Issuers. Each series of the 2025 Notes ranks equal in right of payment to all of the respective Issuer's existing and future senior indebtedness, including the senior secured credit facilities under the Credit Agreement, and, in the case of the 5.000% 2025 Notes with respect to ASI and will rank senior in right of payment to the respective Issuer's future subordinated indebtedness. The 2025 Notes are guaranteed on a senior, unsecured basis by the Company and substantially all of the domestic subsidiaries of ASI and the 3.125% 2025 Notes are guaranteed on a senior, unsecured basis by ASI. The guarantees of the 2025 Notes rank equal in right of payment to all of the senior obligations of such guarantor, including guarantees of the senior secured credit facilities and the 2028 Notes, as applicable, and in the case of the 3.125% 2025 Notes with respect to ASI, ASI’s obligations under the senior secured credit facilities, the 5.000% 2025 Notes and the 2028 Notes. Each series of the 2025 Notes and the related guarantees thereof are effectively subordinated to all of the respective Issuers' existing and future secured indebtedness, including obligations and/or guarantees of the senior secured credit facilities under the Credit Agreement, to the extent of the value of the assets securing that indebtedness, and structurally subordinated to all of the liabilities of any of ASI's subsidiaries that do not guarantee the 2025 Notes. Interest on the 2025 Notes is payable on April 1 and October 1 of each year.</w:t>
      </w:r>
    </w:p>
    <w:p>
      <w:pPr>
        <w:spacing w:after="0" w:line="6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event of certain types of changes of control, the holders of the 2025 Notes may require the applicable Issuer to purchase for cash all or a portion of their 2025 Notes at a purchase price equal to 101% of the principal amount of such 2025 Notes, plus accrued and unpaid interest, if any, to, but not including, the purchase date. ASI has the option to redeem all or a portion of the 5.000% 2025 Notes at any time at the redemption prices set forth in the 5.000% 2025 Notes Indenture, plus accrued and unpaid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Beginning April 1, 2020, AIFS has the option to redeem all or a portion of the 3.125% 2025 Notes at any time at the redemption prices set forth in the 3.125% 2025 Notes Indenture, plus accrued and unpaid interest.</w:t>
      </w:r>
    </w:p>
    <w:p>
      <w:pPr>
        <w:spacing w:after="0" w:line="3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5.000% 2025 Notes Indenture and the 3.125% 2025 Notes Indenture contain covenants limiting ASI's ability and the ability of its restricted subsidiaries to: incur additional indebtedness or issue certain preferred shares; pay dividends and make certain distributions, investments and other restricted payments; create certain liens; sell assets; enter into transactions with affiliates; limit the ability of restricted subsidiaries to make payments to ASI; enter into sale and leaseback transactions; merge, consolidate, sell or otherwise dispose of all or substantially all of ASI's and its restricted subsidiaries assets; and designate ASI's subsidiaries as unrestricted subsidiaries. The 5.000% 2025 Notes Indenture and the 3.125% 2025 Notes Indenture also provide for events of default which, if any of them occurs, would permit or require the principal of and accrued interest on the applicable series of 2025 Notes to become or to be declared due and payable. Further, a failure to pay any obligations under the 5.000% 2025 Notes Indenture or the 3.125% 2025 Notes Indenture as they become due or any event causing amounts to become due prior to their stated maturity could result in a cross-default and potential acceleration of the Company’s other outstanding debt obligations, including the other senior notes and obligations under the Credit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Facility</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an agreement (the "Receivables Facility") with three financial institutions where it sells on a continuous basis an undivided interest in all eligible trade accounts receivable, as defined in the Receivables Facility. The maximum amount available under the Receivables Facility is $400.0 million. In addition, the Receivables Facility includes a seasonal tranche which increases the capacity of the Receivables Facility and maximum amount available by $100.0 million from October through March. During the third quarter of fiscal 2021, the Company extended the scheduled maturity date of the Receivables Facility from June 2022 to June 2024. All other terms and conditions of the agreement remained largely unchanged. Amounts borrowed under the Receivables Facility fluctuate monthly based on the Company's funding requirements and the level of qualified receivables available to collateralize the Receivables Facility.</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Pursuant to the Receivables Facility, the Company formed ARAMARK Receivables, LLC, a wholly-owned, consolidated, bankruptcy-remote subsidiary. ARAMARK Receivables, LLC was formed for the sole purpose of buying and selling receivables generated by certain subsidiaries of the Company. Under the Receivables Facility, the Company and certain of its subsidiaries transfer without recourse all of their accounts receivable to ARAMARK Receivables, LLC. As collections reduce previously transferred interests, interests in new, eligible receivables are transferred to ARAMARK Receivables, LLC, subject to meeting certain conditions.</w:t>
      </w:r>
    </w:p>
    <w:p>
      <w:pPr>
        <w:spacing w:after="0" w:line="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October 1, 2021, there are no outstanding borrowings under the Receivables Facility. As of October 2, 2020, there were $315.6 million borrowings outstanding on the Receivables Facility.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Maturities and Interest and Other Financing Costs, net</w:t>
      </w:r>
    </w:p>
    <w:p>
      <w:pPr>
        <w:spacing w:after="0" w:line="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At October 1, 2021, annual maturities on long-term borrowings maturing in the next five fiscal years and thereafter (excluding the $53.5 million reduction to long-term borrowings from debt issuance costs and $0.8 million reduction from the discount on the U.S. Term B-4 Loans due 2027) are as follows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60,294</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79,755</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47,174</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4,219,793</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343,619</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2,769,524</w:t>
            </w:r>
          </w:p>
        </w:tc>
      </w:tr>
      <w:tr>
        <w:trPr>
          <w:trHeight w:val="391"/>
        </w:trPr>
        <w:tc>
          <w:tcPr>
            <w:tcW w:w="7780" w:type="dxa"/>
            <w:vAlign w:val="bottom"/>
            <w:gridSpan w:val="4"/>
          </w:tcPr>
          <w:p>
            <w:pPr>
              <w:spacing w:after="0"/>
              <w:rPr>
                <w:sz w:val="20"/>
                <w:szCs w:val="20"/>
                <w:color w:val="auto"/>
              </w:rPr>
            </w:pPr>
            <w:r>
              <w:rPr>
                <w:rFonts w:ascii="Arial" w:cs="Arial" w:eastAsia="Arial" w:hAnsi="Arial"/>
                <w:sz w:val="18"/>
                <w:szCs w:val="18"/>
                <w:color w:val="auto"/>
                <w:w w:val="96"/>
              </w:rPr>
              <w:t>The components of interest and other financing costs, net, are summarized as follows (in thousands):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4"/>
        </w:trPr>
        <w:tc>
          <w:tcPr>
            <w:tcW w:w="5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6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352,812</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(28,985)</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financing costs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11,160</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382,800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334,987</w:t>
            </w:r>
          </w:p>
        </w:tc>
      </w:tr>
      <w:tr>
        <w:trPr>
          <w:trHeight w:val="21"/>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INSTRUMENTS:</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0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has approximately $3.1 billion notional amount of outstanding interest rate swap agreements as of October 1, 2021, which fix the rate on a like amount of variable rate borrowings through December of fiscal 2028. During fiscal 2021, the Company entered into approximately $500.0 million notional amount of forward starting interest rate swap agreements to hedge the cash flow risk of variability in interest payments on variable rate borrowings. In addition, interest rate swaps with notional amounts of $250.0 million matured during fiscal 2021.</w:t>
      </w:r>
    </w:p>
    <w:p>
      <w:pPr>
        <w:spacing w:after="0" w:line="3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October 1, 2021 and October 2, 2020, approximately ($49.2) million and ($87.6) million, respectively, of unrealized net of tax losses related to the interest rate swaps were included in "Accumulated other comprehensive loss."</w:t>
      </w:r>
    </w:p>
    <w:p>
      <w:pPr>
        <w:spacing w:after="0" w:line="5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 of the Company's derivatives designated as cash flow hedging instruments on Other comprehensive income (loss)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(84,392)</w:t>
            </w:r>
          </w:p>
        </w:tc>
      </w:tr>
    </w:tbl>
    <w:p>
      <w:pPr>
        <w:spacing w:after="0" w:line="202" w:lineRule="exact"/>
        <w:rPr>
          <w:sz w:val="20"/>
          <w:szCs w:val="20"/>
          <w:color w:val="auto"/>
        </w:rPr>
      </w:pPr>
    </w:p>
    <w:p>
      <w:pPr>
        <w:ind w:left="420" w:hanging="394"/>
        <w:spacing w:after="0"/>
        <w:tabs>
          <w:tab w:leader="none" w:pos="4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Fiscal 2020 was impacted by changes in interest rates due to actions taken by the federal government in response to COVID-19.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entered into a series of pay fixed/receive floating gasoline and diesel fuel agreements based on the Department of Energy weekly retail on-highway index in order to limit its exposure to price fluctuations for gasoline and diesel fuel. As of October 1, 2021, the Company has contracts for approximately 6.0 million gallons outstanding through June of fiscal 2022. The Company does not record its gasoline and diesel fuel agreements as hedges for accounting purposes. The impact on earnings related to the change in fair value of these unsettled contracts was a gain of approximately $4.4 million for fiscal 2021 and losses of approximately $1.3 million and $4.1 million for fiscal 2020, and fiscal 2019, respectively. The change in fair value for unsettled contracts is included in "Selling and general corporate expenses" on the Consolidated Statements of (Loss) Income. When the contracts settle, the gain or loss is recorded to "Cost of services provided (exclusive of depreciation and amortization)" on the Consolidated Statements of (Loss) Income.</w:t>
      </w:r>
    </w:p>
    <w:p>
      <w:pPr>
        <w:spacing w:after="0" w:line="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October 1, 2021, the Company had foreign currency forward exchange contracts outstanding with nominal notional amounts to mitigate the risk of changes in foreign currency exchange rates on short-term intercompany loans to certain international subsidiaries. Gains and losses on foreign currency exchange contracts are recognized in earnings as the contracts were not designated as hedging instruments, substantially offsetting currency transaction gains and losses on the short-term intercompany loans.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location and fair value, using Level 2 inputs (see Note 16 for a description of the fair value levels), of the Company's derivatives designated and not designated as hedging instruments in the Consolidated Balance Sheets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500" w:type="dxa"/>
            <w:vAlign w:val="bottom"/>
            <w:gridSpan w:val="2"/>
          </w:tcPr>
          <w:p>
            <w:pPr>
              <w:ind w:left="96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2, 2020</w:t>
            </w: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agreements</w:t>
            </w:r>
          </w:p>
        </w:tc>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116,882</w:t>
            </w:r>
          </w:p>
        </w:tc>
      </w:tr>
      <w:tr>
        <w:trPr>
          <w:trHeight w:val="223"/>
        </w:trPr>
        <w:tc>
          <w:tcPr>
            <w:tcW w:w="42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118,376</w:t>
            </w:r>
          </w:p>
        </w:tc>
      </w:tr>
      <w:tr>
        <w:trPr>
          <w:trHeight w:val="236"/>
        </w:trPr>
        <w:tc>
          <w:tcPr>
            <w:tcW w:w="4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Gasoline and diesel fuel agreements</w:t>
            </w:r>
          </w:p>
        </w:tc>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r>
      <w:tr>
        <w:trPr>
          <w:trHeight w:val="223"/>
        </w:trPr>
        <w:tc>
          <w:tcPr>
            <w:tcW w:w="42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120,302</w:t>
            </w:r>
          </w:p>
        </w:tc>
      </w:tr>
      <w:tr>
        <w:trPr>
          <w:trHeight w:val="21"/>
        </w:trPr>
        <w:tc>
          <w:tcPr>
            <w:tcW w:w="42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following table summarizes the location of loss (gain) reclassified from "Accumulated other comprehensive loss" into earnings for derivatives designated as hedging instruments and the location of loss (gain) for the Company's derivatives not designated as hedging instruments in the Consolidated Statements of (Loss) Income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30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Income Statement Location</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October 2, 2020</w:t>
            </w:r>
          </w:p>
        </w:tc>
        <w:tc>
          <w:tcPr>
            <w:tcW w:w="16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2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rPr>
              <w:t>Interest rate swap agreements</w:t>
            </w:r>
          </w:p>
        </w:tc>
        <w:tc>
          <w:tcPr>
            <w:tcW w:w="2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Interest and Other Financing</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50,595</w:t>
            </w: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34,409</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Costs, net</w:t>
            </w:r>
          </w:p>
        </w:tc>
        <w:tc>
          <w:tcPr>
            <w:tcW w:w="24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2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3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(exclusive of depreciation and</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3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amortization)/ Selling and</w:t>
            </w:r>
          </w:p>
        </w:tc>
        <w:tc>
          <w:tcPr>
            <w:tcW w:w="24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(8,044)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4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2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Interest and Other Financing</w:t>
            </w: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3700" w:type="dxa"/>
            <w:vAlign w:val="bottom"/>
            <w:vMerge w:val="continue"/>
            <w:shd w:val="clear" w:color="auto" w:fill="CCEEFF"/>
          </w:tcPr>
          <w:p>
            <w:pPr>
              <w:spacing w:after="0"/>
              <w:rPr>
                <w:sz w:val="19"/>
                <w:szCs w:val="19"/>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an outstanding Japanese yen denominated term loan in the amount of ¥9,087.8 million. The term loan was designated as a hedge of the Company's net Japanese currency exposure represented by the equity investment in the Company's Japanese affiliate, AIM Services Co., Ltd. Additionally, the Company has a Euro denominated term loan in the amount of €108.5 million. The term loan was designated as a hedge of the Company's net Euro currency exposure represented by certain holdings in the Company's European affiliates.</w:t>
      </w:r>
    </w:p>
    <w:p>
      <w:pPr>
        <w:spacing w:after="0" w:line="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October 1, 2021, the net of tax loss expected to be reclassified from "Accumulated other comprehensive loss" into earnings over the next twelve months based on current market rates is approximately $32.8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RECOGNITION:</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or facilities services, including plant operations and maintenance, custodial, housekeeping, landscaping and other services. Within the Uniform segment, the Company provides a full service uniform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be entitled to in exchange for those goods and services.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9"/>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line="189" w:lineRule="exact"/>
              <w:rPr>
                <w:sz w:val="20"/>
                <w:szCs w:val="20"/>
                <w:color w:val="auto"/>
              </w:rPr>
            </w:pPr>
            <w:r>
              <w:rPr>
                <w:rFonts w:ascii="Arial" w:cs="Arial" w:eastAsia="Arial" w:hAnsi="Arial"/>
                <w:sz w:val="14"/>
                <w:szCs w:val="14"/>
                <w:b w:val="1"/>
                <w:bCs w:val="1"/>
                <w:color w:val="auto"/>
              </w:rPr>
              <w:t>October 1, 2021</w:t>
            </w:r>
            <w:r>
              <w:rPr>
                <w:rFonts w:ascii="Arial" w:cs="Arial" w:eastAsia="Arial" w:hAnsi="Arial"/>
                <w:sz w:val="18"/>
                <w:szCs w:val="18"/>
                <w:b w:val="1"/>
                <w:bCs w:val="1"/>
                <w:color w:val="auto"/>
                <w:vertAlign w:val="superscript"/>
              </w:rPr>
              <w:t>(1)</w:t>
            </w:r>
          </w:p>
        </w:tc>
        <w:tc>
          <w:tcPr>
            <w:tcW w:w="200" w:type="dxa"/>
            <w:vAlign w:val="bottom"/>
          </w:tcPr>
          <w:p>
            <w:pPr>
              <w:spacing w:after="0"/>
              <w:rPr>
                <w:sz w:val="16"/>
                <w:szCs w:val="16"/>
                <w:color w:val="auto"/>
              </w:rPr>
            </w:pPr>
          </w:p>
        </w:tc>
        <w:tc>
          <w:tcPr>
            <w:tcW w:w="1600" w:type="dxa"/>
            <w:vAlign w:val="bottom"/>
            <w:gridSpan w:val="2"/>
          </w:tcPr>
          <w:p>
            <w:pPr>
              <w:ind w:left="100"/>
              <w:spacing w:after="0" w:line="189" w:lineRule="exact"/>
              <w:rPr>
                <w:sz w:val="20"/>
                <w:szCs w:val="20"/>
                <w:color w:val="auto"/>
              </w:rPr>
            </w:pPr>
            <w:r>
              <w:rPr>
                <w:rFonts w:ascii="Arial" w:cs="Arial" w:eastAsia="Arial" w:hAnsi="Arial"/>
                <w:sz w:val="14"/>
                <w:szCs w:val="14"/>
                <w:b w:val="1"/>
                <w:bCs w:val="1"/>
                <w:color w:val="auto"/>
              </w:rPr>
              <w:t>October 2, 2020</w:t>
            </w:r>
            <w:r>
              <w:rPr>
                <w:rFonts w:ascii="Arial" w:cs="Arial" w:eastAsia="Arial" w:hAnsi="Arial"/>
                <w:sz w:val="18"/>
                <w:szCs w:val="18"/>
                <w:b w:val="1"/>
                <w:bCs w:val="1"/>
                <w:color w:val="auto"/>
                <w:vertAlign w:val="superscript"/>
              </w:rPr>
              <w:t>(1)</w:t>
            </w:r>
          </w:p>
        </w:tc>
        <w:tc>
          <w:tcPr>
            <w:tcW w:w="16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27, 2019</w:t>
            </w:r>
          </w:p>
        </w:tc>
      </w:tr>
      <w:tr>
        <w:trPr>
          <w:trHeight w:val="210"/>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960" w:type="dxa"/>
            <w:vAlign w:val="bottom"/>
          </w:tcPr>
          <w:p>
            <w:pPr>
              <w:ind w:left="640"/>
              <w:spacing w:after="0"/>
              <w:rPr>
                <w:sz w:val="20"/>
                <w:szCs w:val="20"/>
                <w:color w:val="auto"/>
              </w:rPr>
            </w:pPr>
            <w:r>
              <w:rPr>
                <w:rFonts w:ascii="Arial" w:cs="Arial" w:eastAsia="Arial" w:hAnsi="Arial"/>
                <w:sz w:val="18"/>
                <w:szCs w:val="18"/>
                <w:color w:val="auto"/>
              </w:rPr>
              <w:t>Business &amp; Industry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695.7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1,097.3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1,587.0</w:t>
            </w:r>
          </w:p>
        </w:tc>
      </w:tr>
      <w:tr>
        <w:trPr>
          <w:trHeight w:val="229"/>
        </w:trPr>
        <w:tc>
          <w:tcPr>
            <w:tcW w:w="5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Education</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3,228.8</w:t>
            </w:r>
          </w:p>
        </w:tc>
      </w:tr>
      <w:tr>
        <w:trPr>
          <w:trHeight w:val="230"/>
        </w:trPr>
        <w:tc>
          <w:tcPr>
            <w:tcW w:w="5960" w:type="dxa"/>
            <w:vAlign w:val="bottom"/>
          </w:tcPr>
          <w:p>
            <w:pPr>
              <w:ind w:left="640"/>
              <w:spacing w:after="0"/>
              <w:rPr>
                <w:sz w:val="20"/>
                <w:szCs w:val="20"/>
                <w:color w:val="auto"/>
              </w:rPr>
            </w:pPr>
            <w:r>
              <w:rPr>
                <w:rFonts w:ascii="Arial" w:cs="Arial" w:eastAsia="Arial" w:hAnsi="Arial"/>
                <w:sz w:val="18"/>
                <w:szCs w:val="18"/>
                <w:color w:val="auto"/>
              </w:rPr>
              <w:t>Healthcare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933.5</w:t>
            </w:r>
          </w:p>
        </w:tc>
      </w:tr>
      <w:tr>
        <w:trPr>
          <w:trHeight w:val="230"/>
        </w:trPr>
        <w:tc>
          <w:tcPr>
            <w:tcW w:w="5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Sports, Leisure &amp; Corrections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w:t>
            </w:r>
          </w:p>
        </w:tc>
      </w:tr>
      <w:tr>
        <w:trPr>
          <w:trHeight w:val="230"/>
        </w:trPr>
        <w:tc>
          <w:tcPr>
            <w:tcW w:w="59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Facilities &amp; Other</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1,591.8</w:t>
            </w:r>
          </w:p>
        </w:tc>
      </w:tr>
      <w:tr>
        <w:trPr>
          <w:trHeight w:val="223"/>
        </w:trPr>
        <w:tc>
          <w:tcPr>
            <w:tcW w:w="5960" w:type="dxa"/>
            <w:vAlign w:val="bottom"/>
            <w:shd w:val="clear" w:color="auto" w:fill="CCEEFF"/>
          </w:tcPr>
          <w:p>
            <w:pPr>
              <w:jc w:val="right"/>
              <w:ind w:right="2850"/>
              <w:spacing w:after="0"/>
              <w:rPr>
                <w:sz w:val="20"/>
                <w:szCs w:val="20"/>
                <w:color w:val="auto"/>
              </w:rPr>
            </w:pPr>
            <w:r>
              <w:rPr>
                <w:rFonts w:ascii="Arial" w:cs="Arial" w:eastAsia="Arial" w:hAnsi="Arial"/>
                <w:sz w:val="18"/>
                <w:szCs w:val="18"/>
                <w:color w:val="auto"/>
              </w:rPr>
              <w:t>Total FSS United States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9,898.6</w:t>
            </w:r>
          </w:p>
        </w:tc>
      </w:tr>
      <w:tr>
        <w:trPr>
          <w:trHeight w:val="270"/>
        </w:trPr>
        <w:tc>
          <w:tcPr>
            <w:tcW w:w="5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960" w:type="dxa"/>
            <w:vAlign w:val="bottom"/>
          </w:tcPr>
          <w:p>
            <w:pPr>
              <w:ind w:left="6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2,044.4</w:t>
            </w:r>
          </w:p>
        </w:tc>
      </w:tr>
      <w:tr>
        <w:trPr>
          <w:trHeight w:val="229"/>
        </w:trPr>
        <w:tc>
          <w:tcPr>
            <w:tcW w:w="5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1,698.5</w:t>
            </w:r>
          </w:p>
        </w:tc>
      </w:tr>
      <w:tr>
        <w:trPr>
          <w:trHeight w:val="223"/>
        </w:trPr>
        <w:tc>
          <w:tcPr>
            <w:tcW w:w="5960" w:type="dxa"/>
            <w:vAlign w:val="bottom"/>
          </w:tcPr>
          <w:p>
            <w:pPr>
              <w:jc w:val="right"/>
              <w:ind w:right="2850"/>
              <w:spacing w:after="0"/>
              <w:rPr>
                <w:sz w:val="20"/>
                <w:szCs w:val="20"/>
                <w:color w:val="auto"/>
              </w:rPr>
            </w:pPr>
            <w:r>
              <w:rPr>
                <w:rFonts w:ascii="Arial" w:cs="Arial" w:eastAsia="Arial" w:hAnsi="Arial"/>
                <w:sz w:val="18"/>
                <w:szCs w:val="18"/>
                <w:color w:val="auto"/>
              </w:rPr>
              <w:t>Total FSS International</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3,742.9</w:t>
            </w:r>
          </w:p>
        </w:tc>
      </w:tr>
      <w:tr>
        <w:trPr>
          <w:trHeight w:val="270"/>
        </w:trPr>
        <w:tc>
          <w:tcPr>
            <w:tcW w:w="5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Uniform</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2,585.8</w:t>
            </w:r>
          </w:p>
        </w:tc>
      </w:tr>
      <w:tr>
        <w:trPr>
          <w:trHeight w:val="270"/>
        </w:trPr>
        <w:tc>
          <w:tcPr>
            <w:tcW w:w="59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12,096.0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16,227.3</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hanging="394"/>
        <w:spacing w:after="0"/>
        <w:tabs>
          <w:tab w:leader="none" w:pos="4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COVID-19 had a negative impact on revenue for both the fiscal year ended October 1, 2021 and October 2, 2020 (see Note 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defers sales commissions earned by its sales force that are considered to be incremental and recoverable costs of obtaining a contract tied to its food, facilities and uniform services. The deferred costs are amortized using the portfolio approach on a straight line basis over the average period of benefit, approximately 8.1 years, and are assessed for impairment on a periodic basis. Determination of the amortization period and the subsequent assessment for impairment of the contract cost asset requires judgment. Employee sales commissions are recorded within "Other Assets" on the Consolidated Balance Sheets (see Note 1).</w:t>
      </w:r>
    </w:p>
    <w:p>
      <w:pPr>
        <w:spacing w:after="0" w:line="6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Leasehold improvements and costs to fulfill contracts include payments made by the Company to enhance the service resources used by the Company to satisfy its performance obligation. These amounts are amortized on a straight-line basis over the contract period. If a contract is terminated prior to its maturity date, the Company is typically reimbursed for the unamortized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amount. As of October 1, 2021 and October 2, 2020, the Company had $771.5 million and $776.1 million of leasehold improvements capitalized in "Property and equipment, net" on the Consolidated Balance Sheets. Cost to fulfill - Client is recorded within "Other Assets" on the Consolidated Balance Sheets (see Note 1).</w:t>
      </w:r>
    </w:p>
    <w:p>
      <w:pPr>
        <w:spacing w:after="0" w:line="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Long-term prepaid rent is amortized over the contract period. If a contract is terminated prior to its maturity date, the Company is typically reimbursed for the unamortized amount. Long-term prepaid rent is recorded within "Operating Lease Right-of use Assets" on the Consolidated Balance Sheets (see Notes 1 and 8).</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costs to fulfill contracts represent personalized work apparel, linens and other rental items in service in the Uniform segment. The amounts are recorded at cost and are amortized over their estimated useful lives, which primarily range from one to four years. The amortization rates used are based on the Company's specific experience. Cost to fulfill - Rental merchandise in-service are recorded within "Other Assets" on the Consolidated Balance Sheets (see Note 1).</w:t>
      </w:r>
    </w:p>
    <w:p>
      <w:pPr>
        <w:spacing w:after="0" w:line="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the location of the expense recorded in the Consolidated Statements of (Loss) Income related to the Company's contract balances (in millions):</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Employee sales commissions</w:t>
      </w:r>
    </w:p>
    <w:p>
      <w:pPr>
        <w:spacing w:after="0" w:line="235" w:lineRule="exact"/>
        <w:rPr>
          <w:sz w:val="20"/>
          <w:szCs w:val="20"/>
          <w:color w:val="auto"/>
        </w:rPr>
      </w:pPr>
    </w:p>
    <w:p>
      <w:pPr>
        <w:ind w:left="20" w:right="300"/>
        <w:spacing w:after="0" w:line="329" w:lineRule="auto"/>
        <w:rPr>
          <w:sz w:val="20"/>
          <w:szCs w:val="20"/>
          <w:color w:val="auto"/>
        </w:rPr>
      </w:pPr>
      <w:r>
        <w:rPr>
          <w:rFonts w:ascii="Arial" w:cs="Arial" w:eastAsia="Arial" w:hAnsi="Arial"/>
          <w:sz w:val="16"/>
          <w:szCs w:val="16"/>
          <w:color w:val="auto"/>
        </w:rPr>
        <w:t>Leasehold improvements Cost to fulfill - Client Long-term prepaid rent</w:t>
      </w:r>
    </w:p>
    <w:p>
      <w:pPr>
        <w:spacing w:after="0" w:line="107" w:lineRule="exact"/>
        <w:rPr>
          <w:sz w:val="20"/>
          <w:szCs w:val="20"/>
          <w:color w:val="auto"/>
        </w:rPr>
      </w:pPr>
    </w:p>
    <w:p>
      <w:pPr>
        <w:ind w:left="20" w:right="460"/>
        <w:spacing w:after="0" w:line="289" w:lineRule="auto"/>
        <w:rPr>
          <w:sz w:val="20"/>
          <w:szCs w:val="20"/>
          <w:color w:val="auto"/>
        </w:rPr>
      </w:pPr>
      <w:r>
        <w:rPr>
          <w:rFonts w:ascii="Arial" w:cs="Arial" w:eastAsia="Arial" w:hAnsi="Arial"/>
          <w:sz w:val="16"/>
          <w:szCs w:val="16"/>
          <w:color w:val="auto"/>
        </w:rPr>
        <w:t>Cost to fulfill - Rental merchandise in-service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00" w:type="dxa"/>
            <w:vAlign w:val="bottom"/>
            <w:gridSpan w:val="2"/>
          </w:tcPr>
          <w:p>
            <w:pPr>
              <w:ind w:left="860"/>
              <w:spacing w:after="0"/>
              <w:rPr>
                <w:sz w:val="20"/>
                <w:szCs w:val="20"/>
                <w:color w:val="auto"/>
              </w:rPr>
            </w:pPr>
            <w:r>
              <w:rPr>
                <w:rFonts w:ascii="Arial" w:cs="Arial" w:eastAsia="Arial" w:hAnsi="Arial"/>
                <w:sz w:val="14"/>
                <w:szCs w:val="14"/>
                <w:b w:val="1"/>
                <w:bCs w:val="1"/>
                <w:color w:val="auto"/>
              </w:rPr>
              <w:t>Income Statement Location</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6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170"/>
        </w:trPr>
        <w:tc>
          <w:tcPr>
            <w:tcW w:w="3420" w:type="dxa"/>
            <w:vAlign w:val="bottom"/>
            <w:tcBorders>
              <w:top w:val="single" w:sz="8" w:color="auto"/>
            </w:tcBorders>
          </w:tcPr>
          <w:p>
            <w:pPr>
              <w:ind w:left="20"/>
              <w:spacing w:after="0" w:line="170" w:lineRule="exact"/>
              <w:rPr>
                <w:sz w:val="20"/>
                <w:szCs w:val="20"/>
                <w:color w:val="auto"/>
              </w:rPr>
            </w:pPr>
            <w:r>
              <w:rPr>
                <w:rFonts w:ascii="Arial" w:cs="Arial" w:eastAsia="Arial" w:hAnsi="Arial"/>
                <w:sz w:val="18"/>
                <w:szCs w:val="18"/>
                <w:color w:val="auto"/>
              </w:rPr>
              <w:t>Cost of services provided (exclusive of</w:t>
            </w:r>
          </w:p>
        </w:tc>
        <w:tc>
          <w:tcPr>
            <w:tcW w:w="8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318.2</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-1071245</wp:posOffset>
            </wp:positionV>
            <wp:extent cx="7132320" cy="2654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-659765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-257175</wp:posOffset>
            </wp:positionV>
            <wp:extent cx="7132320" cy="2571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2140" w:space="340"/>
            <w:col w:w="8760"/>
          </w:cols>
          <w:pgMar w:left="320" w:top="179" w:right="339" w:bottom="1440" w:gutter="0" w:footer="0" w:header="0"/>
          <w:type w:val="continuous"/>
        </w:sectPr>
      </w:pPr>
    </w:p>
    <w:p>
      <w:pPr>
        <w:ind w:right="80"/>
        <w:spacing w:after="0" w:line="296" w:lineRule="auto"/>
        <w:rPr>
          <w:sz w:val="20"/>
          <w:szCs w:val="20"/>
          <w:color w:val="auto"/>
        </w:rPr>
      </w:pPr>
      <w:r>
        <w:rPr>
          <w:rFonts w:ascii="Arial" w:cs="Arial" w:eastAsia="Arial" w:hAnsi="Arial"/>
          <w:sz w:val="16"/>
          <w:szCs w:val="16"/>
          <w:color w:val="auto"/>
        </w:rPr>
        <w:t>Deferred income is recognized in "Accrued expenses and other current liabilities" on the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 If the Company cannot render its performance obligation according to contract terms after receiving the consideration in advance, amounts may be required contractually to be refunded to the customer.</w:t>
      </w:r>
    </w:p>
    <w:p>
      <w:pPr>
        <w:spacing w:after="0" w:line="2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fiscal year ended October 1, 2021, deferred income increased related to customer prepayments and decreased related to income recognized during the period as a result of satisfying the performance obligation or return of funds related to non-performance. For the fiscal year ended October 1, 2021, the Company recognized $208.0 million of revenue that was included in deferred income at the beginning of the period. Deferred income balances are summarized in the following table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9"/>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Deferred income</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r>
    </w:tbl>
    <w:p>
      <w:pPr>
        <w:spacing w:after="0" w:line="202" w:lineRule="exact"/>
        <w:rPr>
          <w:sz w:val="20"/>
          <w:szCs w:val="20"/>
          <w:color w:val="auto"/>
        </w:rPr>
      </w:pPr>
    </w:p>
    <w:p>
      <w:pPr>
        <w:ind w:left="420" w:hanging="394"/>
        <w:spacing w:after="0"/>
        <w:tabs>
          <w:tab w:leader="none" w:pos="4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Due to the impact of COVID-19, the Company refunded approximately $53.5 million of advanced payments for meal plans back to its clients during fiscal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9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has lease arrangements primarily related to real estate, vehicles and equipment, which generally have terms of one to 30 years. Finance leases primarily relate to vehicles and certain real estate. In addition, there can be leases identified in the Company's revenue contracts with customers, which generally include fixed or variable lease payments. The Company assesses whether an arrangement is a lease, or contains a lease, upon inception of the related contract. A right-of-use asset and corresponding lease liability are not recorded for leases with an initial term of 12 months or less ("short-term leases"). Certain of the Company's lease arrangements, primarily vehicle leases, with terms of one to 12 years, contain provisions related to residual value guarantees. The maximum potential liability to the Company under such arrangements was approximately $28.7 million at October 1, 2021 if the terminal fair value of vehicles coming off lease was zero. Consistent with past experience, management does not expect any significant payments will be required pursuant to these arrangements. No amounts have been accrued for guarantee arrangements at October 1, 2021.</w:t>
      </w:r>
    </w:p>
    <w:p>
      <w:pPr>
        <w:spacing w:after="0" w:line="4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As a result of adopting Accounting Standards Codification 842 ("ASC 842" or the "new lease standard") on September 28, 2019 (first day of fiscal 2020), the Company recognized operating lease liabilities and operating lease right-of-use assets on its Consolidated Balance Sheets. Operating lease right-of-use assets represent the Company’s right to use the underlying assets 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lease term and operating lease liabilities represent the Company’s obligation to make lease payments arising from the lease. Operating lease liabilities and operating lease right-of-use assets are recognized at the lease commencement date based on the estimated present value of the lease payments over the lease term. Deferred rent, tenant improvement allowances and prepaid rent are included in the operating lease right-of-use asset balances. Lease expense is recognized on a straight-line basis over the expected lease term. The Company has lease agreements with lease and non-lease components. Non-lease components are combined with the related lease components and accounted for as lease components for all classes of underlying assets.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As permitted under the transition guidance upon adoption of ASC 842, the Company elected the following practical expedients:</w:t>
      </w:r>
    </w:p>
    <w:p>
      <w:pPr>
        <w:spacing w:after="0" w:line="104" w:lineRule="exact"/>
        <w:rPr>
          <w:sz w:val="20"/>
          <w:szCs w:val="20"/>
          <w:color w:val="auto"/>
        </w:rPr>
      </w:pPr>
    </w:p>
    <w:p>
      <w:pPr>
        <w:ind w:left="660" w:right="42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simplified approach to not recast comparative periods and to apply the new lease standard on a prospective basis beginning in the year of initial adoption;</w:t>
      </w:r>
    </w:p>
    <w:p>
      <w:pPr>
        <w:spacing w:after="0" w:line="4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package of practical expedients to not reassess the lease determination, lease classification or initial direct costs for leases commenced prior to adoption;</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component election to not separate lease and non-lease components in all arrangements that contain a lease; and</w:t>
      </w:r>
    </w:p>
    <w:p>
      <w:pPr>
        <w:spacing w:after="0" w:line="10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short-term lease recognition exemption whereby lease-related assets and liabilities are not recognized for arrangements with initial lease terms of one year or less.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elect the use of the hindsight expedient for determining the lease term.</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Variable lease payments, which primarily consist of leases associated with the Company's revenue contracts with customers, real estate taxes, common area maintenance charges, insurance costs and other operating expenses, are not included in the operating lease right-of-use asset or operating lease liability balances and are recognized in the period in which the expenses are incurred. The Company's lease terms may include options to extend or terminate the lease when it is reasonably certain they will be exercised or not, respectively. Options to extend lease terms that are reasonably certain of exercise are recognized as part of the operating lease right-of-use asset and operating lease liability balances.</w:t>
      </w:r>
    </w:p>
    <w:p>
      <w:pPr>
        <w:spacing w:after="0" w:line="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required to discount its future minimum lease payments using the interest rate implicit in the lease or, if that rate cannot be readily determined, its incremental borrowing rate. The Company uses its incremental borrowing rate as the discount rate. The Company uses a portfolio approach to determine the incremental borrowing rate based on the geographic location of the lease and the remaining lease term. The incremental borrowing rate is calculated using a base line rate plus an applicable margin.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location of the operating and finance leases in the Company’s Consolidated Balance Sheets (in thousands), as well as the weighted average remaining lease term and weighted average discount rate: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gridSpan w:val="2"/>
          </w:tcPr>
          <w:p>
            <w:pPr>
              <w:ind w:left="1580"/>
              <w:spacing w:after="0"/>
              <w:rPr>
                <w:sz w:val="20"/>
                <w:szCs w:val="20"/>
                <w:color w:val="auto"/>
              </w:rPr>
            </w:pPr>
            <w:r>
              <w:rPr>
                <w:rFonts w:ascii="Arial" w:cs="Arial" w:eastAsia="Arial" w:hAnsi="Arial"/>
                <w:sz w:val="14"/>
                <w:szCs w:val="14"/>
                <w:b w:val="1"/>
                <w:bCs w:val="1"/>
                <w:color w:val="auto"/>
              </w:rPr>
              <w:t>Leases</w:t>
            </w:r>
          </w:p>
        </w:tc>
        <w:tc>
          <w:tcPr>
            <w:tcW w:w="3860" w:type="dxa"/>
            <w:vAlign w:val="bottom"/>
            <w:gridSpan w:val="2"/>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60" w:type="dxa"/>
            <w:vAlign w:val="bottom"/>
          </w:tcPr>
          <w:p>
            <w:pPr>
              <w:spacing w:after="0"/>
              <w:rPr>
                <w:sz w:val="16"/>
                <w:szCs w:val="16"/>
                <w:color w:val="auto"/>
              </w:rPr>
            </w:pPr>
          </w:p>
        </w:tc>
        <w:tc>
          <w:tcPr>
            <w:tcW w:w="1540" w:type="dxa"/>
            <w:vAlign w:val="bottom"/>
          </w:tcPr>
          <w:p>
            <w:pPr>
              <w:jc w:val="right"/>
              <w:ind w:right="332"/>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r>
      <w:tr>
        <w:trPr>
          <w:trHeight w:val="229"/>
        </w:trPr>
        <w:tc>
          <w:tcPr>
            <w:tcW w:w="3660" w:type="dxa"/>
            <w:vAlign w:val="bottom"/>
            <w:gridSpan w:val="2"/>
          </w:tcPr>
          <w:p>
            <w:pPr>
              <w:ind w:left="460"/>
              <w:spacing w:after="0" w:line="230"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 (2)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587,854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551,394</w:t>
            </w:r>
          </w:p>
        </w:tc>
      </w:tr>
      <w:tr>
        <w:trPr>
          <w:trHeight w:val="230"/>
        </w:trPr>
        <w:tc>
          <w:tcPr>
            <w:tcW w:w="3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Finance</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138,368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134,080</w:t>
            </w: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Total lease assets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726,222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685,474</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7"/>
        </w:trPr>
        <w:tc>
          <w:tcPr>
            <w:tcW w:w="36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3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9"/>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3660" w:type="dxa"/>
            <w:vAlign w:val="bottom"/>
            <w:gridSpan w:val="2"/>
            <w:shd w:val="clear" w:color="auto" w:fill="CCEEFF"/>
          </w:tcPr>
          <w:p>
            <w:pPr>
              <w:ind w:left="460"/>
              <w:spacing w:after="0" w:line="230"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(2)</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67,280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71,810</w:t>
            </w:r>
          </w:p>
        </w:tc>
      </w:tr>
      <w:tr>
        <w:trPr>
          <w:trHeight w:val="229"/>
        </w:trPr>
        <w:tc>
          <w:tcPr>
            <w:tcW w:w="3660" w:type="dxa"/>
            <w:vAlign w:val="bottom"/>
            <w:gridSpan w:val="2"/>
          </w:tcPr>
          <w:p>
            <w:pPr>
              <w:ind w:left="460"/>
              <w:spacing w:after="0"/>
              <w:rPr>
                <w:sz w:val="20"/>
                <w:szCs w:val="20"/>
                <w:color w:val="auto"/>
              </w:rPr>
            </w:pPr>
            <w:r>
              <w:rPr>
                <w:rFonts w:ascii="Arial" w:cs="Arial" w:eastAsia="Arial" w:hAnsi="Arial"/>
                <w:sz w:val="18"/>
                <w:szCs w:val="18"/>
                <w:color w:val="auto"/>
              </w:rPr>
              <w:t>Finance</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Current maturities of long-term borrowings</w:t>
            </w:r>
          </w:p>
        </w:tc>
        <w:tc>
          <w:tcPr>
            <w:tcW w:w="28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27,829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29,983</w:t>
            </w:r>
          </w:p>
        </w:tc>
      </w:tr>
      <w:tr>
        <w:trPr>
          <w:trHeight w:val="230"/>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3660" w:type="dxa"/>
            <w:vAlign w:val="bottom"/>
            <w:gridSpan w:val="2"/>
          </w:tcPr>
          <w:p>
            <w:pPr>
              <w:ind w:left="460"/>
              <w:spacing w:after="0" w:line="230" w:lineRule="exact"/>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314,378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132"/>
              <w:spacing w:after="0"/>
              <w:rPr>
                <w:sz w:val="20"/>
                <w:szCs w:val="20"/>
                <w:color w:val="auto"/>
              </w:rPr>
            </w:pPr>
            <w:r>
              <w:rPr>
                <w:rFonts w:ascii="Arial" w:cs="Arial" w:eastAsia="Arial" w:hAnsi="Arial"/>
                <w:sz w:val="18"/>
                <w:szCs w:val="18"/>
                <w:color w:val="auto"/>
              </w:rPr>
              <w:t>341,667</w:t>
            </w:r>
          </w:p>
        </w:tc>
      </w:tr>
      <w:tr>
        <w:trPr>
          <w:trHeight w:val="229"/>
        </w:trPr>
        <w:tc>
          <w:tcPr>
            <w:tcW w:w="3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Finance</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118,539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112,605</w:t>
            </w:r>
          </w:p>
        </w:tc>
      </w:tr>
      <w:tr>
        <w:trPr>
          <w:trHeight w:val="223"/>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3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528,026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556,065</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bl>
    <w:p>
      <w:pPr>
        <w:ind w:left="20"/>
        <w:spacing w:after="0" w:line="221" w:lineRule="auto"/>
        <w:rPr>
          <w:sz w:val="20"/>
          <w:szCs w:val="20"/>
          <w:color w:val="auto"/>
        </w:rPr>
      </w:pPr>
      <w:r>
        <w:rPr>
          <w:rFonts w:ascii="Arial" w:cs="Arial" w:eastAsia="Arial" w:hAnsi="Arial"/>
          <w:sz w:val="18"/>
          <w:szCs w:val="18"/>
          <w:color w:val="auto"/>
        </w:rPr>
        <w:t>Weighted average remaining lease term (in</w:t>
      </w:r>
    </w:p>
    <w:p>
      <w:pPr>
        <w:ind w:left="20"/>
        <w:spacing w:after="0"/>
        <w:rPr>
          <w:sz w:val="20"/>
          <w:szCs w:val="20"/>
          <w:color w:val="auto"/>
        </w:rPr>
      </w:pPr>
      <w:r>
        <w:rPr>
          <w:rFonts w:ascii="Arial" w:cs="Arial" w:eastAsia="Arial" w:hAnsi="Arial"/>
          <w:sz w:val="18"/>
          <w:szCs w:val="18"/>
          <w:color w:val="auto"/>
        </w:rPr>
        <w:t>years)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leases</w:t>
            </w:r>
          </w:p>
        </w:tc>
        <w:tc>
          <w:tcPr>
            <w:tcW w:w="44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580" w:type="dxa"/>
            <w:vAlign w:val="bottom"/>
          </w:tcPr>
          <w:p>
            <w:pPr>
              <w:ind w:left="460"/>
              <w:spacing w:after="0"/>
              <w:rPr>
                <w:sz w:val="20"/>
                <w:szCs w:val="20"/>
                <w:color w:val="auto"/>
              </w:rPr>
            </w:pPr>
            <w:r>
              <w:rPr>
                <w:rFonts w:ascii="Arial" w:cs="Arial" w:eastAsia="Arial" w:hAnsi="Arial"/>
                <w:sz w:val="18"/>
                <w:szCs w:val="18"/>
                <w:color w:val="auto"/>
              </w:rPr>
              <w:t>Finance leases</w:t>
            </w:r>
          </w:p>
        </w:tc>
        <w:tc>
          <w:tcPr>
            <w:tcW w:w="4480" w:type="dxa"/>
            <w:vAlign w:val="bottom"/>
          </w:tcPr>
          <w:p>
            <w:pPr>
              <w:jc w:val="right"/>
              <w:ind w:right="650"/>
              <w:spacing w:after="0"/>
              <w:rPr>
                <w:sz w:val="20"/>
                <w:szCs w:val="20"/>
                <w:color w:val="auto"/>
              </w:rPr>
            </w:pPr>
            <w:r>
              <w:rPr>
                <w:rFonts w:ascii="Arial" w:cs="Arial" w:eastAsia="Arial" w:hAnsi="Arial"/>
                <w:sz w:val="18"/>
                <w:szCs w:val="18"/>
                <w:color w:val="auto"/>
              </w:rPr>
              <w:t>8.3</w:t>
            </w:r>
          </w:p>
        </w:tc>
        <w:tc>
          <w:tcPr>
            <w:tcW w:w="11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4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580" w:type="dxa"/>
            <w:vAlign w:val="bottom"/>
          </w:tcPr>
          <w:p>
            <w:pPr>
              <w:ind w:left="460"/>
              <w:spacing w:after="0"/>
              <w:rPr>
                <w:sz w:val="20"/>
                <w:szCs w:val="20"/>
                <w:color w:val="auto"/>
              </w:rPr>
            </w:pPr>
            <w:r>
              <w:rPr>
                <w:rFonts w:ascii="Arial" w:cs="Arial" w:eastAsia="Arial" w:hAnsi="Arial"/>
                <w:sz w:val="18"/>
                <w:szCs w:val="18"/>
                <w:color w:val="auto"/>
              </w:rPr>
              <w:t>Operating leases</w:t>
            </w:r>
          </w:p>
        </w:tc>
        <w:tc>
          <w:tcPr>
            <w:tcW w:w="4480" w:type="dxa"/>
            <w:vAlign w:val="bottom"/>
          </w:tcPr>
          <w:p>
            <w:pPr>
              <w:jc w:val="right"/>
              <w:ind w:right="650"/>
              <w:spacing w:after="0"/>
              <w:rPr>
                <w:sz w:val="20"/>
                <w:szCs w:val="20"/>
                <w:color w:val="auto"/>
              </w:rPr>
            </w:pPr>
            <w:r>
              <w:rPr>
                <w:rFonts w:ascii="Arial" w:cs="Arial" w:eastAsia="Arial" w:hAnsi="Arial"/>
                <w:sz w:val="18"/>
                <w:szCs w:val="18"/>
                <w:color w:val="auto"/>
              </w:rPr>
              <w:t>3.7 %</w:t>
            </w:r>
          </w:p>
        </w:tc>
        <w:tc>
          <w:tcPr>
            <w:tcW w:w="118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5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Finance leases</w:t>
            </w:r>
          </w:p>
        </w:tc>
        <w:tc>
          <w:tcPr>
            <w:tcW w:w="44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4.1 %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bl>
    <w:p>
      <w:pPr>
        <w:spacing w:after="0" w:line="215" w:lineRule="exact"/>
        <w:rPr>
          <w:sz w:val="20"/>
          <w:szCs w:val="20"/>
          <w:color w:val="auto"/>
        </w:rPr>
      </w:pPr>
    </w:p>
    <w:p>
      <w:pPr>
        <w:ind w:left="400" w:hanging="374"/>
        <w:spacing w:after="0"/>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$251.3 million and $193.6 million of long-term prepaid rent as of October 1, 2021 and as of October 2, 2020, respectively.</w:t>
      </w:r>
    </w:p>
    <w:p>
      <w:pPr>
        <w:spacing w:after="0" w:line="26" w:lineRule="exact"/>
        <w:rPr>
          <w:rFonts w:ascii="Arial" w:cs="Arial" w:eastAsia="Arial" w:hAnsi="Arial"/>
          <w:sz w:val="13"/>
          <w:szCs w:val="13"/>
          <w:color w:val="auto"/>
        </w:rPr>
      </w:pPr>
    </w:p>
    <w:p>
      <w:pPr>
        <w:ind w:left="400" w:right="320" w:hanging="374"/>
        <w:spacing w:after="0" w:line="226" w:lineRule="auto"/>
        <w:tabs>
          <w:tab w:leader="none" w:pos="4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Fiscal 2020 includes the write-down of certain rental properties from disposal by abandonment and the write-off of certain right-of-use assets related to client contracts that were reassessed due to the impact of COVID-19 (see Note 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location of lease related costs in the Consolidated Statements of (Loss) Income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88"/>
        </w:trPr>
        <w:tc>
          <w:tcPr>
            <w:tcW w:w="4040" w:type="dxa"/>
            <w:vAlign w:val="bottom"/>
            <w:gridSpan w:val="2"/>
          </w:tcPr>
          <w:p>
            <w:pPr>
              <w:ind w:left="1640"/>
              <w:spacing w:after="0"/>
              <w:rPr>
                <w:sz w:val="20"/>
                <w:szCs w:val="20"/>
                <w:color w:val="auto"/>
              </w:rPr>
            </w:pPr>
            <w:r>
              <w:rPr>
                <w:rFonts w:ascii="Arial" w:cs="Arial" w:eastAsia="Arial" w:hAnsi="Arial"/>
                <w:sz w:val="14"/>
                <w:szCs w:val="14"/>
                <w:b w:val="1"/>
                <w:bCs w:val="1"/>
                <w:color w:val="auto"/>
              </w:rPr>
              <w:t>Lease Cost</w:t>
            </w:r>
          </w:p>
        </w:tc>
        <w:tc>
          <w:tcPr>
            <w:tcW w:w="3740" w:type="dxa"/>
            <w:vAlign w:val="bottom"/>
            <w:gridSpan w:val="2"/>
          </w:tcPr>
          <w:p>
            <w:pPr>
              <w:ind w:left="960"/>
              <w:spacing w:after="0"/>
              <w:rPr>
                <w:sz w:val="20"/>
                <w:szCs w:val="20"/>
                <w:color w:val="auto"/>
              </w:rPr>
            </w:pPr>
            <w:r>
              <w:rPr>
                <w:rFonts w:ascii="Arial" w:cs="Arial" w:eastAsia="Arial" w:hAnsi="Arial"/>
                <w:sz w:val="14"/>
                <w:szCs w:val="14"/>
                <w:b w:val="1"/>
                <w:bCs w:val="1"/>
                <w:color w:val="auto"/>
              </w:rPr>
              <w:t>Income Statement Location</w:t>
            </w: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2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24"/>
        </w:trPr>
        <w:tc>
          <w:tcPr>
            <w:tcW w:w="394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Fixed lease costs</w:t>
            </w:r>
          </w:p>
        </w:tc>
        <w:tc>
          <w:tcPr>
            <w:tcW w:w="3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116,934</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121,434</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CEEFF"/>
          </w:tcPr>
          <w:p>
            <w:pPr>
              <w:ind w:left="460"/>
              <w:spacing w:after="0" w:line="176" w:lineRule="exact"/>
              <w:rPr>
                <w:sz w:val="20"/>
                <w:szCs w:val="20"/>
                <w:color w:val="auto"/>
              </w:rPr>
            </w:pPr>
            <w:r>
              <w:rPr>
                <w:rFonts w:ascii="Arial" w:cs="Arial" w:eastAsia="Arial" w:hAnsi="Arial"/>
                <w:sz w:val="16"/>
                <w:szCs w:val="16"/>
                <w:color w:val="auto"/>
              </w:rPr>
              <w:t>Variable lease costs</w:t>
            </w:r>
            <w:r>
              <w:rPr>
                <w:rFonts w:ascii="Arial" w:cs="Arial" w:eastAsia="Arial" w:hAnsi="Arial"/>
                <w:sz w:val="20"/>
                <w:szCs w:val="20"/>
                <w:color w:val="auto"/>
                <w:vertAlign w:val="superscript"/>
              </w:rPr>
              <w:t>(2)</w:t>
            </w:r>
          </w:p>
        </w:tc>
        <w:tc>
          <w:tcPr>
            <w:tcW w:w="37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344,130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392,700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460"/>
              <w:spacing w:after="0" w:line="176" w:lineRule="exact"/>
              <w:rPr>
                <w:sz w:val="20"/>
                <w:szCs w:val="20"/>
                <w:color w:val="auto"/>
              </w:rPr>
            </w:pPr>
            <w:r>
              <w:rPr>
                <w:rFonts w:ascii="Arial" w:cs="Arial" w:eastAsia="Arial" w:hAnsi="Arial"/>
                <w:sz w:val="18"/>
                <w:szCs w:val="18"/>
                <w:color w:val="auto"/>
              </w:rPr>
              <w:t>Short-term lease costs</w:t>
            </w:r>
          </w:p>
        </w:tc>
        <w:tc>
          <w:tcPr>
            <w:tcW w:w="37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48,288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59,865</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Finance lease cost</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3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460"/>
              <w:spacing w:after="0"/>
              <w:rPr>
                <w:sz w:val="20"/>
                <w:szCs w:val="20"/>
                <w:color w:val="auto"/>
              </w:rPr>
            </w:pPr>
            <w:r>
              <w:rPr>
                <w:rFonts w:ascii="Arial" w:cs="Arial" w:eastAsia="Arial" w:hAnsi="Arial"/>
                <w:sz w:val="18"/>
                <w:szCs w:val="18"/>
                <w:color w:val="auto"/>
              </w:rPr>
              <w:t>Amortization of right-of-use-assets</w:t>
            </w:r>
          </w:p>
        </w:tc>
        <w:tc>
          <w:tcPr>
            <w:tcW w:w="37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31,243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30,542</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Interest on lease liabilities</w:t>
            </w:r>
          </w:p>
        </w:tc>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Net lease cost</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609,860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00" w:hanging="374"/>
        <w:spacing w:after="0"/>
        <w:tabs>
          <w:tab w:leader="none" w:pos="400" w:val="left"/>
        </w:tabs>
        <w:numPr>
          <w:ilvl w:val="0"/>
          <w:numId w:val="58"/>
        </w:numPr>
        <w:rPr>
          <w:rFonts w:ascii="Arial" w:cs="Arial" w:eastAsia="Arial" w:hAnsi="Arial"/>
          <w:sz w:val="25"/>
          <w:szCs w:val="25"/>
          <w:color w:val="auto"/>
          <w:vertAlign w:val="superscript"/>
        </w:rPr>
      </w:pPr>
      <w:r>
        <w:rPr>
          <w:rFonts w:ascii="Arial" w:cs="Arial" w:eastAsia="Arial" w:hAnsi="Arial"/>
          <w:sz w:val="13"/>
          <w:szCs w:val="13"/>
          <w:color w:val="auto"/>
        </w:rPr>
        <w:t>Excludes sublease income, which is immaterial.</w:t>
      </w:r>
    </w:p>
    <w:p>
      <w:pPr>
        <w:spacing w:after="0" w:line="114" w:lineRule="exact"/>
        <w:rPr>
          <w:rFonts w:ascii="Arial" w:cs="Arial" w:eastAsia="Arial" w:hAnsi="Arial"/>
          <w:sz w:val="25"/>
          <w:szCs w:val="25"/>
          <w:color w:val="auto"/>
          <w:vertAlign w:val="superscript"/>
        </w:rPr>
      </w:pPr>
    </w:p>
    <w:p>
      <w:pPr>
        <w:ind w:left="400" w:right="280" w:hanging="374"/>
        <w:spacing w:after="0" w:line="242" w:lineRule="auto"/>
        <w:tabs>
          <w:tab w:leader="none" w:pos="4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Includes $325.3 million and $375.0 million of costs related to leases associated with revenue contracts with customers for fiscal 2021 and 2020, respectively. These costs represent the rent the Company pays its clients to operate at their locations, typically based on a percentage of sales. Variable lease costs during both fiscal 2021 and 2020 were impacted by COVID-19.</w:t>
      </w:r>
    </w:p>
    <w:p>
      <w:pPr>
        <w:ind w:left="400" w:hanging="374"/>
        <w:spacing w:after="0" w:line="225" w:lineRule="auto"/>
        <w:tabs>
          <w:tab w:leader="none" w:pos="400" w:val="left"/>
        </w:tabs>
        <w:numPr>
          <w:ilvl w:val="0"/>
          <w:numId w:val="58"/>
        </w:numPr>
        <w:rPr>
          <w:rFonts w:ascii="Arial" w:cs="Arial" w:eastAsia="Arial" w:hAnsi="Arial"/>
          <w:sz w:val="25"/>
          <w:szCs w:val="25"/>
          <w:color w:val="auto"/>
          <w:vertAlign w:val="superscript"/>
        </w:rPr>
      </w:pPr>
      <w:r>
        <w:rPr>
          <w:rFonts w:ascii="Arial" w:cs="Arial" w:eastAsia="Arial" w:hAnsi="Arial"/>
          <w:sz w:val="13"/>
          <w:szCs w:val="13"/>
          <w:color w:val="auto"/>
        </w:rPr>
        <w:t>Excludes variable lease costs, which are immaterial.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$860.6 million for fiscal 2019.</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Supplemental cash flow information related to leases for the period reported is as follows (in thousands):</w:t>
      </w:r>
    </w:p>
    <w:p>
      <w:pPr>
        <w:sectPr>
          <w:pgSz w:w="11900" w:h="16838" w:orient="portrait"/>
          <w:cols w:equalWidth="0" w:num="1">
            <w:col w:w="11240"/>
          </w:cols>
          <w:pgMar w:left="320" w:top="179" w:right="339" w:bottom="1440" w:gutter="0" w:footer="0" w:header="0"/>
        </w:sectPr>
      </w:pPr>
    </w:p>
    <w:p>
      <w:pPr>
        <w:spacing w:after="0" w:line="147" w:lineRule="exact"/>
        <w:rPr>
          <w:sz w:val="20"/>
          <w:szCs w:val="20"/>
          <w:color w:val="auto"/>
        </w:rPr>
      </w:pPr>
    </w:p>
    <w:p>
      <w:pPr>
        <w:jc w:val="center"/>
        <w:ind w:left="8040"/>
        <w:spacing w:after="0"/>
        <w:rPr>
          <w:sz w:val="20"/>
          <w:szCs w:val="20"/>
          <w:color w:val="auto"/>
        </w:rPr>
      </w:pPr>
      <w:r>
        <w:rPr>
          <w:rFonts w:ascii="Arial" w:cs="Arial" w:eastAsia="Arial" w:hAnsi="Arial"/>
          <w:sz w:val="12"/>
          <w:szCs w:val="12"/>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38100</wp:posOffset>
            </wp:positionV>
            <wp:extent cx="10801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45"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October 1, 2021</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38100</wp:posOffset>
            </wp:positionV>
            <wp:extent cx="10801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45"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October 2, 2020</w:t>
      </w:r>
    </w:p>
    <w:p>
      <w:pPr>
        <w:spacing w:after="0" w:line="25" w:lineRule="exact"/>
        <w:rPr>
          <w:sz w:val="20"/>
          <w:szCs w:val="20"/>
          <w:color w:val="auto"/>
        </w:rPr>
      </w:pPr>
    </w:p>
    <w:p>
      <w:pPr>
        <w:sectPr>
          <w:pgSz w:w="11900" w:h="16838" w:orient="portrait"/>
          <w:cols w:equalWidth="0" w:num="2">
            <w:col w:w="9160" w:space="680"/>
            <w:col w:w="140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7740" w:type="dxa"/>
            <w:vAlign w:val="bottom"/>
          </w:tcPr>
          <w:p>
            <w:pPr>
              <w:ind w:left="460"/>
              <w:spacing w:after="0" w:line="230" w:lineRule="exact"/>
              <w:rPr>
                <w:sz w:val="20"/>
                <w:szCs w:val="20"/>
                <w:color w:val="auto"/>
              </w:rPr>
            </w:pPr>
            <w:r>
              <w:rPr>
                <w:rFonts w:ascii="Arial" w:cs="Arial" w:eastAsia="Arial" w:hAnsi="Arial"/>
                <w:sz w:val="18"/>
                <w:szCs w:val="18"/>
                <w:color w:val="auto"/>
              </w:rPr>
              <w:t>Operating cash flows from operating leases</w:t>
            </w:r>
            <w:r>
              <w:rPr>
                <w:rFonts w:ascii="Arial" w:cs="Arial" w:eastAsia="Arial" w:hAnsi="Arial"/>
                <w:sz w:val="23"/>
                <w:szCs w:val="23"/>
                <w:color w:val="auto"/>
                <w:vertAlign w:val="superscript"/>
              </w:rPr>
              <w:t>(1)</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189,061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144,792</w:t>
            </w:r>
          </w:p>
        </w:tc>
      </w:tr>
      <w:tr>
        <w:trPr>
          <w:trHeight w:val="229"/>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229"/>
        </w:trPr>
        <w:tc>
          <w:tcPr>
            <w:tcW w:w="7740" w:type="dxa"/>
            <w:vAlign w:val="bottom"/>
          </w:tcPr>
          <w:p>
            <w:pPr>
              <w:ind w:left="46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34,674</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lease obligations: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740" w:type="dxa"/>
            <w:vAlign w:val="bottom"/>
          </w:tcPr>
          <w:p>
            <w:pPr>
              <w:ind w:left="46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61,345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90,533</w:t>
            </w:r>
          </w:p>
        </w:tc>
      </w:tr>
      <w:tr>
        <w:trPr>
          <w:trHeight w:val="229"/>
        </w:trPr>
        <w:tc>
          <w:tcPr>
            <w:tcW w:w="7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29,317</w:t>
            </w:r>
          </w:p>
        </w:tc>
      </w:tr>
    </w:tbl>
    <w:p>
      <w:pPr>
        <w:spacing w:after="0" w:line="202" w:lineRule="exact"/>
        <w:rPr>
          <w:sz w:val="20"/>
          <w:szCs w:val="20"/>
          <w:color w:val="auto"/>
        </w:rPr>
      </w:pPr>
    </w:p>
    <w:p>
      <w:pPr>
        <w:ind w:left="400" w:right="500" w:hanging="374"/>
        <w:spacing w:after="0" w:line="249" w:lineRule="auto"/>
        <w:tabs>
          <w:tab w:leader="none" w:pos="400" w:val="left"/>
        </w:tabs>
        <w:numPr>
          <w:ilvl w:val="0"/>
          <w:numId w:val="59"/>
        </w:numPr>
        <w:rPr>
          <w:rFonts w:ascii="Arial" w:cs="Arial" w:eastAsia="Arial" w:hAnsi="Arial"/>
          <w:sz w:val="12"/>
          <w:szCs w:val="12"/>
          <w:color w:val="auto"/>
        </w:rPr>
      </w:pPr>
      <w:r>
        <w:rPr>
          <w:rFonts w:ascii="Arial" w:cs="Arial" w:eastAsia="Arial" w:hAnsi="Arial"/>
          <w:sz w:val="12"/>
          <w:szCs w:val="12"/>
          <w:color w:val="auto"/>
        </w:rPr>
        <w:t>For fiscal 2021, excludes cash paid for variable and short-term lease costs of $304.5 million and $48.3 million, respectively, that are not included within the measurement of lease liabilities. For fiscal 2020, excludes cash paid for variable and short-term lease costs of $414.0 million and $59.9 million, respectively, that are not included within the measurement of lease liabilities.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as of October 1, 2021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Finance leases</w:t>
            </w: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29"/>
        </w:trPr>
        <w:tc>
          <w:tcPr>
            <w:tcW w:w="596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80,265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109,422</w:t>
            </w:r>
          </w:p>
        </w:tc>
      </w:tr>
      <w:tr>
        <w:trPr>
          <w:trHeight w:val="229"/>
        </w:trPr>
        <w:tc>
          <w:tcPr>
            <w:tcW w:w="5960" w:type="dxa"/>
            <w:vAlign w:val="bottom"/>
          </w:tcPr>
          <w:p>
            <w:pPr>
              <w:ind w:left="46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67,927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92,677</w:t>
            </w:r>
          </w:p>
        </w:tc>
      </w:tr>
      <w:tr>
        <w:trPr>
          <w:trHeight w:val="230"/>
        </w:trPr>
        <w:tc>
          <w:tcPr>
            <w:tcW w:w="5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77,647</w:t>
            </w:r>
          </w:p>
        </w:tc>
      </w:tr>
      <w:tr>
        <w:trPr>
          <w:trHeight w:val="229"/>
        </w:trPr>
        <w:tc>
          <w:tcPr>
            <w:tcW w:w="5960" w:type="dxa"/>
            <w:vAlign w:val="bottom"/>
          </w:tcPr>
          <w:p>
            <w:pPr>
              <w:ind w:left="46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64,368</w:t>
            </w:r>
          </w:p>
        </w:tc>
      </w:tr>
      <w:tr>
        <w:trPr>
          <w:trHeight w:val="229"/>
        </w:trPr>
        <w:tc>
          <w:tcPr>
            <w:tcW w:w="5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2026</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50,829</w:t>
            </w:r>
          </w:p>
        </w:tc>
      </w:tr>
      <w:tr>
        <w:trPr>
          <w:trHeight w:val="230"/>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214,713</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609,656</w:t>
            </w:r>
          </w:p>
        </w:tc>
      </w:tr>
      <w:tr>
        <w:trPr>
          <w:trHeight w:val="230"/>
        </w:trPr>
        <w:tc>
          <w:tcPr>
            <w:tcW w:w="59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(81,630)</w:t>
            </w: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528,026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EMPLOYEE PENSION AND PROFIT SHARING PLANS: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the United States, the Company maintains qualified contributory and non-contributory defined contribution retirement plans for eligible employees, with Company contributions to the plans based on earnings performance or salary level. The Company also has a non-qualified retirement savings plan for certain employees. The total expense of the above plans for fiscal 2021, fiscal 2020 and fiscal 2019 was $28.1 million, $17.4 million and $41.5 million, respectively. The higher expense in fiscal 2019 was due to additional employer matching contributions as a result of cash tax savings from United States tax reform. The Company also maintains similar contributory and non-contributory defined contribution retirement plans at several of its international operations, primarily in Canada and the United Kingdom. The total expense of these international plans for fiscal 2021, fiscal 2020 and fiscal 2019 was $15.2 million, $13.7 million and $11.7 million, respectively.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the components of net periodic pension cost for the Company's single-employer defined benefit pension plans for fiscal 2021, fiscal 2020 and fiscal 2019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6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11,287</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(22,970)</w:t>
            </w:r>
          </w:p>
        </w:tc>
      </w:tr>
      <w:tr>
        <w:trPr>
          <w:trHeight w:val="229"/>
        </w:trPr>
        <w:tc>
          <w:tcPr>
            <w:tcW w:w="5980" w:type="dxa"/>
            <w:vAlign w:val="bottom"/>
          </w:tcPr>
          <w:p>
            <w:pPr>
              <w:ind w:left="20"/>
              <w:spacing w:after="0" w:line="230" w:lineRule="exact"/>
              <w:rPr>
                <w:sz w:val="20"/>
                <w:szCs w:val="20"/>
                <w:color w:val="auto"/>
              </w:rPr>
            </w:pPr>
            <w:r>
              <w:rPr>
                <w:rFonts w:ascii="Arial" w:cs="Arial" w:eastAsia="Arial" w:hAnsi="Arial"/>
                <w:sz w:val="18"/>
                <w:szCs w:val="18"/>
                <w:color w:val="auto"/>
              </w:rPr>
              <w:t>Settlements and curtailments</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expense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00" w:hanging="374"/>
        <w:spacing w:after="0"/>
        <w:tabs>
          <w:tab w:leader="none" w:pos="400" w:val="left"/>
        </w:tabs>
        <w:numPr>
          <w:ilvl w:val="0"/>
          <w:numId w:val="60"/>
        </w:numPr>
        <w:rPr>
          <w:rFonts w:ascii="Arial" w:cs="Arial" w:eastAsia="Arial" w:hAnsi="Arial"/>
          <w:sz w:val="10"/>
          <w:szCs w:val="10"/>
          <w:color w:val="auto"/>
        </w:rPr>
      </w:pPr>
      <w:r>
        <w:rPr>
          <w:rFonts w:ascii="Arial" w:cs="Arial" w:eastAsia="Arial" w:hAnsi="Arial"/>
          <w:sz w:val="10"/>
          <w:szCs w:val="10"/>
          <w:color w:val="auto"/>
        </w:rPr>
        <w:t>During fiscal 2021, the Company terminated certain Canadian single-employer defined benefit pension plans and recognized a non-cash loss of $60.9 million on the Consolidated Statements of (Loss) Income.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changes in the projected benefit obligation and the fair value of plan assets for these plans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240" w:type="dxa"/>
            <w:vAlign w:val="bottom"/>
          </w:tcPr>
          <w:p>
            <w:pPr>
              <w:spacing w:after="0"/>
              <w:rPr>
                <w:sz w:val="20"/>
                <w:szCs w:val="20"/>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20"/>
                <w:szCs w:val="20"/>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beginning</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401,207</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9,180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contributions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32,769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 and curtailments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ending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436,333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beginning</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425,967</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Employer contributions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Employee contributions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(16,739)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and curtailments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 end</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439,053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 Status at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consist of the following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4"/>
          </w:tcPr>
          <w:p>
            <w:pPr>
              <w:ind w:left="20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6"/>
                <w:szCs w:val="16"/>
                <w:color w:val="auto"/>
              </w:rPr>
            </w:pPr>
          </w:p>
        </w:tc>
        <w:tc>
          <w:tcPr>
            <w:tcW w:w="1500" w:type="dxa"/>
            <w:vAlign w:val="bottom"/>
          </w:tcPr>
          <w:p>
            <w:pPr>
              <w:jc w:val="right"/>
              <w:ind w:right="275"/>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benefit asset (included in Other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gridSpan w:val="2"/>
            <w:shd w:val="clear" w:color="auto" w:fill="CCEEFF"/>
          </w:tcPr>
          <w:p>
            <w:pPr>
              <w:jc w:val="center"/>
              <w:ind w:left="835"/>
              <w:spacing w:after="0"/>
              <w:rPr>
                <w:sz w:val="20"/>
                <w:szCs w:val="20"/>
                <w:color w:val="auto"/>
              </w:rPr>
            </w:pPr>
            <w:r>
              <w:rPr>
                <w:rFonts w:ascii="Arial" w:cs="Arial" w:eastAsia="Arial" w:hAnsi="Arial"/>
                <w:sz w:val="18"/>
                <w:szCs w:val="18"/>
                <w:color w:val="auto"/>
                <w:w w:val="90"/>
              </w:rPr>
              <w:t>32,522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16,617</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Current benefit liability (included in Accrued expenses and other current liabilities)</w:t>
            </w:r>
          </w:p>
        </w:tc>
        <w:tc>
          <w:tcPr>
            <w:tcW w:w="160" w:type="dxa"/>
            <w:vAlign w:val="bottom"/>
          </w:tcPr>
          <w:p>
            <w:pPr>
              <w:spacing w:after="0"/>
              <w:rPr>
                <w:sz w:val="19"/>
                <w:szCs w:val="19"/>
                <w:color w:val="auto"/>
              </w:rPr>
            </w:pPr>
          </w:p>
        </w:tc>
        <w:tc>
          <w:tcPr>
            <w:tcW w:w="1540" w:type="dxa"/>
            <w:vAlign w:val="bottom"/>
            <w:gridSpan w:val="2"/>
          </w:tcPr>
          <w:p>
            <w:pPr>
              <w:ind w:left="1000"/>
              <w:spacing w:after="0"/>
              <w:rPr>
                <w:sz w:val="20"/>
                <w:szCs w:val="20"/>
                <w:color w:val="auto"/>
              </w:rPr>
            </w:pPr>
            <w:r>
              <w:rPr>
                <w:rFonts w:ascii="Arial" w:cs="Arial" w:eastAsia="Arial" w:hAnsi="Arial"/>
                <w:sz w:val="18"/>
                <w:szCs w:val="18"/>
                <w:color w:val="auto"/>
                <w:w w:val="91"/>
              </w:rPr>
              <w:t>(2,605)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benefit liability (included in Other Noncurrent Liabilities)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795"/>
              <w:spacing w:after="0"/>
              <w:rPr>
                <w:sz w:val="20"/>
                <w:szCs w:val="20"/>
                <w:color w:val="auto"/>
              </w:rPr>
            </w:pPr>
            <w:r>
              <w:rPr>
                <w:rFonts w:ascii="Arial" w:cs="Arial" w:eastAsia="Arial" w:hAnsi="Arial"/>
                <w:sz w:val="18"/>
                <w:szCs w:val="18"/>
                <w:color w:val="auto"/>
                <w:w w:val="92"/>
              </w:rPr>
              <w:t>(11,854)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(13,897)</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actuarial loss (included in Accumulated other comprehensive loss before taxes)</w:t>
            </w:r>
          </w:p>
        </w:tc>
        <w:tc>
          <w:tcPr>
            <w:tcW w:w="160" w:type="dxa"/>
            <w:vAlign w:val="bottom"/>
          </w:tcPr>
          <w:p>
            <w:pPr>
              <w:spacing w:after="0"/>
              <w:rPr>
                <w:sz w:val="20"/>
                <w:szCs w:val="20"/>
                <w:color w:val="auto"/>
              </w:rPr>
            </w:pPr>
          </w:p>
        </w:tc>
        <w:tc>
          <w:tcPr>
            <w:tcW w:w="1540" w:type="dxa"/>
            <w:vAlign w:val="bottom"/>
            <w:gridSpan w:val="2"/>
          </w:tcPr>
          <w:p>
            <w:pPr>
              <w:jc w:val="center"/>
              <w:ind w:left="835"/>
              <w:spacing w:after="0"/>
              <w:rPr>
                <w:sz w:val="20"/>
                <w:szCs w:val="20"/>
                <w:color w:val="auto"/>
              </w:rPr>
            </w:pPr>
            <w:r>
              <w:rPr>
                <w:rFonts w:ascii="Arial" w:cs="Arial" w:eastAsia="Arial" w:hAnsi="Arial"/>
                <w:sz w:val="18"/>
                <w:szCs w:val="18"/>
                <w:color w:val="auto"/>
                <w:w w:val="90"/>
              </w:rPr>
              <w:t>46,464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111,035</w:t>
            </w:r>
          </w:p>
        </w:tc>
      </w:tr>
      <w:tr>
        <w:trPr>
          <w:trHeight w:val="391"/>
        </w:trPr>
        <w:tc>
          <w:tcPr>
            <w:tcW w:w="9540" w:type="dxa"/>
            <w:vAlign w:val="bottom"/>
            <w:gridSpan w:val="7"/>
          </w:tcPr>
          <w:p>
            <w:pPr>
              <w:spacing w:after="0"/>
              <w:rPr>
                <w:sz w:val="20"/>
                <w:szCs w:val="20"/>
                <w:color w:val="auto"/>
              </w:rPr>
            </w:pPr>
            <w:r>
              <w:rPr>
                <w:rFonts w:ascii="Arial" w:cs="Arial" w:eastAsia="Arial" w:hAnsi="Arial"/>
                <w:sz w:val="18"/>
                <w:szCs w:val="18"/>
                <w:color w:val="auto"/>
              </w:rPr>
              <w:t>The following weighted average assumptions were used to determine pension expense of the respective fiscal years: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4"/>
        </w:trPr>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24"/>
                <w:szCs w:val="24"/>
                <w:color w:val="auto"/>
              </w:rPr>
            </w:pPr>
          </w:p>
        </w:tc>
        <w:tc>
          <w:tcPr>
            <w:tcW w:w="1500" w:type="dxa"/>
            <w:vAlign w:val="bottom"/>
          </w:tcPr>
          <w:p>
            <w:pPr>
              <w:jc w:val="right"/>
              <w:ind w:right="335"/>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1"/>
              </w:rPr>
              <w:t>2.5 %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w:t>
            </w:r>
          </w:p>
        </w:tc>
        <w:tc>
          <w:tcPr>
            <w:tcW w:w="160" w:type="dxa"/>
            <w:vAlign w:val="bottom"/>
          </w:tcPr>
          <w:p>
            <w:pPr>
              <w:spacing w:after="0"/>
              <w:rPr>
                <w:sz w:val="19"/>
                <w:szCs w:val="19"/>
                <w:color w:val="auto"/>
              </w:rPr>
            </w:pP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0.8 %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rate of return on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1"/>
              </w:rPr>
              <w:t>3.3 %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392"/>
        </w:trPr>
        <w:tc>
          <w:tcPr>
            <w:tcW w:w="9540" w:type="dxa"/>
            <w:vAlign w:val="bottom"/>
            <w:gridSpan w:val="7"/>
          </w:tcPr>
          <w:p>
            <w:pPr>
              <w:spacing w:after="0"/>
              <w:rPr>
                <w:sz w:val="20"/>
                <w:szCs w:val="20"/>
                <w:color w:val="auto"/>
              </w:rPr>
            </w:pPr>
            <w:r>
              <w:rPr>
                <w:rFonts w:ascii="Arial" w:cs="Arial" w:eastAsia="Arial" w:hAnsi="Arial"/>
                <w:sz w:val="18"/>
                <w:szCs w:val="18"/>
                <w:color w:val="auto"/>
              </w:rPr>
              <w:t>The following weighted average assumptions were used to determine the funded status of the respective fiscal years:</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4"/>
        </w:trPr>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24"/>
                <w:szCs w:val="24"/>
                <w:color w:val="auto"/>
              </w:rPr>
            </w:pPr>
          </w:p>
        </w:tc>
        <w:tc>
          <w:tcPr>
            <w:tcW w:w="1500" w:type="dxa"/>
            <w:vAlign w:val="bottom"/>
          </w:tcPr>
          <w:p>
            <w:pPr>
              <w:jc w:val="right"/>
              <w:ind w:right="335"/>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2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91"/>
              </w:rPr>
              <w:t>2.1 %</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Rate of compensation increase</w:t>
            </w:r>
          </w:p>
        </w:tc>
        <w:tc>
          <w:tcPr>
            <w:tcW w:w="160" w:type="dxa"/>
            <w:vAlign w:val="bottom"/>
          </w:tcPr>
          <w:p>
            <w:pPr>
              <w:spacing w:after="0"/>
              <w:rPr>
                <w:sz w:val="20"/>
                <w:szCs w:val="20"/>
                <w:color w:val="auto"/>
              </w:rPr>
            </w:pPr>
          </w:p>
        </w:tc>
        <w:tc>
          <w:tcPr>
            <w:tcW w:w="1440" w:type="dxa"/>
            <w:vAlign w:val="bottom"/>
          </w:tcPr>
          <w:p>
            <w:pPr>
              <w:ind w:left="1000"/>
              <w:spacing w:after="0"/>
              <w:rPr>
                <w:sz w:val="20"/>
                <w:szCs w:val="20"/>
                <w:color w:val="auto"/>
              </w:rPr>
            </w:pPr>
            <w:r>
              <w:rPr>
                <w:rFonts w:ascii="Arial" w:cs="Arial" w:eastAsia="Arial" w:hAnsi="Arial"/>
                <w:sz w:val="18"/>
                <w:szCs w:val="18"/>
                <w:color w:val="auto"/>
                <w:w w:val="91"/>
              </w:rPr>
              <w:t>1.6 %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160"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Assumptions, including discount rate, expected return on assets, compensation increases and health care trends, are adjusted annually, as necessary, based on prevailing market conditions and actual experience. The Company applies a spot-rate approach for the discount rate used in the calculation of pension interest and service cost. The spot-rate approach applies separate discount rates for each projected benefit payment in the calculation.</w:t>
      </w:r>
    </w:p>
    <w:p>
      <w:pPr>
        <w:spacing w:after="0" w:line="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accumulated benefit obligation as of October 1, 2021 was $220.2 million. During fiscal 2021, actuarial losses of approximately $6.5 million were recognized in other comprehensive income (before taxes) and $59.1 million of settlement losses and $3.7 million of actuarial losses were recognized as net periodic pension cost during such period.</w:t>
      </w:r>
    </w:p>
    <w:p>
      <w:pPr>
        <w:spacing w:after="0" w:line="4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accumulated benefit obligation as of October 2, 2020 was $435.1 million. During fiscal 2020, settlement gains and actuarial losses of approximately $0.2 million and $33.1 million, respectively, were recognized in other comprehensive loss (before taxes) and $2.3 million of actuarial losses was recognized as net periodic pension cost during such period.</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sets forth information for the Company's single-employer pension plans with an accumulated benefit obligation in excess of plan assets as of October 1, 2021 and October 2, 2020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6"/>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Projected benefit obligation</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153,338</w:t>
            </w:r>
          </w:p>
        </w:tc>
      </w:tr>
      <w:tr>
        <w:trPr>
          <w:trHeight w:val="304"/>
        </w:trPr>
        <w:tc>
          <w:tcPr>
            <w:tcW w:w="7720" w:type="dxa"/>
            <w:vAlign w:val="bottom"/>
          </w:tcPr>
          <w:p>
            <w:pPr>
              <w:ind w:left="20"/>
              <w:spacing w:after="0"/>
              <w:rPr>
                <w:sz w:val="20"/>
                <w:szCs w:val="20"/>
                <w:color w:val="auto"/>
              </w:rPr>
            </w:pPr>
            <w:r>
              <w:rPr>
                <w:rFonts w:ascii="Arial" w:cs="Arial" w:eastAsia="Arial" w:hAnsi="Arial"/>
                <w:sz w:val="18"/>
                <w:szCs w:val="18"/>
                <w:color w:val="auto"/>
              </w:rPr>
              <w:t>Accumulated benefit obligation</w:t>
            </w:r>
            <w:r>
              <w:rPr>
                <w:rFonts w:ascii="Arial" w:cs="Arial" w:eastAsia="Arial" w:hAnsi="Arial"/>
                <w:sz w:val="23"/>
                <w:szCs w:val="23"/>
                <w:color w:val="auto"/>
                <w:vertAlign w:val="superscript"/>
              </w:rPr>
              <w:t>(1)</w:t>
            </w:r>
          </w:p>
        </w:tc>
        <w:tc>
          <w:tcPr>
            <w:tcW w:w="2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152,729</w:t>
            </w:r>
          </w:p>
        </w:tc>
      </w:tr>
    </w:tbl>
    <w:p>
      <w:pPr>
        <w:spacing w:after="0" w:line="127" w:lineRule="exact"/>
        <w:rPr>
          <w:sz w:val="20"/>
          <w:szCs w:val="20"/>
          <w:color w:val="auto"/>
        </w:rPr>
      </w:pPr>
    </w:p>
    <w:p>
      <w:pPr>
        <w:ind w:left="440" w:hanging="414"/>
        <w:spacing w:after="0"/>
        <w:tabs>
          <w:tab w:leader="none" w:pos="4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Decrease driven by the UK plans switching from liability positions in fiscal 2020 to asset positions in fiscal 2021.</w:t>
      </w:r>
    </w:p>
    <w:p>
      <w:pPr>
        <w:spacing w:after="0" w:line="18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Assets of the plans are generally invested with the goal of principal preservation and enhancement over the long-term. The primary goal is total return, consistent with prudent investment management. The Company's investment policies also require an appropriate level of diversification across the asset categories. As the Company contemplates or moves toward the wind down of plans, it may shift toward a more conservative investment approach with a higher proportion of fixed income and cash investments to ensure adequate liquidity at the time of wind down. The current overall capital structure and targeted ranges for asset classes are 30-45% invested in equity securities, 40-65% invested in debt securities and 5-15% in real estate investments and cash and cash equivalents. Performance of the plans is monitored on a regular basis and adjustments of the asset allocations are made when deemed necessary.</w:t>
      </w:r>
    </w:p>
    <w:p>
      <w:pPr>
        <w:spacing w:after="0" w:line="4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weighted-average long-term rate of return on assets has been determined based on an estimated weighted-average of long-term returns of major asset classes, taking into account historical performance of plan assets, the current interest rate environment, plan demographics, acceptable risk levels and the estimated value of active asset management.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fair value of plan assets for the Company's defined benefit pension plans as of October 1, 2021 and October 2, 2020 is as follows (see Note 16 for a description of the fair value levels)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4"/>
                <w:szCs w:val="14"/>
                <w:color w:val="auto"/>
              </w:rPr>
            </w:pPr>
          </w:p>
        </w:tc>
        <w:tc>
          <w:tcPr>
            <w:tcW w:w="15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1, 2021</w:t>
            </w:r>
          </w:p>
        </w:tc>
        <w:tc>
          <w:tcPr>
            <w:tcW w:w="140" w:type="dxa"/>
            <w:vAlign w:val="bottom"/>
          </w:tcPr>
          <w:p>
            <w:pPr>
              <w:spacing w:after="0"/>
              <w:rPr>
                <w:sz w:val="11"/>
                <w:szCs w:val="11"/>
                <w:color w:val="auto"/>
              </w:rPr>
            </w:pPr>
          </w:p>
        </w:tc>
        <w:tc>
          <w:tcPr>
            <w:tcW w:w="16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markets</w:t>
            </w:r>
          </w:p>
        </w:tc>
        <w:tc>
          <w:tcPr>
            <w:tcW w:w="20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1"/>
                <w:szCs w:val="11"/>
                <w:color w:val="auto"/>
              </w:rPr>
            </w:pPr>
          </w:p>
        </w:tc>
        <w:tc>
          <w:tcPr>
            <w:tcW w:w="154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1"/>
              </w:rPr>
              <w:t>unobservable inputs</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154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 trusts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Investment funds: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funds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Arial" w:cs="Arial" w:eastAsia="Arial" w:hAnsi="Arial"/>
                <w:sz w:val="18"/>
                <w:szCs w:val="18"/>
                <w:color w:val="auto"/>
              </w:rPr>
              <w:t>Fixed income funds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115,157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202,989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7"/>
                <w:szCs w:val="17"/>
                <w:color w:val="auto"/>
              </w:rPr>
            </w:pPr>
          </w:p>
        </w:tc>
        <w:tc>
          <w:tcPr>
            <w:tcW w:w="15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October 2, 2020</w:t>
            </w:r>
          </w:p>
        </w:tc>
        <w:tc>
          <w:tcPr>
            <w:tcW w:w="140" w:type="dxa"/>
            <w:vAlign w:val="bottom"/>
          </w:tcPr>
          <w:p>
            <w:pPr>
              <w:spacing w:after="0"/>
              <w:rPr>
                <w:sz w:val="11"/>
                <w:szCs w:val="11"/>
                <w:color w:val="auto"/>
              </w:rPr>
            </w:pPr>
          </w:p>
        </w:tc>
        <w:tc>
          <w:tcPr>
            <w:tcW w:w="16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markets</w:t>
            </w:r>
          </w:p>
        </w:tc>
        <w:tc>
          <w:tcPr>
            <w:tcW w:w="20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160" w:type="dxa"/>
            <w:vAlign w:val="bottom"/>
          </w:tcPr>
          <w:p>
            <w:pPr>
              <w:spacing w:after="0"/>
              <w:rPr>
                <w:sz w:val="11"/>
                <w:szCs w:val="11"/>
                <w:color w:val="auto"/>
              </w:rPr>
            </w:pPr>
          </w:p>
        </w:tc>
        <w:tc>
          <w:tcPr>
            <w:tcW w:w="154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1"/>
              </w:rPr>
              <w:t>unobservable inputs</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6"/>
                <w:szCs w:val="16"/>
                <w:color w:val="auto"/>
              </w:rPr>
            </w:pPr>
          </w:p>
        </w:tc>
        <w:tc>
          <w:tcPr>
            <w:tcW w:w="154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224"/>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 trusts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Investment funds: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funds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tcPr>
          <w:p>
            <w:pPr>
              <w:ind w:left="460"/>
              <w:spacing w:after="0"/>
              <w:rPr>
                <w:sz w:val="20"/>
                <w:szCs w:val="20"/>
                <w:color w:val="auto"/>
              </w:rPr>
            </w:pPr>
            <w:r>
              <w:rPr>
                <w:rFonts w:ascii="Arial" w:cs="Arial" w:eastAsia="Arial" w:hAnsi="Arial"/>
                <w:sz w:val="18"/>
                <w:szCs w:val="18"/>
                <w:color w:val="auto"/>
              </w:rPr>
              <w:t>Fixed income funds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272,349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439,053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347,201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fair value of the investment funds is based on the value of the underlying assets, as reported to the Plan by the trustees. They are comprised of a portfolio of underlying securities that can be valued based on trading information on active markets.</w:t>
      </w:r>
    </w:p>
    <w:p>
      <w:pPr>
        <w:spacing w:after="0" w:line="3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Cash and cash equivalents include direct cash holdings, which are valued based on cost, and short-term deposits and investments in money market funds, for which fair value measurements are all based on quoted prices for similar assets or liabilities in markets that are active. Investments in equity securities and equity funds include publicly-traded domestic companies (approximately 38%) and international companies (approximately 62%) that are diversified across industry, country and stock market capitalization. Investments in fixed income funds primarily consist of international corporate bonds and government securities. For equity securities, the investments are predominantly valued using a market approach based on the closing fair market prices of identical instruments in the principal market on which they are traded. For investment funds, fair value is calculated by applying the Plan's percentage ownership in the fund to the total market value of the account's underlying securities and is therefore categorized as Level 2, as the Plan does not directly own shares in these underlying investments. Substantially all of the real estate investments are in international markets.</w:t>
      </w:r>
    </w:p>
    <w:p>
      <w:pPr>
        <w:spacing w:after="0" w:line="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It is the Company's policy to fund at least the minimum required contributions as outlined in the required statutory actuarial valuation for each plan. The following table sets forth the benefits expected to be paid in the next five fiscal years and in aggregate for the five fiscal years thereafter by the Company's defined benefit pension plans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2022</w:t>
            </w:r>
            <w:r>
              <w:rPr>
                <w:rFonts w:ascii="Arial" w:cs="Arial" w:eastAsia="Arial" w:hAnsi="Arial"/>
                <w:sz w:val="23"/>
                <w:szCs w:val="23"/>
                <w:color w:val="auto"/>
                <w:vertAlign w:val="superscript"/>
              </w:rPr>
              <w:t>(1)</w:t>
            </w:r>
          </w:p>
        </w:tc>
        <w:tc>
          <w:tcPr>
            <w:tcW w:w="4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4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7,210</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4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46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7,825</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46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7,702</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Fiscal 2027 – 2031</w:t>
            </w:r>
          </w:p>
        </w:tc>
        <w:tc>
          <w:tcPr>
            <w:tcW w:w="46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43,625</w:t>
            </w:r>
          </w:p>
        </w:tc>
      </w:tr>
    </w:tbl>
    <w:p>
      <w:pPr>
        <w:spacing w:after="0" w:line="201" w:lineRule="exact"/>
        <w:rPr>
          <w:sz w:val="20"/>
          <w:szCs w:val="20"/>
          <w:color w:val="auto"/>
        </w:rPr>
      </w:pPr>
    </w:p>
    <w:p>
      <w:pPr>
        <w:ind w:left="400" w:hanging="374"/>
        <w:spacing w:after="0"/>
        <w:tabs>
          <w:tab w:leader="none" w:pos="4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Increase driven by expected payout of legacy AmeriPride United States plan.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estimated benefit payments above are based on assumptions about future events. Actual benefit payments may vary significantly from these estimates.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0"/>
        <w:spacing w:after="0" w:line="352" w:lineRule="auto"/>
        <w:rPr>
          <w:sz w:val="20"/>
          <w:szCs w:val="20"/>
          <w:color w:val="auto"/>
        </w:rPr>
      </w:pPr>
      <w:r>
        <w:rPr>
          <w:rFonts w:ascii="Arial" w:cs="Arial" w:eastAsia="Arial" w:hAnsi="Arial"/>
          <w:sz w:val="18"/>
          <w:szCs w:val="18"/>
          <w:color w:val="auto"/>
        </w:rPr>
        <w:t xml:space="preserve">The expected contributions to be paid to the Company's defined benefit pension plans during fiscal 2022 are approximately $6.3 million. </w:t>
      </w:r>
      <w:r>
        <w:rPr>
          <w:rFonts w:ascii="Arial" w:cs="Arial" w:eastAsia="Arial" w:hAnsi="Arial"/>
          <w:sz w:val="18"/>
          <w:szCs w:val="18"/>
          <w:b w:val="1"/>
          <w:bCs w:val="1"/>
          <w:color w:val="auto"/>
        </w:rPr>
        <w:t>Multiemployer Defined Benefit Pension Plans</w:t>
      </w:r>
    </w:p>
    <w:p>
      <w:pPr>
        <w:jc w:val="both"/>
        <w:ind w:right="220"/>
        <w:spacing w:after="0" w:line="263" w:lineRule="auto"/>
        <w:rPr>
          <w:sz w:val="20"/>
          <w:szCs w:val="20"/>
          <w:color w:val="auto"/>
        </w:rPr>
      </w:pPr>
      <w:r>
        <w:rPr>
          <w:rFonts w:ascii="Arial" w:cs="Arial" w:eastAsia="Arial" w:hAnsi="Arial"/>
          <w:sz w:val="18"/>
          <w:szCs w:val="18"/>
          <w:color w:val="auto"/>
        </w:rPr>
        <w:t>The Company contributes to a number of multiemployer defined benefit pension plans under the terms of collective-bargaining agreements ("CBA") that cover its union-represented employees. The risks of participating in these multiemployer plans are different from single-employer plans in the following respects:</w:t>
      </w:r>
    </w:p>
    <w:p>
      <w:pPr>
        <w:spacing w:after="0" w:line="62"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Assets contributed to the multiemployer plan by one employer may be used to provide benefits to employees of other participating employers.</w:t>
      </w:r>
    </w:p>
    <w:p>
      <w:pPr>
        <w:spacing w:after="0" w:line="113" w:lineRule="exact"/>
        <w:rPr>
          <w:rFonts w:ascii="Arial" w:cs="Arial" w:eastAsia="Arial" w:hAnsi="Arial"/>
          <w:sz w:val="16"/>
          <w:szCs w:val="16"/>
          <w:color w:val="auto"/>
        </w:rPr>
      </w:pPr>
    </w:p>
    <w:p>
      <w:pPr>
        <w:ind w:left="660" w:right="58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48" w:lineRule="exact"/>
        <w:rPr>
          <w:rFonts w:ascii="Arial" w:cs="Arial" w:eastAsia="Arial" w:hAnsi="Arial"/>
          <w:sz w:val="18"/>
          <w:szCs w:val="18"/>
          <w:color w:val="auto"/>
        </w:rPr>
      </w:pPr>
    </w:p>
    <w:p>
      <w:pPr>
        <w:ind w:left="660" w:right="420" w:hanging="328"/>
        <w:spacing w:after="0" w:line="277" w:lineRule="auto"/>
        <w:tabs>
          <w:tab w:leader="none" w:pos="6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Company chooses to stop participating in some of its multiemployer plans, the Company may be required to pay those plans an amount based on the underfunded status of the plan, referred to as a withdrawal liability.</w:t>
      </w:r>
    </w:p>
    <w:p>
      <w:pPr>
        <w:spacing w:after="0" w:line="4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Company's participation in these plans for fiscal 2021 is outlined in the table below. The "EIN/Pension Plan Number" column provides the Employee Identification Number (EIN) and the three-digit plan number, if applicable. Unless otherwise noted, the most recent Pension Protection Act (PPA) zone status available in 2021 and 2020 is for the plans' two most recent fiscal year-ends. The zone status is based on information that the Company received from the plan and is certified by the plan's actuary. Among other factors, plans in the critical and declining zone are generally less than 65% funded and projected to become insolvent in the next 15 or 20 years depending on the ratio of active to inactive participants; plans in the critical zone are generally less than 65% funded; plans in the seriously endangered zone are less than 80% funded and are projected to have an accumulated deficiency in the current plan year or the next six plan years; plans in the endangered zone are less than 80% funded or are projected to have an accumulated funding deficiency in the current plan year or the next six plan years; and plans in the green zone are at least 80% funded. The "FIP/RP Status Pending/Implemented" column indicates plans for which a financial improvement plan (FIP) or a rehabilitation plan (RP) is either pending or has been implemented. The last column lists the expiration date(s) of the CBA(s) to which the plans are subject. There have been no significant changes that affect the comparability of fiscal 2021, fiscal 2020 and fiscal 2019 contributions.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Pension Protection</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Contributions by the Company</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Act Zone Status</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FIP/RP Status</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 of</w:t>
            </w:r>
          </w:p>
        </w:tc>
        <w:tc>
          <w:tcPr>
            <w:tcW w:w="0" w:type="dxa"/>
            <w:vAlign w:val="bottom"/>
          </w:tcPr>
          <w:p>
            <w:pPr>
              <w:spacing w:after="0"/>
              <w:rPr>
                <w:sz w:val="1"/>
                <w:szCs w:val="1"/>
                <w:color w:val="auto"/>
              </w:rPr>
            </w:pPr>
          </w:p>
        </w:tc>
      </w:tr>
      <w:tr>
        <w:trPr>
          <w:trHeight w:val="43"/>
        </w:trPr>
        <w:tc>
          <w:tcPr>
            <w:tcW w:w="22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Pension</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EIN/Pension</w:t>
            </w:r>
          </w:p>
        </w:tc>
        <w:tc>
          <w:tcPr>
            <w:tcW w:w="9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Surcharge</w:t>
            </w:r>
          </w:p>
        </w:tc>
        <w:tc>
          <w:tcPr>
            <w:tcW w:w="1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2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2020</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Pending/</w:t>
            </w:r>
          </w:p>
        </w:tc>
        <w:tc>
          <w:tcPr>
            <w:tcW w:w="220" w:type="dxa"/>
            <w:vAlign w:val="bottom"/>
          </w:tcPr>
          <w:p>
            <w:pPr>
              <w:spacing w:after="0"/>
              <w:rPr>
                <w:sz w:val="11"/>
                <w:szCs w:val="11"/>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7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7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920" w:type="dxa"/>
            <w:vAlign w:val="bottom"/>
            <w:vMerge w:val="continue"/>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88"/>
        </w:trPr>
        <w:tc>
          <w:tcPr>
            <w:tcW w:w="228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Fund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Plan Number</w:t>
            </w:r>
          </w:p>
        </w:tc>
        <w:tc>
          <w:tcPr>
            <w:tcW w:w="9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Implemented</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Imposed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Dates of CBAs</w:t>
            </w: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National Retirement Fund</w:t>
            </w:r>
          </w:p>
        </w:tc>
        <w:tc>
          <w:tcPr>
            <w:tcW w:w="10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13-6130178/</w:t>
            </w:r>
          </w:p>
        </w:tc>
        <w:tc>
          <w:tcPr>
            <w:tcW w:w="9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Critical</w:t>
            </w:r>
          </w:p>
        </w:tc>
        <w:tc>
          <w:tcPr>
            <w:tcW w:w="1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8"/>
              </w:rPr>
              <w:t>Critical</w:t>
            </w:r>
          </w:p>
        </w:tc>
        <w:tc>
          <w:tcPr>
            <w:tcW w:w="11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2,579</w:t>
            </w:r>
          </w:p>
        </w:tc>
        <w:tc>
          <w:tcPr>
            <w:tcW w:w="2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3,574</w:t>
            </w:r>
          </w:p>
        </w:tc>
        <w:tc>
          <w:tcPr>
            <w:tcW w:w="24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4,130</w:t>
            </w:r>
          </w:p>
        </w:tc>
        <w:tc>
          <w:tcPr>
            <w:tcW w:w="9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6/5/2020 -</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4/5/2024</w:t>
            </w: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UNITE HERE Retirement Fund</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1"/>
              </w:rPr>
              <w:t>82-0994119/</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rPr>
              <w:t>Critical</w:t>
            </w:r>
          </w:p>
        </w:tc>
        <w:tc>
          <w:tcPr>
            <w:tcW w:w="1000" w:type="dxa"/>
            <w:vAlign w:val="bottom"/>
          </w:tcPr>
          <w:p>
            <w:pPr>
              <w:jc w:val="center"/>
              <w:spacing w:after="0" w:line="135" w:lineRule="exact"/>
              <w:rPr>
                <w:sz w:val="20"/>
                <w:szCs w:val="20"/>
                <w:color w:val="auto"/>
              </w:rPr>
            </w:pPr>
            <w:r>
              <w:rPr>
                <w:rFonts w:ascii="Arial" w:cs="Arial" w:eastAsia="Arial" w:hAnsi="Arial"/>
                <w:sz w:val="14"/>
                <w:szCs w:val="14"/>
                <w:color w:val="auto"/>
                <w:w w:val="98"/>
              </w:rPr>
              <w:t>Critical</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2,699</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3,392</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4,531</w:t>
            </w: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No</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5"/>
              </w:rPr>
              <w:t>3/31/2020 -</w:t>
            </w:r>
          </w:p>
        </w:tc>
        <w:tc>
          <w:tcPr>
            <w:tcW w:w="0" w:type="dxa"/>
            <w:vAlign w:val="bottom"/>
          </w:tcPr>
          <w:p>
            <w:pPr>
              <w:spacing w:after="0"/>
              <w:rPr>
                <w:sz w:val="1"/>
                <w:szCs w:val="1"/>
                <w:color w:val="auto"/>
              </w:rPr>
            </w:pPr>
          </w:p>
        </w:tc>
      </w:tr>
      <w:tr>
        <w:trPr>
          <w:trHeight w:val="186"/>
        </w:trPr>
        <w:tc>
          <w:tcPr>
            <w:tcW w:w="22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12/31/2025</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Local 1102 Retirement Trust</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13-1847329/</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7"/>
              </w:rPr>
              <w:t>Seriously</w:t>
            </w: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Seriously</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66</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110</w:t>
            </w: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9/30/2021</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Endangered</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Endangered</w:t>
            </w: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rPr>
              <w:t>Central States SE and SW Areas</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1"/>
              </w:rPr>
              <w:t>36-6044243/</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7"/>
              </w:rPr>
              <w:t>Critical and</w:t>
            </w:r>
          </w:p>
        </w:tc>
        <w:tc>
          <w:tcPr>
            <w:tcW w:w="1000" w:type="dxa"/>
            <w:vAlign w:val="bottom"/>
          </w:tcPr>
          <w:p>
            <w:pPr>
              <w:jc w:val="center"/>
              <w:spacing w:after="0" w:line="135" w:lineRule="exact"/>
              <w:rPr>
                <w:sz w:val="20"/>
                <w:szCs w:val="20"/>
                <w:color w:val="auto"/>
              </w:rPr>
            </w:pPr>
            <w:r>
              <w:rPr>
                <w:rFonts w:ascii="Arial" w:cs="Arial" w:eastAsia="Arial" w:hAnsi="Arial"/>
                <w:sz w:val="14"/>
                <w:szCs w:val="14"/>
                <w:color w:val="auto"/>
                <w:w w:val="97"/>
              </w:rPr>
              <w:t>Critical and</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3,994</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4,422</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4,282</w:t>
            </w: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No</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5"/>
              </w:rPr>
              <w:t>1/31/2007 -</w:t>
            </w:r>
          </w:p>
        </w:tc>
        <w:tc>
          <w:tcPr>
            <w:tcW w:w="0" w:type="dxa"/>
            <w:vAlign w:val="bottom"/>
          </w:tcPr>
          <w:p>
            <w:pPr>
              <w:spacing w:after="0"/>
              <w:rPr>
                <w:sz w:val="1"/>
                <w:szCs w:val="1"/>
                <w:color w:val="auto"/>
              </w:rPr>
            </w:pPr>
          </w:p>
        </w:tc>
      </w:tr>
      <w:tr>
        <w:trPr>
          <w:trHeight w:val="186"/>
        </w:trPr>
        <w:tc>
          <w:tcPr>
            <w:tcW w:w="2280" w:type="dxa"/>
            <w:vAlign w:val="bottom"/>
          </w:tcPr>
          <w:p>
            <w:pPr>
              <w:ind w:left="20"/>
              <w:spacing w:after="0"/>
              <w:rPr>
                <w:sz w:val="20"/>
                <w:szCs w:val="20"/>
                <w:color w:val="auto"/>
              </w:rPr>
            </w:pPr>
            <w:r>
              <w:rPr>
                <w:rFonts w:ascii="Arial" w:cs="Arial" w:eastAsia="Arial" w:hAnsi="Arial"/>
                <w:sz w:val="14"/>
                <w:szCs w:val="14"/>
                <w:color w:val="auto"/>
              </w:rPr>
              <w:t>Pension Plan</w:t>
            </w:r>
          </w:p>
        </w:tc>
        <w:tc>
          <w:tcPr>
            <w:tcW w:w="1020" w:type="dxa"/>
            <w:vAlign w:val="bottom"/>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tcPr>
          <w:p>
            <w:pPr>
              <w:jc w:val="center"/>
              <w:spacing w:after="0"/>
              <w:rPr>
                <w:sz w:val="20"/>
                <w:szCs w:val="20"/>
                <w:color w:val="auto"/>
              </w:rPr>
            </w:pPr>
            <w:r>
              <w:rPr>
                <w:rFonts w:ascii="Arial" w:cs="Arial" w:eastAsia="Arial" w:hAnsi="Arial"/>
                <w:sz w:val="14"/>
                <w:szCs w:val="14"/>
                <w:color w:val="auto"/>
                <w:w w:val="97"/>
              </w:rPr>
              <w:t>Declining</w:t>
            </w:r>
          </w:p>
        </w:tc>
        <w:tc>
          <w:tcPr>
            <w:tcW w:w="1000" w:type="dxa"/>
            <w:vAlign w:val="bottom"/>
          </w:tcPr>
          <w:p>
            <w:pPr>
              <w:jc w:val="center"/>
              <w:spacing w:after="0"/>
              <w:rPr>
                <w:sz w:val="20"/>
                <w:szCs w:val="20"/>
                <w:color w:val="auto"/>
              </w:rPr>
            </w:pPr>
            <w:r>
              <w:rPr>
                <w:rFonts w:ascii="Arial" w:cs="Arial" w:eastAsia="Arial" w:hAnsi="Arial"/>
                <w:sz w:val="14"/>
                <w:szCs w:val="14"/>
                <w:color w:val="auto"/>
              </w:rPr>
              <w:t>Declining</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5"/>
              </w:rPr>
              <w:t>4/7/2023</w:t>
            </w: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Pension Plan for Hospital &amp; Health</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23-2627428/</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Critical</w:t>
            </w: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8"/>
              </w:rPr>
              <w:t>Critical</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354</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361</w:t>
            </w: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1/31/2023</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Care Employees Philadelphia &amp;</w:t>
            </w:r>
          </w:p>
        </w:tc>
        <w:tc>
          <w:tcPr>
            <w:tcW w:w="102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Vicinity</w:t>
            </w:r>
          </w:p>
        </w:tc>
        <w:tc>
          <w:tcPr>
            <w:tcW w:w="10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80" w:type="dxa"/>
            <w:vAlign w:val="bottom"/>
          </w:tcPr>
          <w:p>
            <w:pPr>
              <w:ind w:left="20"/>
              <w:spacing w:after="0" w:line="135" w:lineRule="exact"/>
              <w:rPr>
                <w:sz w:val="20"/>
                <w:szCs w:val="20"/>
                <w:color w:val="auto"/>
              </w:rPr>
            </w:pPr>
            <w:r>
              <w:rPr>
                <w:rFonts w:ascii="Arial" w:cs="Arial" w:eastAsia="Arial" w:hAnsi="Arial"/>
                <w:sz w:val="14"/>
                <w:szCs w:val="14"/>
                <w:color w:val="auto"/>
                <w:w w:val="96"/>
              </w:rPr>
              <w:t>SEIU National Industry Pension Fund</w:t>
            </w:r>
          </w:p>
        </w:tc>
        <w:tc>
          <w:tcPr>
            <w:tcW w:w="1020" w:type="dxa"/>
            <w:vAlign w:val="bottom"/>
          </w:tcPr>
          <w:p>
            <w:pPr>
              <w:jc w:val="center"/>
              <w:spacing w:after="0" w:line="135" w:lineRule="exact"/>
              <w:rPr>
                <w:sz w:val="20"/>
                <w:szCs w:val="20"/>
                <w:color w:val="auto"/>
              </w:rPr>
            </w:pPr>
            <w:r>
              <w:rPr>
                <w:rFonts w:ascii="Arial" w:cs="Arial" w:eastAsia="Arial" w:hAnsi="Arial"/>
                <w:sz w:val="14"/>
                <w:szCs w:val="14"/>
                <w:color w:val="auto"/>
                <w:w w:val="91"/>
              </w:rPr>
              <w:t>52-6148540/</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rPr>
              <w:t>Critical</w:t>
            </w:r>
          </w:p>
        </w:tc>
        <w:tc>
          <w:tcPr>
            <w:tcW w:w="1000" w:type="dxa"/>
            <w:vAlign w:val="bottom"/>
          </w:tcPr>
          <w:p>
            <w:pPr>
              <w:jc w:val="center"/>
              <w:spacing w:after="0" w:line="135" w:lineRule="exact"/>
              <w:rPr>
                <w:sz w:val="20"/>
                <w:szCs w:val="20"/>
                <w:color w:val="auto"/>
              </w:rPr>
            </w:pPr>
            <w:r>
              <w:rPr>
                <w:rFonts w:ascii="Arial" w:cs="Arial" w:eastAsia="Arial" w:hAnsi="Arial"/>
                <w:sz w:val="14"/>
                <w:szCs w:val="14"/>
                <w:color w:val="auto"/>
                <w:w w:val="98"/>
              </w:rPr>
              <w:t>Critical</w:t>
            </w: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93"/>
              </w:rPr>
              <w:t>Implemented</w:t>
            </w:r>
          </w:p>
        </w:tc>
        <w:tc>
          <w:tcPr>
            <w:tcW w:w="2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750</w:t>
            </w:r>
          </w:p>
        </w:tc>
        <w:tc>
          <w:tcPr>
            <w:tcW w:w="2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685</w:t>
            </w:r>
          </w:p>
        </w:tc>
        <w:tc>
          <w:tcPr>
            <w:tcW w:w="2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4"/>
                <w:szCs w:val="14"/>
                <w:color w:val="auto"/>
              </w:rPr>
              <w:t>623</w:t>
            </w:r>
          </w:p>
        </w:tc>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No</w:t>
            </w:r>
          </w:p>
        </w:tc>
        <w:tc>
          <w:tcPr>
            <w:tcW w:w="1060" w:type="dxa"/>
            <w:vAlign w:val="bottom"/>
          </w:tcPr>
          <w:p>
            <w:pPr>
              <w:jc w:val="center"/>
              <w:spacing w:after="0" w:line="135" w:lineRule="exact"/>
              <w:rPr>
                <w:sz w:val="20"/>
                <w:szCs w:val="20"/>
                <w:color w:val="auto"/>
              </w:rPr>
            </w:pPr>
            <w:r>
              <w:rPr>
                <w:rFonts w:ascii="Arial" w:cs="Arial" w:eastAsia="Arial" w:hAnsi="Arial"/>
                <w:sz w:val="14"/>
                <w:szCs w:val="14"/>
                <w:color w:val="auto"/>
                <w:w w:val="95"/>
              </w:rPr>
              <w:t>4/14/2022 -</w:t>
            </w:r>
          </w:p>
        </w:tc>
        <w:tc>
          <w:tcPr>
            <w:tcW w:w="0" w:type="dxa"/>
            <w:vAlign w:val="bottom"/>
          </w:tcPr>
          <w:p>
            <w:pPr>
              <w:spacing w:after="0"/>
              <w:rPr>
                <w:sz w:val="1"/>
                <w:szCs w:val="1"/>
                <w:color w:val="auto"/>
              </w:rPr>
            </w:pPr>
          </w:p>
        </w:tc>
      </w:tr>
      <w:tr>
        <w:trPr>
          <w:trHeight w:val="119"/>
        </w:trPr>
        <w:tc>
          <w:tcPr>
            <w:tcW w:w="2280" w:type="dxa"/>
            <w:vAlign w:val="bottom"/>
          </w:tcPr>
          <w:p>
            <w:pPr>
              <w:ind w:left="20"/>
              <w:spacing w:after="0"/>
              <w:rPr>
                <w:sz w:val="20"/>
                <w:szCs w:val="20"/>
                <w:color w:val="auto"/>
              </w:rPr>
            </w:pPr>
            <w:r>
              <w:rPr>
                <w:rFonts w:ascii="Arial" w:cs="Arial" w:eastAsia="Arial" w:hAnsi="Arial"/>
                <w:sz w:val="9"/>
                <w:szCs w:val="9"/>
                <w:color w:val="auto"/>
              </w:rPr>
              <w:t>(1)</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w w:val="91"/>
              </w:rPr>
              <w:t>12/31/2023</w:t>
            </w: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2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LIUNA National Industrial Pension</w:t>
            </w:r>
          </w:p>
        </w:tc>
        <w:tc>
          <w:tcPr>
            <w:tcW w:w="10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1"/>
              </w:rPr>
              <w:t>52-6074345/</w:t>
            </w:r>
          </w:p>
        </w:tc>
        <w:tc>
          <w:tcPr>
            <w:tcW w:w="9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2"/>
              </w:rPr>
              <w:t>Green</w:t>
            </w:r>
          </w:p>
        </w:tc>
        <w:tc>
          <w:tcPr>
            <w:tcW w:w="10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Green</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3"/>
              </w:rPr>
              <w:t>Implemented</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777</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674</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678</w:t>
            </w: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No</w:t>
            </w:r>
          </w:p>
        </w:tc>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6/30/2021</w:t>
            </w:r>
          </w:p>
        </w:tc>
        <w:tc>
          <w:tcPr>
            <w:tcW w:w="0" w:type="dxa"/>
            <w:vAlign w:val="bottom"/>
          </w:tcPr>
          <w:p>
            <w:pPr>
              <w:spacing w:after="0"/>
              <w:rPr>
                <w:sz w:val="1"/>
                <w:szCs w:val="1"/>
                <w:color w:val="auto"/>
              </w:rPr>
            </w:pPr>
          </w:p>
        </w:tc>
      </w:tr>
      <w:tr>
        <w:trPr>
          <w:trHeight w:val="189"/>
        </w:trPr>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Fund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001</w:t>
            </w:r>
          </w:p>
        </w:tc>
        <w:tc>
          <w:tcPr>
            <w:tcW w:w="9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funds</w:t>
            </w:r>
          </w:p>
        </w:tc>
        <w:tc>
          <w:tcPr>
            <w:tcW w:w="10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15,728</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17,073</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18,846</w:t>
            </w:r>
          </w:p>
        </w:tc>
        <w:tc>
          <w:tcPr>
            <w:tcW w:w="9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contributions</w:t>
            </w:r>
          </w:p>
        </w:tc>
        <w:tc>
          <w:tcPr>
            <w:tcW w:w="10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26,903</w:t>
            </w: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30,211</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33,561</w:t>
            </w:r>
          </w:p>
        </w:tc>
        <w:tc>
          <w:tcPr>
            <w:tcW w:w="9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00" w:hanging="374"/>
        <w:spacing w:after="0"/>
        <w:tabs>
          <w:tab w:leader="none" w:pos="400" w:val="left"/>
        </w:tabs>
        <w:numPr>
          <w:ilvl w:val="0"/>
          <w:numId w:val="64"/>
        </w:numPr>
        <w:rPr>
          <w:rFonts w:ascii="Arial" w:cs="Arial" w:eastAsia="Arial" w:hAnsi="Arial"/>
          <w:sz w:val="13"/>
          <w:szCs w:val="13"/>
          <w:color w:val="auto"/>
        </w:rPr>
      </w:pPr>
      <w:r>
        <w:rPr>
          <w:rFonts w:ascii="Arial" w:cs="Arial" w:eastAsia="Arial" w:hAnsi="Arial"/>
          <w:sz w:val="13"/>
          <w:szCs w:val="13"/>
          <w:color w:val="auto"/>
        </w:rPr>
        <w:t>Over 75% of the Company's participants in this fund are covered by a single CBA that expires on 12/31/2023.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provided more than 5 percent of the total contributions for the following plans and plan years: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Pension</w:t>
            </w:r>
          </w:p>
        </w:tc>
        <w:tc>
          <w:tcPr>
            <w:tcW w:w="5320" w:type="dxa"/>
            <w:vAlign w:val="bottom"/>
          </w:tcPr>
          <w:p>
            <w:pPr>
              <w:jc w:val="center"/>
              <w:spacing w:after="0"/>
              <w:rPr>
                <w:sz w:val="20"/>
                <w:szCs w:val="20"/>
                <w:color w:val="auto"/>
              </w:rPr>
            </w:pPr>
            <w:r>
              <w:rPr>
                <w:rFonts w:ascii="Arial" w:cs="Arial" w:eastAsia="Arial" w:hAnsi="Arial"/>
                <w:sz w:val="16"/>
                <w:szCs w:val="16"/>
                <w:b w:val="1"/>
                <w:bCs w:val="1"/>
                <w:color w:val="auto"/>
                <w:w w:val="91"/>
              </w:rPr>
              <w:t>Contributions to the plan exceeded more than 5% of total contributions (as</w:t>
            </w:r>
          </w:p>
        </w:tc>
      </w:tr>
      <w:tr>
        <w:trPr>
          <w:trHeight w:val="213"/>
        </w:trPr>
        <w:tc>
          <w:tcPr>
            <w:tcW w:w="5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Fund</w:t>
            </w:r>
          </w:p>
        </w:tc>
        <w:tc>
          <w:tcPr>
            <w:tcW w:w="5320" w:type="dxa"/>
            <w:vAlign w:val="bottom"/>
          </w:tcPr>
          <w:p>
            <w:pPr>
              <w:jc w:val="center"/>
              <w:spacing w:after="0"/>
              <w:rPr>
                <w:sz w:val="20"/>
                <w:szCs w:val="20"/>
                <w:color w:val="auto"/>
              </w:rPr>
            </w:pPr>
            <w:r>
              <w:rPr>
                <w:rFonts w:ascii="Arial" w:cs="Arial" w:eastAsia="Arial" w:hAnsi="Arial"/>
                <w:sz w:val="16"/>
                <w:szCs w:val="16"/>
                <w:b w:val="1"/>
                <w:bCs w:val="1"/>
                <w:color w:val="auto"/>
                <w:w w:val="91"/>
              </w:rPr>
              <w:t>of the plan's year-end)</w:t>
            </w:r>
          </w:p>
        </w:tc>
      </w:tr>
      <w:tr>
        <w:trPr>
          <w:trHeight w:val="185"/>
        </w:trPr>
        <w:tc>
          <w:tcPr>
            <w:tcW w:w="5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Local 1102 Retirement Trust</w:t>
            </w:r>
          </w:p>
        </w:tc>
        <w:tc>
          <w:tcPr>
            <w:tcW w:w="100" w:type="dxa"/>
            <w:vAlign w:val="bottom"/>
            <w:tcBorders>
              <w:top w:val="single" w:sz="8" w:color="CCEEFF"/>
            </w:tcBorders>
            <w:shd w:val="clear" w:color="auto" w:fill="CCEEFF"/>
          </w:tcPr>
          <w:p>
            <w:pPr>
              <w:spacing w:after="0"/>
              <w:rPr>
                <w:sz w:val="16"/>
                <w:szCs w:val="16"/>
                <w:color w:val="auto"/>
              </w:rPr>
            </w:pPr>
          </w:p>
        </w:tc>
        <w:tc>
          <w:tcPr>
            <w:tcW w:w="5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12/31/2019 and 12/31/2018</w:t>
            </w:r>
          </w:p>
        </w:tc>
      </w:tr>
      <w:tr>
        <w:trPr>
          <w:trHeight w:val="182"/>
        </w:trPr>
        <w:tc>
          <w:tcPr>
            <w:tcW w:w="5920" w:type="dxa"/>
            <w:vAlign w:val="bottom"/>
            <w:gridSpan w:val="2"/>
          </w:tcPr>
          <w:p>
            <w:pPr>
              <w:ind w:left="20"/>
              <w:spacing w:after="0"/>
              <w:rPr>
                <w:sz w:val="20"/>
                <w:szCs w:val="20"/>
                <w:color w:val="auto"/>
              </w:rPr>
            </w:pPr>
            <w:r>
              <w:rPr>
                <w:rFonts w:ascii="Arial" w:cs="Arial" w:eastAsia="Arial" w:hAnsi="Arial"/>
                <w:sz w:val="14"/>
                <w:szCs w:val="14"/>
                <w:color w:val="auto"/>
              </w:rPr>
              <w:t>National Retirement Fund</w:t>
            </w:r>
          </w:p>
        </w:tc>
        <w:tc>
          <w:tcPr>
            <w:tcW w:w="5320" w:type="dxa"/>
            <w:vAlign w:val="bottom"/>
          </w:tcPr>
          <w:p>
            <w:pPr>
              <w:jc w:val="center"/>
              <w:spacing w:after="0"/>
              <w:rPr>
                <w:sz w:val="20"/>
                <w:szCs w:val="20"/>
                <w:color w:val="auto"/>
              </w:rPr>
            </w:pPr>
            <w:r>
              <w:rPr>
                <w:rFonts w:ascii="Arial" w:cs="Arial" w:eastAsia="Arial" w:hAnsi="Arial"/>
                <w:sz w:val="14"/>
                <w:szCs w:val="14"/>
                <w:color w:val="auto"/>
                <w:w w:val="93"/>
              </w:rPr>
              <w:t>12/31/2019 and 12/31/2018</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At the date the Company's financial statements were issued, Forms 5500 were not available for the plan years ending in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accounts for income taxes using the asset and liability method. Under this method, the (benefit) provision for income taxes represents income taxes payable or refundable for the current year plus the change in deferred taxes during the year. Deferred taxes result from differences between the financial and tax bases in assets and liabilities and are adjusted for changes in tax rates and enacted tax legislation. Valuation allowances are recorded to reduce deferred tax assets ("DTAs") when it is more likely than not that a tax benefit will not be realized.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Income Before Income Taxes by source of (loss) income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1, 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October 2, 2020</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(147,735)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418,902</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Non-United States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137,270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(132,852)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556,172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(Benefit) Provision for Income Taxes consists of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October 1, 2021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27, 2019</w:t>
            </w:r>
          </w:p>
        </w:tc>
        <w:tc>
          <w:tcPr>
            <w:tcW w:w="0" w:type="dxa"/>
            <w:vAlign w:val="bottom"/>
          </w:tcPr>
          <w:p>
            <w:pPr>
              <w:spacing w:after="0"/>
              <w:rPr>
                <w:sz w:val="1"/>
                <w:szCs w:val="1"/>
                <w:color w:val="auto"/>
              </w:rPr>
            </w:pPr>
          </w:p>
        </w:tc>
      </w:tr>
      <w:tr>
        <w:trPr>
          <w:trHeight w:val="211"/>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460"/>
              <w:spacing w:after="0"/>
              <w:rPr>
                <w:sz w:val="20"/>
                <w:szCs w:val="20"/>
                <w:color w:val="auto"/>
              </w:rPr>
            </w:pPr>
            <w:r>
              <w:rPr>
                <w:rFonts w:ascii="Arial" w:cs="Arial" w:eastAsia="Arial" w:hAnsi="Arial"/>
                <w:sz w:val="18"/>
                <w:szCs w:val="18"/>
                <w:color w:val="auto"/>
              </w:rPr>
              <w:t>Federal</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(18,245)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(69,399)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8,781</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19,966</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Non-United States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38,456</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67,203</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35,251</w:t>
            </w:r>
          </w:p>
        </w:tc>
        <w:tc>
          <w:tcPr>
            <w:tcW w:w="0" w:type="dxa"/>
            <w:vAlign w:val="bottom"/>
          </w:tcPr>
          <w:p>
            <w:pPr>
              <w:spacing w:after="0"/>
              <w:rPr>
                <w:sz w:val="1"/>
                <w:szCs w:val="1"/>
                <w:color w:val="auto"/>
              </w:rPr>
            </w:pPr>
          </w:p>
        </w:tc>
      </w:tr>
      <w:tr>
        <w:trPr>
          <w:trHeight w:val="230"/>
        </w:trPr>
        <w:tc>
          <w:tcPr>
            <w:tcW w:w="5940" w:type="dxa"/>
            <w:vAlign w:val="bottom"/>
          </w:tcPr>
          <w:p>
            <w:pPr>
              <w:ind w:left="46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(11,652)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Non-United States</w:t>
            </w: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107,706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During fiscal 2021, the Current (Benefit) Provision for Income Taxes includes $16.7 million of tax expense related to an increase in unrecognized tax benefits, offset by a tax benefit of $13.8 million to the Deferred (Benefit) Provision for Income Taxes related to a corresponding decrease in deferred tax liabilities, resulting in a net tax expense to the (Benefit) Provision for Income Taxes of $2.9 million related to unrecognized tax benefits.</w:t>
      </w:r>
    </w:p>
    <w:p>
      <w:pPr>
        <w:spacing w:after="0" w:line="2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Current taxes receivable of $23.5 million and $123.6 million at October 1, 2021 and October 2, 2020, respectively, are included in "Prepayments and other current assets" on the Consolidated Balance Sheets. Current income taxes payable of $0.3 million and $3.1 million at October 1, 2021 and October 2, 2020, respectively, are included in "Accrued expenses and other current liabilities" on the Consolidated Balance Sheets. During fiscal 2021, the Company received approximately $93.6 million of proceeds related to the fiscal 2020 income tax return from the net operating losses ("NOLs") generated in fiscal 2020 as a result of the CARES Act.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(Benefit) Provision for Income Taxes varies from the amount determined by applying the United States Federal statutory rate to (Loss) Income Before Income Taxes as a result of the following (all percentages are as a percentage of (Loss) Income Before Income Taxes):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1800" w:type="dxa"/>
            <w:vAlign w:val="bottom"/>
            <w:tcBorders>
              <w:bottom w:val="single" w:sz="8" w:color="auto"/>
            </w:tcBorders>
          </w:tcPr>
          <w:p>
            <w:pPr>
              <w:spacing w:after="0"/>
              <w:rPr>
                <w:sz w:val="16"/>
                <w:szCs w:val="16"/>
                <w:color w:val="auto"/>
              </w:rPr>
            </w:pPr>
          </w:p>
        </w:tc>
      </w:tr>
      <w:tr>
        <w:trPr>
          <w:trHeight w:val="187"/>
        </w:trPr>
        <w:tc>
          <w:tcPr>
            <w:tcW w:w="5700" w:type="dxa"/>
            <w:vAlign w:val="bottom"/>
          </w:tcPr>
          <w:p>
            <w:pPr>
              <w:spacing w:after="0"/>
              <w:rPr>
                <w:sz w:val="16"/>
                <w:szCs w:val="16"/>
                <w:color w:val="auto"/>
              </w:rPr>
            </w:pPr>
          </w:p>
        </w:tc>
        <w:tc>
          <w:tcPr>
            <w:tcW w:w="1860" w:type="dxa"/>
            <w:vAlign w:val="bottom"/>
            <w:gridSpan w:val="2"/>
          </w:tcPr>
          <w:p>
            <w:pPr>
              <w:ind w:left="400"/>
              <w:spacing w:after="0"/>
              <w:rPr>
                <w:sz w:val="20"/>
                <w:szCs w:val="20"/>
                <w:color w:val="auto"/>
              </w:rPr>
            </w:pPr>
            <w:r>
              <w:rPr>
                <w:rFonts w:ascii="Arial" w:cs="Arial" w:eastAsia="Arial" w:hAnsi="Arial"/>
                <w:sz w:val="14"/>
                <w:szCs w:val="14"/>
                <w:b w:val="1"/>
                <w:bCs w:val="1"/>
                <w:color w:val="auto"/>
              </w:rPr>
              <w:t>October 1, 2021</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October 2, 2020</w:t>
            </w:r>
          </w:p>
        </w:tc>
        <w:tc>
          <w:tcPr>
            <w:tcW w:w="180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27, 2019</w:t>
            </w:r>
          </w:p>
        </w:tc>
      </w:tr>
      <w:tr>
        <w:trPr>
          <w:trHeight w:val="224"/>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 statutory income tax rate</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Increase (decrease) in taxes, resulting from:</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 income taxes, net of Federal tax benefit</w:t>
            </w:r>
          </w:p>
        </w:tc>
        <w:tc>
          <w:tcPr>
            <w:tcW w:w="1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r>
      <w:tr>
        <w:trPr>
          <w:trHeight w:val="229"/>
        </w:trPr>
        <w:tc>
          <w:tcPr>
            <w:tcW w:w="5700" w:type="dxa"/>
            <w:vAlign w:val="bottom"/>
          </w:tcPr>
          <w:p>
            <w:pPr>
              <w:ind w:left="460"/>
              <w:spacing w:after="0" w:line="230" w:lineRule="exact"/>
              <w:rPr>
                <w:sz w:val="20"/>
                <w:szCs w:val="20"/>
                <w:color w:val="auto"/>
              </w:rPr>
            </w:pPr>
            <w:r>
              <w:rPr>
                <w:rFonts w:ascii="Arial" w:cs="Arial" w:eastAsia="Arial" w:hAnsi="Arial"/>
                <w:sz w:val="18"/>
                <w:szCs w:val="18"/>
                <w:color w:val="auto"/>
              </w:rPr>
              <w:t>Foreign taxes</w:t>
            </w:r>
            <w:r>
              <w:rPr>
                <w:rFonts w:ascii="Arial" w:cs="Arial" w:eastAsia="Arial" w:hAnsi="Arial"/>
                <w:sz w:val="23"/>
                <w:szCs w:val="23"/>
                <w:color w:val="auto"/>
                <w:vertAlign w:val="superscript"/>
              </w:rPr>
              <w:t>(1)</w:t>
            </w:r>
          </w:p>
        </w:tc>
        <w:tc>
          <w:tcPr>
            <w:tcW w:w="1760" w:type="dxa"/>
            <w:vAlign w:val="bottom"/>
          </w:tcPr>
          <w:p>
            <w:pPr>
              <w:jc w:val="right"/>
              <w:ind w:right="1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2.2</w:t>
            </w:r>
          </w:p>
        </w:tc>
      </w:tr>
      <w:tr>
        <w:trPr>
          <w:trHeight w:val="230"/>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valuation allowances</w:t>
            </w: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Pr>
          <w:p>
            <w:pPr>
              <w:ind w:left="460"/>
              <w:spacing w:after="0"/>
              <w:rPr>
                <w:sz w:val="20"/>
                <w:szCs w:val="20"/>
                <w:color w:val="auto"/>
              </w:rPr>
            </w:pPr>
            <w:r>
              <w:rPr>
                <w:rFonts w:ascii="Arial" w:cs="Arial" w:eastAsia="Arial" w:hAnsi="Arial"/>
                <w:sz w:val="18"/>
                <w:szCs w:val="18"/>
                <w:color w:val="auto"/>
              </w:rPr>
              <w:t>Foreign goodwill impairment</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Permanent book/tax differences</w:t>
            </w: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Uncertain tax positions</w:t>
            </w:r>
          </w:p>
        </w:tc>
        <w:tc>
          <w:tcPr>
            <w:tcW w:w="1760" w:type="dxa"/>
            <w:vAlign w:val="bottom"/>
          </w:tcPr>
          <w:p>
            <w:pPr>
              <w:jc w:val="right"/>
              <w:ind w:right="9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tax credit valuation allowance</w:t>
            </w:r>
          </w:p>
        </w:tc>
        <w:tc>
          <w:tcPr>
            <w:tcW w:w="1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r>
      <w:tr>
        <w:trPr>
          <w:trHeight w:val="230"/>
        </w:trPr>
        <w:tc>
          <w:tcPr>
            <w:tcW w:w="5700" w:type="dxa"/>
            <w:vAlign w:val="bottom"/>
          </w:tcPr>
          <w:p>
            <w:pPr>
              <w:ind w:left="460"/>
              <w:spacing w:after="0"/>
              <w:rPr>
                <w:sz w:val="20"/>
                <w:szCs w:val="20"/>
                <w:color w:val="auto"/>
              </w:rPr>
            </w:pPr>
            <w:r>
              <w:rPr>
                <w:rFonts w:ascii="Arial" w:cs="Arial" w:eastAsia="Arial" w:hAnsi="Arial"/>
                <w:sz w:val="18"/>
                <w:szCs w:val="18"/>
                <w:color w:val="auto"/>
              </w:rPr>
              <w:t>Stock compensation</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29"/>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CARES Act - Carryback rate differential</w:t>
            </w:r>
          </w:p>
        </w:tc>
        <w:tc>
          <w:tcPr>
            <w:tcW w:w="1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Pr>
          <w:p>
            <w:pPr>
              <w:ind w:left="460"/>
              <w:spacing w:after="0"/>
              <w:rPr>
                <w:sz w:val="20"/>
                <w:szCs w:val="20"/>
                <w:color w:val="auto"/>
              </w:rPr>
            </w:pPr>
            <w:r>
              <w:rPr>
                <w:rFonts w:ascii="Arial" w:cs="Arial" w:eastAsia="Arial" w:hAnsi="Arial"/>
                <w:sz w:val="18"/>
                <w:szCs w:val="18"/>
                <w:color w:val="auto"/>
              </w:rPr>
              <w:t>Divestiture of HCT</w:t>
            </w:r>
          </w:p>
        </w:tc>
        <w:tc>
          <w:tcPr>
            <w:tcW w:w="1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91"/>
              <w:spacing w:after="0"/>
              <w:rPr>
                <w:sz w:val="20"/>
                <w:szCs w:val="20"/>
                <w:color w:val="auto"/>
              </w:rPr>
            </w:pPr>
            <w:r>
              <w:rPr>
                <w:rFonts w:ascii="Arial" w:cs="Arial" w:eastAsia="Arial" w:hAnsi="Arial"/>
                <w:sz w:val="18"/>
                <w:szCs w:val="18"/>
                <w:color w:val="auto"/>
              </w:rPr>
              <w:t>(4.4)</w:t>
            </w:r>
          </w:p>
        </w:tc>
      </w:tr>
      <w:tr>
        <w:trPr>
          <w:trHeight w:val="230"/>
        </w:trPr>
        <w:tc>
          <w:tcPr>
            <w:tcW w:w="5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Canada Defined Benefit Pension Plan Termination</w:t>
            </w:r>
          </w:p>
        </w:tc>
        <w:tc>
          <w:tcPr>
            <w:tcW w:w="17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5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Tax credits &amp; other</w:t>
            </w:r>
          </w:p>
        </w:tc>
        <w:tc>
          <w:tcPr>
            <w:tcW w:w="17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(1.7)</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60" w:right="200" w:hanging="334"/>
        <w:spacing w:after="0" w:line="226" w:lineRule="auto"/>
        <w:tabs>
          <w:tab w:leader="none" w:pos="3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Includes differences between the United States statutory tax rate and tax rates in foreign jurisdictions, foreign withholding taxes, taxation of foreign earnings and the tax on "Global Intangible Low-Taxed Income" ("GILTI").</w:t>
      </w:r>
    </w:p>
    <w:p>
      <w:pPr>
        <w:spacing w:after="0" w:line="1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effective tax rate is based on expected income, statutory tax rates and tax planning opportunities available to the Company in the various jurisdictions in which it operates. Judgment is required in determining the effective tax rate and in evaluating the tax return positions. Reserves are established when positions are "more likely than not" to be challenged and not sustained. Reserves are adjusted at each financial statement date to reflect the impact of audit settlements, expiration of statutes of limitation, developments in tax law and ongoing discussions with tax authorities. Accrued interest and penalties associated with uncertain tax positions are recognized as part of the income tax provision.</w:t>
      </w:r>
    </w:p>
    <w:p>
      <w:pPr>
        <w:spacing w:after="0" w:line="5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considers existing evidence, both positive and negative, that could impact the need for valuation allowances against DTAs. Based on cumulative losses in fiscal 2021 as negative evidence, the Company recorded a valuation allowance against DTAs of certain foreign subsidiaries of approximately $22.0 million to the (Benefit) Provision for Income Taxes on the Consolidated Statements of (Loss) Income during fiscal 2021. The Company continues to monitor operating performance in light of COVID-19 and believes that based on future reversals of deferred tax liabilities ("DTLs") and future taxable income, it is more likely than not that the remaining NOL carryforwards and DTAs will be realized.</w:t>
      </w:r>
    </w:p>
    <w:p>
      <w:pPr>
        <w:spacing w:after="0" w:line="4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fiscal 2021, the Company recorded, as a result of the CARES Act, a net benefit to the (Benefit) Provision for Income Taxes of approximately $12.0 million, of which $50.3 million reflects the NOLs expected to be carried back to Pre-Tax Cuts and Jobs Act ("TCJA") years at 35.0% as opposed to the current year rate of 21.0%, which more than offsets the $36.5 million valuation allowance on DTAs related to foreign tax credit ("FTC") carryforwards and $1.8 million of tax benefits eliminated by the NOLs carried back. For the fiscal year ended October 1, 2021, the NOL carryback generated a $3.7 million current taxes receivable, along with $71.3 million of FTCs and $11.0 million of general business credits that will be used to offset future federal income tax liabilities. The Company will continue to monitor and assess the impact the CARES Act and similar legislation in other countries may have on the Company's 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recorded a net benefit to the (Benefit) Provision for Income Taxes of approximately $4.0 million during fiscal 2021 related to the release of certain stranded tax effects when the Company terminated certain Canadian pension plans (see Note 9).</w:t>
      </w:r>
    </w:p>
    <w:p>
      <w:pPr>
        <w:spacing w:after="0" w:line="3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fiscal 2020, the Company recorded, as a result of the CARES Act, a net benefit to the (Benefit) Provision for Income Taxes of approximately $58.4 million, of which $63.4 million reflects the NOLs expected to be carried back to Pre-TCJA years at 35.0% as opposed to the current year rate of 21.0%. The Company also re-established certain reserves of approximately $5.0 million, which expired due to statutes but were re-opened due to the carryback period. The NOL carryback generated for the fiscal year ended October 2, 2020 a $62.1 million income tax receivable, along with $65.1 million of FTCs and $35.9 million of general business credits that will be used to offset future federal income tax liabilities.</w:t>
      </w:r>
    </w:p>
    <w:p>
      <w:pPr>
        <w:spacing w:after="0" w:line="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During fiscal 2020, based on cumulative losses and the goodwill impairment recorded in the FSS International segment of $198.6 million (see Note 4) as negative evidence, the Company recorded a valuation allowance against DTAs of certain foreign subsidiaries of approximately $21.4 million. The goodwill impairment charge was nondeductible for income tax purposes.</w:t>
      </w:r>
    </w:p>
    <w:p>
      <w:pPr>
        <w:spacing w:after="0" w:line="6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effective tax rate for the fiscal year ended October 2, 2020 also included an income tax benefit of approximately $46.2 million, as a result of an excess tax benefit recognized in relation to equity awards exercised during fiscal 2020, including by the former Chairman, President and Chief Executive Officer. This benefit reflects a federal tax rate of 35.0% due to the NOL being carried back to pre-TCJA tax years.</w:t>
      </w:r>
    </w:p>
    <w:p>
      <w:pPr>
        <w:spacing w:after="0" w:line="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CARES Act contains modifications on the limitation of business interest for fiscal years 2020 and 2021 to increase the allowable business interest deduction from 30.0% of adjusted taxable income to 50.0% of adjusted taxable income. The CARES Act also includes a technical correction to the TCJA that provides that Qualified Improvement Property, which includes almost any improvement to the interior of leased or owned space, is eligible for bonus depreciation retroactively to the January 1, 2018 effective date of the TCJA.</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As of October 1, 2021 and October 2, 2020, the components of Deferred Income Taxes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15"/>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114,435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183,789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Arial" w:cs="Arial" w:eastAsia="Arial" w:hAnsi="Arial"/>
                <w:sz w:val="18"/>
                <w:szCs w:val="18"/>
                <w:color w:val="auto"/>
              </w:rPr>
              <w:t>Other intangible assets, including goodwill</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544,649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500,447</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Cost to fulfill - Rental merchandise in-service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52,334</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88,824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89,464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45,589</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Gross deferred tax liability</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874,913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884,923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Arial" w:cs="Arial" w:eastAsia="Arial" w:hAnsi="Arial"/>
                <w:sz w:val="18"/>
                <w:szCs w:val="18"/>
                <w:color w:val="auto"/>
              </w:rPr>
              <w:t>Derivatives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30,625</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Insurance</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23,784</w:t>
            </w:r>
          </w:p>
        </w:tc>
        <w:tc>
          <w:tcPr>
            <w:tcW w:w="0" w:type="dxa"/>
            <w:vAlign w:val="bottom"/>
          </w:tcPr>
          <w:p>
            <w:pPr>
              <w:spacing w:after="0"/>
              <w:rPr>
                <w:sz w:val="1"/>
                <w:szCs w:val="1"/>
                <w:color w:val="auto"/>
              </w:rPr>
            </w:pPr>
          </w:p>
        </w:tc>
      </w:tr>
      <w:tr>
        <w:trPr>
          <w:trHeight w:val="230"/>
        </w:trPr>
        <w:tc>
          <w:tcPr>
            <w:tcW w:w="7720" w:type="dxa"/>
            <w:vAlign w:val="bottom"/>
          </w:tcPr>
          <w:p>
            <w:pPr>
              <w:ind w:left="46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104,980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128,771</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Accruals and allowances</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31,218</w:t>
            </w:r>
          </w:p>
        </w:tc>
        <w:tc>
          <w:tcPr>
            <w:tcW w:w="0" w:type="dxa"/>
            <w:vAlign w:val="bottom"/>
          </w:tcPr>
          <w:p>
            <w:pPr>
              <w:spacing w:after="0"/>
              <w:rPr>
                <w:sz w:val="1"/>
                <w:szCs w:val="1"/>
                <w:color w:val="auto"/>
              </w:rPr>
            </w:pPr>
          </w:p>
        </w:tc>
      </w:tr>
      <w:tr>
        <w:trPr>
          <w:trHeight w:val="229"/>
        </w:trPr>
        <w:tc>
          <w:tcPr>
            <w:tcW w:w="7720" w:type="dxa"/>
            <w:vAlign w:val="bottom"/>
          </w:tcPr>
          <w:p>
            <w:pPr>
              <w:ind w:left="46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97,505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102,259</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NOL/credit carryforwards and other</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261,763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Gross deferred tax asset, before valuation allowances</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635,739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578,420</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allowances</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0" w:type="dxa"/>
            <w:vAlign w:val="bottom"/>
          </w:tcPr>
          <w:p>
            <w:pPr>
              <w:spacing w:after="0"/>
              <w:rPr>
                <w:sz w:val="1"/>
                <w:szCs w:val="1"/>
                <w:color w:val="auto"/>
              </w:rPr>
            </w:pPr>
          </w:p>
        </w:tc>
      </w:tr>
      <w:tr>
        <w:trPr>
          <w:trHeight w:val="223"/>
        </w:trPr>
        <w:tc>
          <w:tcPr>
            <w:tcW w:w="7720" w:type="dxa"/>
            <w:vAlign w:val="bottom"/>
          </w:tcPr>
          <w:p>
            <w:pPr>
              <w:ind w:left="900"/>
              <w:spacing w:after="0"/>
              <w:rPr>
                <w:sz w:val="20"/>
                <w:szCs w:val="20"/>
                <w:color w:val="auto"/>
              </w:rPr>
            </w:pPr>
            <w:r>
              <w:rPr>
                <w:rFonts w:ascii="Arial" w:cs="Arial" w:eastAsia="Arial" w:hAnsi="Arial"/>
                <w:sz w:val="18"/>
                <w:szCs w:val="18"/>
                <w:color w:val="auto"/>
              </w:rPr>
              <w:t>Net deferred tax liability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345,480</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Rollforward of the valuation allowance is as follows: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24"/>
                <w:szCs w:val="24"/>
                <w:color w:val="auto"/>
              </w:rPr>
            </w:pPr>
          </w:p>
        </w:tc>
        <w:tc>
          <w:tcPr>
            <w:tcW w:w="1460" w:type="dxa"/>
            <w:vAlign w:val="bottom"/>
          </w:tcPr>
          <w:p>
            <w:pPr>
              <w:jc w:val="right"/>
              <w:ind w:right="272"/>
              <w:spacing w:after="0"/>
              <w:rPr>
                <w:sz w:val="20"/>
                <w:szCs w:val="20"/>
                <w:color w:val="auto"/>
              </w:rPr>
            </w:pPr>
            <w:r>
              <w:rPr>
                <w:rFonts w:ascii="Arial" w:cs="Arial" w:eastAsia="Arial" w:hAnsi="Arial"/>
                <w:sz w:val="14"/>
                <w:szCs w:val="14"/>
                <w:b w:val="1"/>
                <w:bCs w:val="1"/>
                <w:color w:val="auto"/>
              </w:rPr>
              <w:t>October 2, 2020</w:t>
            </w:r>
          </w:p>
        </w:tc>
        <w:tc>
          <w:tcPr>
            <w:tcW w:w="0" w:type="dxa"/>
            <w:vAlign w:val="bottom"/>
          </w:tcPr>
          <w:p>
            <w:pPr>
              <w:spacing w:after="0"/>
              <w:rPr>
                <w:sz w:val="1"/>
                <w:szCs w:val="1"/>
                <w:color w:val="auto"/>
              </w:rPr>
            </w:pP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Additions</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(21,445)</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end of year</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20" w:hanging="334"/>
        <w:spacing w:after="0" w:line="226" w:lineRule="auto"/>
        <w:tabs>
          <w:tab w:leader="none" w:pos="3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addition in fiscal 2021 is mainly driven by cumulative losses in certain foreign subsidiaries and valuation allowances against foreign tax credits, which are not expected to be utilized before their expiration dates. The addition in fiscal 2020 was mainly driven by cumulative losses in certain foreign subsidiaries.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DTLs of approximately $383.2 million and $398.8 million as of October 1, 2021 and October 2, 2020, respectively, are included in "Deferred Income Taxes and Other Noncurrent Liabilities" on the Consolidated Balance Sheets. DTAs of approximately $46.6 million and $53.3 million as of October 1, 2021 and October 2, 2020, respectively, are included in "Other Assets" on the Consolidated Balance Sheets.</w:t>
      </w:r>
    </w:p>
    <w:p>
      <w:pPr>
        <w:spacing w:after="0" w:line="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October 1, 2021, certain subsidiaries have recorded DTAs of $122.2 million associated with accumulated federal, state and foreign NOL carryforwards. The Company believes it is more likely than not that the benefit from certain state and foreign NOL carryforwards will not be realized. As a result, the Company has a valuation allowance of approximately $60.9 million on the DTAs related to these state and foreign NOL carryforwards as of October 1, 2021. State NOL carryforwards generally begin to expire in 2024 and foreign NOL carryforwards generally have no expiration date.</w:t>
      </w:r>
    </w:p>
    <w:p>
      <w:pPr>
        <w:spacing w:after="0" w:line="36"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As of October 1, 2021, the Company has approximately $223.4 million of FTC carryforwards, which begin to expire in 2026, along with approximately $12.7 million of general business credits, which begin to expire in 2035, and approximately $2.3 million of state interest restriction carryforwards, which do not expire. The Company has a valuation allowance of approximately $36.5 million on the DTAs related to FTC carryforwards as of October 1, 2021.</w:t>
      </w:r>
    </w:p>
    <w:p>
      <w:pPr>
        <w:spacing w:after="0" w:line="2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Undistributed earnings of certain foreign subsidiaries for which no DTL was recorded amounted to approximately $329.0 million and $251.1 million as of October 1, 2021 and October 2, 2020, respectively. The foreign withholding tax cost associated with remitting these earnings is approximately</w:t>
      </w:r>
    </w:p>
    <w:p>
      <w:pPr>
        <w:ind w:right="560"/>
        <w:spacing w:after="0" w:line="260" w:lineRule="auto"/>
        <w:rPr>
          <w:sz w:val="20"/>
          <w:szCs w:val="20"/>
          <w:color w:val="auto"/>
        </w:rPr>
      </w:pPr>
      <w:r>
        <w:rPr>
          <w:rFonts w:ascii="Arial" w:cs="Arial" w:eastAsia="Arial" w:hAnsi="Arial"/>
          <w:sz w:val="18"/>
          <w:szCs w:val="18"/>
          <w:color w:val="auto"/>
        </w:rPr>
        <w:t>$19.8 million and $14.8 million as of October 1, 2021 and October 2, 2020, respectively. Such amounts have not been accrued by the Company as it believes those foreign earnings are permanently reinvested.</w:t>
      </w:r>
    </w:p>
    <w:p>
      <w:pPr>
        <w:spacing w:after="0" w:line="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approximately $65.4 million of total gross unrecognized tax benefits as of October 1, 2021, of which $36.0 million, if recognized, would impact the effective tax rate and $29.4 million would result in an adjustment to the DTL.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2, 2020</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beginning of year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36,272</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Additions based on tax positions taken in the current year</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30"/>
        </w:trPr>
        <w:tc>
          <w:tcPr>
            <w:tcW w:w="7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Additions for tax positions taken in prior years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Reductions for remeasurements, settlements and payments</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Reductions due to statute expiration</w:t>
            </w: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Balance, end of year</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34,578</w:t>
            </w: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60" w:hanging="334"/>
        <w:spacing w:after="0"/>
        <w:tabs>
          <w:tab w:leader="none" w:pos="36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Includes a $29.4 million reclass from deferred income tax liabilities for a position taken related to a divestiture in a prior year.</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approximately $6.6 million and $4.6 million accrued for interest and penalties as of October 1, 2021 and October 2, 2020, respectively, in the Consolidated Balance Sheets and recorded $2.0 million and ($0.8) million in interest and penalties during fiscal 2021 and fiscal 2020, respectively in the Consolidated Statements of (Loss) Income. Interest and penalties related to unrecognized tax benefits are recorded in "(Benefit) Provision for Income Taxes" on the Consolidated Statements of (Loss) Income. The Company has approximately $12.9 million of general business credits that will reduce the gross unrecognized tax benefit.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are not expected to significantly change within the next 12 months.</w:t>
      </w:r>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Generally, a number of years may elapse before a tax reporting year is audited and finally resolved. With few exceptions, the Company is no longer subject to United States federal, state or local examinations by tax authorities before 2015. While it is often difficult to predict the final outcome or the timing of or resolution of a particular tax matter, the Company does not anticipate any adjustments resulting from United States federal, state or foreign tax audits that would result in a material change to the financial condition or results of operations. Adequate amounts are established for any adjustments that may result from examinations for tax years after 2015. However, an unfavorable settlement of a particular issue would require use of the Company's cash and cash equivalents.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10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6, 2019, the Company's Board of Directors (the "Board") authorized a new share repurchase program providing for purchases up to $200.0 million of Aramark common stock through July 2022. During fiscal 2020, the Company completed a repurchase of 0.3 million shares of its common stock for $6.5 million under this program. During fiscal 2019, the Company completed a repurchase of 1.6 million shares of its common stock for $50.0 million under the fiscal 2017 share repurchase program, which expired on February 1, 2019. Beginning with the fourth quarter of fiscal 2021, the Company is once again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permitted to make share repurchases as the covenant compliance waiver from Amendment No. 9 of the Credit Agreement is no longer in effect (see Note 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cash dividend payments to its stockholders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2, 2020</w:t>
            </w:r>
          </w:p>
        </w:tc>
        <w:tc>
          <w:tcPr>
            <w:tcW w:w="18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September 27, 2019</w:t>
            </w:r>
          </w:p>
        </w:tc>
      </w:tr>
      <w:tr>
        <w:trPr>
          <w:trHeight w:val="22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payments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bl>
    <w:p>
      <w:pPr>
        <w:spacing w:after="0" w:line="1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November 15, 2021, a $0.11 dividend per share of common stock was declared, payable on December 7, 2021, to shareholders of record on the close of business on November 30, 2021.</w:t>
      </w:r>
    </w:p>
    <w:p>
      <w:pPr>
        <w:spacing w:after="0" w:line="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100.0 million shares of preferred stock authorized, with a par value of $0.01 per share. At October 1, 2021 and October 2, 2020, zero shares of preferred stock were issued or outstanding.</w:t>
      </w:r>
    </w:p>
    <w:p>
      <w:pPr>
        <w:spacing w:after="0" w:line="4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fiscal 2020, MR BridgeStone Advisor LLC (“Mantle Ridge”), on behalf of itself and its affiliated funds (such funds, together with Mantle Ridge, collectively, the “Mantle Ridge Group”), transferred cash proceeds of $14.8 million to the Company to fulfill obligations deriving from the short-swing profit provisions of Section 16(b) of the Securities Exchange Act of 1934. These obligations related to the Mantle Ridge Group's trading activity in the Company's common stock. The cash proceeds were recorded to "Capital Surplus" on the Consolidated Balance Sheets as of October 2, 2020 and are reflected in "Other financing activities" on the Consolidated Statements of Cash Flows for the fiscal year ended October 2, 2020. The cash proceeds resulted in the Company recording an income tax provision of $4.1 million in the Consolidated Statements of (Loss) Income for the fiscal year ended of October 2, 2020.</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10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November 12, 2013, the Board approved, and the stockholders of Aramark adopted by written consent, the Aramark 2013 Stock Incentive Plan (the "Old 2013 Stock Plan"), which became effective on December 1, 2013 and the amended and restated Old 2013 Stock Plan was approved by the Board on November 9, 2016 and approved by the stockholders of Aramark on February 1, 2017 (as amended, the "2013 Stock Plan"). The 2013 Stock Plan provides that the total number of shares of common stock that may be issued under the 2013 Stock Plan is 25.5 million. On January 29, 2020, the Company's stockholders approved the Second Amended and Restated 2013 Stock Incentive Plan, which amended and restated the 2013 Stock Plan. The Second Amended and Restated 2013 Stock Incentive Plan provides for up to 7.5 million of new shares authorized for issuance to participants, in addition to the shares that remained available for issuance under the 2013 Stock Plan as of January 29, 2020 that are not subject to outstanding awards under the 2013 Stock Plan. On February 2, 2021, the Company's stockholders approved the Third Amended and Restated 2013 Stock Incentive Plan, which amended and restated the Company's 2013 Incentive Plan last amended on January 29, 2020. The Third Amended and Restated 2013 Stock Incentive Plan provides for up to 3.5 million of new shares authorized for issuance to participants, in addition to the shares that remained available for issuance under the 2013 Incentive Plan as of February 2, 2021.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summarizes the share-based compensation expense (reversal) and related information for Time-Based Options ("TBOs"), Retention Time-Based Options ("TBO-Rs"), Performance-Based Options ("PBOs"), Time-Based Restricted Stock Units ("RSUs"), Performance Stock Units ("PSUs"), Deferred Stock Units and Employee Stock Purchase Plan ("ESPP") classified as "Selling and general corporate expenses" on the Consolidated Statements of (Loss) Income (in millions).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6"/>
                <w:szCs w:val="16"/>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4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TBOs</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TBO-Rs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RSUs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5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PSUs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ESPP</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9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Cash Received from Option Exercises/ESPP Purchases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59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Tax Benefit on Share Deliveries </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15" w:lineRule="exact"/>
        <w:rPr>
          <w:sz w:val="20"/>
          <w:szCs w:val="20"/>
          <w:color w:val="auto"/>
        </w:rPr>
      </w:pPr>
    </w:p>
    <w:p>
      <w:pPr>
        <w:ind w:left="360" w:right="80" w:hanging="334"/>
        <w:spacing w:after="0" w:line="205" w:lineRule="auto"/>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Share-based compensation expense increased during fiscal 2021 due to the shortening of the vesting period on the annual grants issued in September 2020 from four years to three years, the addition of expense related to the ESPP which began on April 1, 2021 and the accelerated timing of the issuance of the fiscal 2021 annual grant. Share-based compensation expense was reduced during fiscal 2020 based on lower than estimated target attainment on plan metrics on each of the fiscal 2018, fiscal 2019 and fiscal 2020 PSU grants, resulting in the reversal of previously recognized share-based compensation expense of $29.8 million. Share-based compensation expense was reduced during fiscal 2019 based on lower than estimated target attainment on plan metrics for the fiscal 2018 PSU grants, resulting in the reversal of previously recognized share-based compensation expense of $6.6 million. The Company also reversed previously recognized share-based compensation expense based on the actual target for the 2017 PSU grants achieved as of the end of fiscal 2019 of $5.2 million.</w:t>
      </w:r>
    </w:p>
    <w:p>
      <w:pPr>
        <w:spacing w:after="0" w:line="16" w:lineRule="exact"/>
        <w:rPr>
          <w:rFonts w:ascii="Arial" w:cs="Arial" w:eastAsia="Arial" w:hAnsi="Arial"/>
          <w:sz w:val="13"/>
          <w:szCs w:val="13"/>
          <w:color w:val="auto"/>
        </w:rPr>
      </w:pPr>
    </w:p>
    <w:p>
      <w:pPr>
        <w:ind w:left="360" w:hanging="334"/>
        <w:spacing w:after="0"/>
        <w:tabs>
          <w:tab w:leader="none" w:pos="3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tax benefit on option exercises, restricted stock unit and ESPP unit deliveries is included in "Prepayments and Other Current Assets" on the Consolidated Statements of Cash Flows.</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On September 3, 2020, the Board determined a payout level for the fiscal 2018 PSU grants covering a performance period of September 30, 2017 to October 2, 2020 by adjusting the calculation of the performance to moderate the impact of COVID-19 by measuring performance for the first two and a half years of the three year performance period, removing both the results and the portion of the targets attributable to the period when the Company's business was hardest hit by COVID-19. As a result, the Company recognized $3.9 million of additional expense in fiscal 2020 associated with approximately 0.1 million shares due to this modification.</w:t>
      </w:r>
    </w:p>
    <w:p>
      <w:pPr>
        <w:spacing w:after="0" w:line="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 compensation expense was capitalized. Prior to the fourth quarter of fiscal 2020, the Company applied a forfeiture assumption of approximately 6.4% per annum in the calculation of such expenses. During the fourth quarter of fiscal 2020, the Company increased its estimated forfeiture assumption to 9.0% per annum based on actual forfeiture activity, which remained in effect throughout fiscal 2021.</w:t>
      </w:r>
    </w:p>
    <w:p>
      <w:pPr>
        <w:spacing w:after="0" w:line="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below table summarizes the unrecognized compensation expense as of October 1, 2021 related to non-vested awards and the weighted-average period they are expected to be recognized:</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Unrecognized Compensation</w:t>
            </w:r>
          </w:p>
        </w:tc>
        <w:tc>
          <w:tcPr>
            <w:tcW w:w="12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 Period</w:t>
            </w:r>
          </w:p>
        </w:tc>
        <w:tc>
          <w:tcPr>
            <w:tcW w:w="0" w:type="dxa"/>
            <w:vAlign w:val="bottom"/>
          </w:tcPr>
          <w:p>
            <w:pPr>
              <w:spacing w:after="0"/>
              <w:rPr>
                <w:sz w:val="1"/>
                <w:szCs w:val="1"/>
                <w:color w:val="auto"/>
              </w:rPr>
            </w:pPr>
          </w:p>
        </w:tc>
      </w:tr>
      <w:tr>
        <w:trPr>
          <w:trHeight w:val="135"/>
        </w:trPr>
        <w:tc>
          <w:tcPr>
            <w:tcW w:w="7240" w:type="dxa"/>
            <w:vAlign w:val="bottom"/>
          </w:tcPr>
          <w:p>
            <w:pPr>
              <w:spacing w:after="0"/>
              <w:rPr>
                <w:sz w:val="11"/>
                <w:szCs w:val="11"/>
                <w:color w:val="auto"/>
              </w:rPr>
            </w:pPr>
          </w:p>
        </w:tc>
        <w:tc>
          <w:tcPr>
            <w:tcW w:w="1400" w:type="dxa"/>
            <w:vAlign w:val="bottom"/>
          </w:tcPr>
          <w:p>
            <w:pPr>
              <w:jc w:val="center"/>
              <w:ind w:left="441"/>
              <w:spacing w:after="0" w:line="135" w:lineRule="exact"/>
              <w:rPr>
                <w:sz w:val="20"/>
                <w:szCs w:val="20"/>
                <w:color w:val="auto"/>
              </w:rPr>
            </w:pPr>
            <w:r>
              <w:rPr>
                <w:rFonts w:ascii="Arial" w:cs="Arial" w:eastAsia="Arial" w:hAnsi="Arial"/>
                <w:sz w:val="14"/>
                <w:szCs w:val="14"/>
                <w:b w:val="1"/>
                <w:bCs w:val="1"/>
                <w:color w:val="auto"/>
                <w:w w:val="90"/>
              </w:rPr>
              <w:t>Expense</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2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1400" w:type="dxa"/>
            <w:vAlign w:val="bottom"/>
            <w:shd w:val="clear" w:color="auto" w:fill="CCEEFF"/>
          </w:tcPr>
          <w:p>
            <w:pPr>
              <w:jc w:val="right"/>
              <w:ind w:right="1221"/>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1.94</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TBO-Rs</w:t>
            </w:r>
          </w:p>
        </w:tc>
        <w:tc>
          <w:tcPr>
            <w:tcW w:w="14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20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3.51</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0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1.93</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auto"/>
            </w:tcBorders>
          </w:tcPr>
          <w:p>
            <w:pPr>
              <w:jc w:val="right"/>
              <w:ind w:right="122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111.8</w:t>
            </w: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Options</w:t>
      </w:r>
    </w:p>
    <w:p>
      <w:pPr>
        <w:spacing w:after="0" w:line="10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annual TBO grants for fiscal 2021 were awarded early in September 2020 and will vest solely based upon continued employment over a three year time period. Fiscal 2020 and prior TBO grants vest solely based upon continued employment over a four year time period. All TBOs remain exercisable for 10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fair value of the TBOs granted was estimated using the Black-Scholes option pricing model. Prior to June of fiscal 2020, the expected volatility was based on a blended average of the historic volatility of the Company's and competitors' stock over the expected term of the stock options. Beginning in June of fiscal 2020, the expected volatility is based on the historic volatility of the Company's stock over the expected term of the stock options. The expected life represents the period of time that options granted are expected to be outstanding and is calculated using the simplified method as permitted under Securities and Exchange Commission ("SEC") rules and regulations due to the method providing a reasonable estimate in comparison to actual experience. The simplified method uses the midpoint between an option's vesting date and contractual term. The risk-free rate is based on the United States Treasury security with terms equal to the expected life of the option as of the grant date. Compensation expense for TBOs is recognized on a straight-line basis over the vesting period during which employees perform related services.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weighted average assumptions and related valuations for TBOs.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October 1, 2021</w:t>
            </w:r>
          </w:p>
        </w:tc>
        <w:tc>
          <w:tcPr>
            <w:tcW w:w="18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October 2, 2020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September 27, 2019</w:t>
            </w:r>
          </w:p>
        </w:tc>
        <w:tc>
          <w:tcPr>
            <w:tcW w:w="0" w:type="dxa"/>
            <w:vAlign w:val="bottom"/>
          </w:tcPr>
          <w:p>
            <w:pPr>
              <w:spacing w:after="0"/>
              <w:rPr>
                <w:sz w:val="1"/>
                <w:szCs w:val="1"/>
                <w:color w:val="auto"/>
              </w:rPr>
            </w:pPr>
          </w:p>
        </w:tc>
      </w:tr>
      <w:tr>
        <w:trPr>
          <w:trHeight w:val="224"/>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88"/>
              </w:rPr>
              <w:t>40%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8"/>
              </w:rPr>
              <w:t>30%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74"/>
              <w:spacing w:after="0"/>
              <w:rPr>
                <w:sz w:val="20"/>
                <w:szCs w:val="20"/>
                <w:color w:val="auto"/>
              </w:rPr>
            </w:pPr>
            <w:r>
              <w:rPr>
                <w:rFonts w:ascii="Arial" w:cs="Arial" w:eastAsia="Arial" w:hAnsi="Arial"/>
                <w:sz w:val="18"/>
                <w:szCs w:val="18"/>
                <w:color w:val="auto"/>
                <w:w w:val="91"/>
              </w:rPr>
              <w:t>1.08% - 1.25%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96"/>
              <w:spacing w:after="0"/>
              <w:rPr>
                <w:sz w:val="20"/>
                <w:szCs w:val="20"/>
                <w:color w:val="auto"/>
              </w:rPr>
            </w:pPr>
            <w:r>
              <w:rPr>
                <w:rFonts w:ascii="Arial" w:cs="Arial" w:eastAsia="Arial" w:hAnsi="Arial"/>
                <w:sz w:val="18"/>
                <w:szCs w:val="18"/>
                <w:color w:val="auto"/>
                <w:w w:val="91"/>
              </w:rPr>
              <w:t>1.01% - 2.09%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116"/>
              <w:spacing w:after="0"/>
              <w:rPr>
                <w:sz w:val="20"/>
                <w:szCs w:val="20"/>
                <w:color w:val="auto"/>
              </w:rPr>
            </w:pPr>
            <w:r>
              <w:rPr>
                <w:rFonts w:ascii="Arial" w:cs="Arial" w:eastAsia="Arial" w:hAnsi="Arial"/>
                <w:sz w:val="18"/>
                <w:szCs w:val="18"/>
                <w:color w:val="auto"/>
                <w:w w:val="91"/>
              </w:rPr>
              <w:t>1.17% - 1.44%</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1"/>
              </w:rPr>
              <w:t>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1"/>
              </w:rPr>
              <w:t>6.22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85"/>
              </w:rPr>
              <w:t>6.25</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center"/>
              <w:ind w:right="74"/>
              <w:spacing w:after="0"/>
              <w:rPr>
                <w:sz w:val="20"/>
                <w:szCs w:val="20"/>
                <w:color w:val="auto"/>
              </w:rPr>
            </w:pPr>
            <w:r>
              <w:rPr>
                <w:rFonts w:ascii="Arial" w:cs="Arial" w:eastAsia="Arial" w:hAnsi="Arial"/>
                <w:sz w:val="18"/>
                <w:szCs w:val="18"/>
                <w:color w:val="auto"/>
                <w:w w:val="91"/>
              </w:rPr>
              <w:t>0.52% - 1.15%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center"/>
              <w:ind w:right="96"/>
              <w:spacing w:after="0"/>
              <w:rPr>
                <w:sz w:val="20"/>
                <w:szCs w:val="20"/>
                <w:color w:val="auto"/>
              </w:rPr>
            </w:pPr>
            <w:r>
              <w:rPr>
                <w:rFonts w:ascii="Arial" w:cs="Arial" w:eastAsia="Arial" w:hAnsi="Arial"/>
                <w:sz w:val="18"/>
                <w:szCs w:val="18"/>
                <w:color w:val="auto"/>
                <w:w w:val="91"/>
              </w:rPr>
              <w:t>0.40% - 1.74%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116"/>
              <w:spacing w:after="0"/>
              <w:rPr>
                <w:sz w:val="20"/>
                <w:szCs w:val="20"/>
                <w:color w:val="auto"/>
              </w:rPr>
            </w:pPr>
            <w:r>
              <w:rPr>
                <w:rFonts w:ascii="Arial" w:cs="Arial" w:eastAsia="Arial" w:hAnsi="Arial"/>
                <w:sz w:val="18"/>
                <w:szCs w:val="18"/>
                <w:color w:val="auto"/>
                <w:w w:val="91"/>
              </w:rPr>
              <w:t>1.62% - 3.02%</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87"/>
              </w:rPr>
              <w:t>$13.08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88"/>
              </w:rPr>
              <w:t>$9.07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3"/>
              </w:rPr>
              <w:t>$8.23</w:t>
            </w:r>
          </w:p>
        </w:tc>
        <w:tc>
          <w:tcPr>
            <w:tcW w:w="0" w:type="dxa"/>
            <w:vAlign w:val="bottom"/>
          </w:tcPr>
          <w:p>
            <w:pPr>
              <w:spacing w:after="0"/>
              <w:rPr>
                <w:sz w:val="1"/>
                <w:szCs w:val="1"/>
                <w:color w:val="auto"/>
              </w:rPr>
            </w:pPr>
          </w:p>
        </w:tc>
      </w:tr>
      <w:tr>
        <w:trPr>
          <w:trHeight w:val="392"/>
        </w:trPr>
        <w:tc>
          <w:tcPr>
            <w:tcW w:w="4180" w:type="dxa"/>
            <w:vAlign w:val="bottom"/>
            <w:gridSpan w:val="2"/>
          </w:tcPr>
          <w:p>
            <w:pPr>
              <w:spacing w:after="0"/>
              <w:rPr>
                <w:sz w:val="20"/>
                <w:szCs w:val="20"/>
                <w:color w:val="auto"/>
              </w:rPr>
            </w:pPr>
            <w:r>
              <w:rPr>
                <w:rFonts w:ascii="Arial" w:cs="Arial" w:eastAsia="Arial" w:hAnsi="Arial"/>
                <w:sz w:val="18"/>
                <w:szCs w:val="18"/>
                <w:color w:val="auto"/>
              </w:rPr>
              <w:t>A summary of TBO activity is presented below:</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 Intrinsic Value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08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4"/>
            <w:vMerge w:val="continue"/>
          </w:tcPr>
          <w:p>
            <w:pPr>
              <w:spacing w:after="0"/>
              <w:rPr>
                <w:sz w:val="11"/>
                <w:szCs w:val="11"/>
                <w:color w:val="auto"/>
              </w:rPr>
            </w:pPr>
          </w:p>
        </w:tc>
        <w:tc>
          <w:tcPr>
            <w:tcW w:w="17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tcPr>
          <w:p>
            <w:pPr>
              <w:jc w:val="center"/>
              <w:ind w:right="76"/>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4180" w:type="dxa"/>
            <w:vAlign w:val="bottom"/>
            <w:gridSpan w:val="2"/>
            <w:vMerge w:val="continue"/>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(000s)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6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($000s)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460"/>
              <w:spacing w:after="0"/>
              <w:rPr>
                <w:sz w:val="20"/>
                <w:szCs w:val="20"/>
                <w:color w:val="auto"/>
              </w:rPr>
            </w:pPr>
            <w:r>
              <w:rPr>
                <w:rFonts w:ascii="Arial" w:cs="Arial" w:eastAsia="Arial" w:hAnsi="Arial"/>
                <w:sz w:val="18"/>
                <w:szCs w:val="18"/>
                <w:color w:val="auto"/>
              </w:rPr>
              <w:t>Granted</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Forfeited and expired</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1, 2021</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7"/>
              </w:rPr>
              <w:t>7.0</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Exercisable at October 1, 2021</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96"/>
              <w:spacing w:after="0"/>
              <w:rPr>
                <w:sz w:val="20"/>
                <w:szCs w:val="20"/>
                <w:color w:val="auto"/>
              </w:rPr>
            </w:pPr>
            <w:r>
              <w:rPr>
                <w:rFonts w:ascii="Arial" w:cs="Arial" w:eastAsia="Arial" w:hAnsi="Arial"/>
                <w:sz w:val="18"/>
                <w:szCs w:val="18"/>
                <w:color w:val="auto"/>
                <w:w w:val="87"/>
              </w:rPr>
              <w:t>5.8</w:t>
            </w: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to vest at October 1, 2021</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87"/>
              </w:rPr>
              <w:t>8.4</w:t>
            </w:r>
          </w:p>
        </w:tc>
        <w:tc>
          <w:tcPr>
            <w:tcW w:w="0" w:type="dxa"/>
            <w:vAlign w:val="bottom"/>
          </w:tcPr>
          <w:p>
            <w:pPr>
              <w:spacing w:after="0"/>
              <w:rPr>
                <w:sz w:val="1"/>
                <w:szCs w:val="1"/>
                <w:color w:val="auto"/>
              </w:rPr>
            </w:pPr>
          </w:p>
        </w:tc>
      </w:tr>
      <w:tr>
        <w:trPr>
          <w:trHeight w:val="379"/>
        </w:trPr>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4"/>
          </w:tcPr>
          <w:p>
            <w:pPr>
              <w:ind w:left="140"/>
              <w:spacing w:after="0"/>
              <w:rPr>
                <w:sz w:val="20"/>
                <w:szCs w:val="20"/>
                <w:color w:val="auto"/>
              </w:rPr>
            </w:pPr>
            <w:r>
              <w:rPr>
                <w:rFonts w:ascii="Arial" w:cs="Arial" w:eastAsia="Arial" w:hAnsi="Arial"/>
                <w:sz w:val="14"/>
                <w:szCs w:val="14"/>
                <w:b w:val="1"/>
                <w:bCs w:val="1"/>
                <w:color w:val="auto"/>
              </w:rPr>
              <w:t>October 1, 2021</w:t>
            </w:r>
          </w:p>
        </w:tc>
        <w:tc>
          <w:tcPr>
            <w:tcW w:w="180" w:type="dxa"/>
            <w:vAlign w:val="bottom"/>
          </w:tcPr>
          <w:p>
            <w:pPr>
              <w:spacing w:after="0"/>
              <w:rPr>
                <w:sz w:val="16"/>
                <w:szCs w:val="16"/>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September 27, 2019</w:t>
            </w:r>
          </w:p>
        </w:tc>
        <w:tc>
          <w:tcPr>
            <w:tcW w:w="0" w:type="dxa"/>
            <w:vAlign w:val="bottom"/>
          </w:tcPr>
          <w:p>
            <w:pPr>
              <w:spacing w:after="0"/>
              <w:rPr>
                <w:sz w:val="1"/>
                <w:szCs w:val="1"/>
                <w:color w:val="auto"/>
              </w:rPr>
            </w:pPr>
          </w:p>
        </w:tc>
      </w:tr>
      <w:tr>
        <w:trPr>
          <w:trHeight w:val="224"/>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intrinsic value exercised (in millions)</w:t>
            </w:r>
          </w:p>
        </w:tc>
        <w:tc>
          <w:tcPr>
            <w:tcW w:w="10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Total fair value that vested (in millions)</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Time-Based Options</w:t>
      </w:r>
    </w:p>
    <w:p>
      <w:pPr>
        <w:spacing w:after="0" w:line="9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2020, the Board granted special stock option awards for fiscal 2021 to its key business leaders. The option awards have exercise prices that are in all cases materially above the trading price of the Company's common stock as of the date of grant. The options are awarded in six tranches, with exercise prices that start at $35 and increase in $10 increments to an $85 exercise price. These awards will vest ratably on the third, fourth and fifth anniversaries of the grant date. The fair value of the TBO-Rs granted was estimated using the Black-Scholes option pricing model, following the same assumptions and methodology used to value the TBOs.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weighted average assumptions and related valuations for TBO-Rs.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 Ended</w:t>
            </w:r>
          </w:p>
        </w:tc>
        <w:tc>
          <w:tcPr>
            <w:tcW w:w="0" w:type="dxa"/>
            <w:vAlign w:val="bottom"/>
          </w:tcPr>
          <w:p>
            <w:pPr>
              <w:spacing w:after="0"/>
              <w:rPr>
                <w:sz w:val="1"/>
                <w:szCs w:val="1"/>
                <w:color w:val="auto"/>
              </w:rPr>
            </w:pPr>
          </w:p>
        </w:tc>
      </w:tr>
      <w:tr>
        <w:trPr>
          <w:trHeight w:val="187"/>
        </w:trPr>
        <w:tc>
          <w:tcPr>
            <w:tcW w:w="4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October 2, 2020</w:t>
            </w:r>
          </w:p>
        </w:tc>
        <w:tc>
          <w:tcPr>
            <w:tcW w:w="0" w:type="dxa"/>
            <w:vAlign w:val="bottom"/>
          </w:tcPr>
          <w:p>
            <w:pPr>
              <w:spacing w:after="0"/>
              <w:rPr>
                <w:sz w:val="1"/>
                <w:szCs w:val="1"/>
                <w:color w:val="auto"/>
              </w:rPr>
            </w:pPr>
          </w:p>
        </w:tc>
      </w:tr>
      <w:tr>
        <w:trPr>
          <w:trHeight w:val="224"/>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1.55%</w:t>
            </w: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7.00</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90"/>
              </w:rPr>
              <w:t>0.50%</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$3.93</w:t>
            </w:r>
          </w:p>
        </w:tc>
        <w:tc>
          <w:tcPr>
            <w:tcW w:w="0" w:type="dxa"/>
            <w:vAlign w:val="bottom"/>
          </w:tcPr>
          <w:p>
            <w:pPr>
              <w:spacing w:after="0"/>
              <w:rPr>
                <w:sz w:val="1"/>
                <w:szCs w:val="1"/>
                <w:color w:val="auto"/>
              </w:rPr>
            </w:pPr>
          </w:p>
        </w:tc>
      </w:tr>
      <w:tr>
        <w:trPr>
          <w:trHeight w:val="405"/>
        </w:trPr>
        <w:tc>
          <w:tcPr>
            <w:tcW w:w="4180" w:type="dxa"/>
            <w:vAlign w:val="bottom"/>
            <w:gridSpan w:val="2"/>
          </w:tcPr>
          <w:p>
            <w:pPr>
              <w:spacing w:after="0"/>
              <w:rPr>
                <w:sz w:val="20"/>
                <w:szCs w:val="20"/>
                <w:color w:val="auto"/>
              </w:rPr>
            </w:pPr>
            <w:r>
              <w:rPr>
                <w:rFonts w:ascii="Arial" w:cs="Arial" w:eastAsia="Arial" w:hAnsi="Arial"/>
                <w:sz w:val="18"/>
                <w:szCs w:val="18"/>
                <w:color w:val="auto"/>
              </w:rPr>
              <w:t>A summary of TBO-R activity is presented below:</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Aggregate Intrinsic Value</w:t>
            </w:r>
          </w:p>
        </w:tc>
        <w:tc>
          <w:tcPr>
            <w:tcW w:w="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1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4180" w:type="dxa"/>
            <w:vAlign w:val="bottom"/>
            <w:gridSpan w:val="2"/>
            <w:vMerge w:val="continue"/>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(000s)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360" w:type="dxa"/>
            <w:vAlign w:val="bottom"/>
          </w:tcPr>
          <w:p>
            <w:pPr>
              <w:spacing w:after="0"/>
              <w:rPr>
                <w:sz w:val="16"/>
                <w:szCs w:val="16"/>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($000s)</w:t>
            </w:r>
          </w:p>
        </w:tc>
        <w:tc>
          <w:tcPr>
            <w:tcW w:w="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460"/>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460"/>
              <w:spacing w:after="0"/>
              <w:rPr>
                <w:sz w:val="20"/>
                <w:szCs w:val="20"/>
                <w:color w:val="auto"/>
              </w:rPr>
            </w:pPr>
            <w:r>
              <w:rPr>
                <w:rFonts w:ascii="Arial" w:cs="Arial" w:eastAsia="Arial" w:hAnsi="Arial"/>
                <w:sz w:val="18"/>
                <w:szCs w:val="18"/>
                <w:color w:val="auto"/>
              </w:rPr>
              <w:t>Forfeited and expired</w:t>
            </w:r>
          </w:p>
        </w:tc>
        <w:tc>
          <w:tcPr>
            <w:tcW w:w="11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1, 2021</w:t>
            </w: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Expected to vest at October 1, 2021</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8.9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Options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no longer grants PBOs under the 2013 Stock Plan. All PBOs remain exercisable for 10 years from the date of grant.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summary of PBO activity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Aggregate Intrinsic Value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14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 Term</w:t>
            </w:r>
          </w:p>
        </w:tc>
        <w:tc>
          <w:tcPr>
            <w:tcW w:w="0" w:type="dxa"/>
            <w:vAlign w:val="bottom"/>
          </w:tcPr>
          <w:p>
            <w:pPr>
              <w:spacing w:after="0"/>
              <w:rPr>
                <w:sz w:val="1"/>
                <w:szCs w:val="1"/>
                <w:color w:val="auto"/>
              </w:rPr>
            </w:pPr>
          </w:p>
        </w:tc>
      </w:tr>
      <w:tr>
        <w:trPr>
          <w:trHeight w:val="188"/>
        </w:trPr>
        <w:tc>
          <w:tcPr>
            <w:tcW w:w="4180" w:type="dxa"/>
            <w:vAlign w:val="bottom"/>
            <w:gridSpan w:val="2"/>
            <w:vMerge w:val="continue"/>
          </w:tcPr>
          <w:p>
            <w:pPr>
              <w:spacing w:after="0"/>
              <w:rPr>
                <w:sz w:val="16"/>
                <w:szCs w:val="16"/>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(000s)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Exercise Price</w:t>
            </w:r>
          </w:p>
        </w:tc>
        <w:tc>
          <w:tcPr>
            <w:tcW w:w="360" w:type="dxa"/>
            <w:vAlign w:val="bottom"/>
          </w:tcPr>
          <w:p>
            <w:pPr>
              <w:spacing w:after="0"/>
              <w:rPr>
                <w:sz w:val="16"/>
                <w:szCs w:val="16"/>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($000s)</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24"/>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460"/>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460"/>
              <w:spacing w:after="0"/>
              <w:rPr>
                <w:sz w:val="20"/>
                <w:szCs w:val="20"/>
                <w:color w:val="auto"/>
              </w:rPr>
            </w:pPr>
            <w:r>
              <w:rPr>
                <w:rFonts w:ascii="Arial" w:cs="Arial" w:eastAsia="Arial" w:hAnsi="Arial"/>
                <w:sz w:val="18"/>
                <w:szCs w:val="18"/>
                <w:color w:val="auto"/>
              </w:rPr>
              <w:t>Forfeited and expired</w:t>
            </w:r>
          </w:p>
        </w:tc>
        <w:tc>
          <w:tcPr>
            <w:tcW w:w="114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1, 2021</w:t>
            </w: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Exercisable at October 1, 2021</w:t>
            </w:r>
          </w:p>
        </w:tc>
        <w:tc>
          <w:tcPr>
            <w:tcW w:w="1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20"/>
        <w:spacing w:after="0" w:line="352" w:lineRule="auto"/>
        <w:rPr>
          <w:sz w:val="20"/>
          <w:szCs w:val="20"/>
          <w:color w:val="auto"/>
        </w:rPr>
      </w:pPr>
      <w:r>
        <w:rPr>
          <w:rFonts w:ascii="Arial" w:cs="Arial" w:eastAsia="Arial" w:hAnsi="Arial"/>
          <w:sz w:val="18"/>
          <w:szCs w:val="18"/>
          <w:color w:val="auto"/>
        </w:rPr>
        <w:t xml:space="preserve">The total intrinsic value of PBOs exercised during fiscal 2021, fiscal 2020 and fiscal 2019 was $7.2 million, $34.9 million and $8.9 million, respectively. </w:t>
      </w:r>
      <w:r>
        <w:rPr>
          <w:rFonts w:ascii="Arial" w:cs="Arial" w:eastAsia="Arial" w:hAnsi="Arial"/>
          <w:sz w:val="18"/>
          <w:szCs w:val="18"/>
          <w:b w:val="1"/>
          <w:bCs w:val="1"/>
          <w:color w:val="auto"/>
        </w:rPr>
        <w:t>Time-Based Restricted Stock Units</w:t>
      </w:r>
    </w:p>
    <w:p>
      <w:pPr>
        <w:ind w:right="120"/>
        <w:spacing w:after="0" w:line="296" w:lineRule="auto"/>
        <w:rPr>
          <w:sz w:val="20"/>
          <w:szCs w:val="20"/>
          <w:color w:val="auto"/>
        </w:rPr>
      </w:pPr>
      <w:r>
        <w:rPr>
          <w:rFonts w:ascii="Arial" w:cs="Arial" w:eastAsia="Arial" w:hAnsi="Arial"/>
          <w:sz w:val="16"/>
          <w:szCs w:val="16"/>
          <w:color w:val="auto"/>
        </w:rPr>
        <w:t>The Company's annual RSU grants for fiscal 2021 were awarded early in September 2020, 33% of which will vest and be settled in shares on each of the first three anniversaries of the date of grant, subject to the participant's continued employment with the Company through each such anniversary. For RSU grants awarded prior to September 2020, the RSU agreement provides that 25% of each grant will vest and be settled in shares on each of the first four anniversaries of the grant date, subject to the participant's continued employment with the Company through each such anniversary. The grant-date fair value of RSUs is based on the fair value of the Company's common stock. Participants holding RSUs will receive the benefit of any dividends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paid on shares in the form of additional RSUs. The unvested units are subject to forfeiture if employment is terminated other than due to death, disability or retirement and the units are nontransferable while subject to forfeiture.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Restricted Stock Units</w:t>
            </w:r>
          </w:p>
        </w:tc>
        <w:tc>
          <w:tcPr>
            <w:tcW w:w="1100" w:type="dxa"/>
            <w:vAlign w:val="bottom"/>
          </w:tcPr>
          <w:p>
            <w:pPr>
              <w:ind w:left="680"/>
              <w:spacing w:after="0"/>
              <w:rPr>
                <w:sz w:val="20"/>
                <w:szCs w:val="20"/>
                <w:color w:val="auto"/>
              </w:rPr>
            </w:pPr>
            <w:r>
              <w:rPr>
                <w:rFonts w:ascii="Arial" w:cs="Arial" w:eastAsia="Arial" w:hAnsi="Arial"/>
                <w:sz w:val="14"/>
                <w:szCs w:val="14"/>
                <w:b w:val="1"/>
                <w:bCs w:val="1"/>
                <w:color w:val="auto"/>
              </w:rPr>
              <w:t>Units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 Grant-</w:t>
            </w:r>
          </w:p>
        </w:tc>
        <w:tc>
          <w:tcPr>
            <w:tcW w:w="0" w:type="dxa"/>
            <w:vAlign w:val="bottom"/>
          </w:tcPr>
          <w:p>
            <w:pPr>
              <w:spacing w:after="0"/>
              <w:rPr>
                <w:sz w:val="1"/>
                <w:szCs w:val="1"/>
                <w:color w:val="auto"/>
              </w:rPr>
            </w:pPr>
          </w:p>
        </w:tc>
      </w:tr>
      <w:tr>
        <w:trPr>
          <w:trHeight w:val="188"/>
        </w:trPr>
        <w:tc>
          <w:tcPr>
            <w:tcW w:w="7720" w:type="dxa"/>
            <w:vAlign w:val="bottom"/>
            <w:gridSpan w:val="2"/>
            <w:vMerge w:val="continue"/>
          </w:tcPr>
          <w:p>
            <w:pPr>
              <w:spacing w:after="0"/>
              <w:rPr>
                <w:sz w:val="16"/>
                <w:szCs w:val="16"/>
                <w:color w:val="auto"/>
              </w:rPr>
            </w:pPr>
          </w:p>
        </w:tc>
        <w:tc>
          <w:tcPr>
            <w:tcW w:w="1100" w:type="dxa"/>
            <w:vAlign w:val="bottom"/>
          </w:tcPr>
          <w:p>
            <w:pPr>
              <w:ind w:left="680"/>
              <w:spacing w:after="0"/>
              <w:rPr>
                <w:sz w:val="20"/>
                <w:szCs w:val="20"/>
                <w:color w:val="auto"/>
              </w:rPr>
            </w:pPr>
            <w:r>
              <w:rPr>
                <w:rFonts w:ascii="Arial" w:cs="Arial" w:eastAsia="Arial" w:hAnsi="Arial"/>
                <w:sz w:val="14"/>
                <w:szCs w:val="14"/>
                <w:b w:val="1"/>
                <w:bCs w:val="1"/>
                <w:color w:val="auto"/>
                <w:w w:val="98"/>
              </w:rPr>
              <w:t>(000s)</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4"/>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Granted</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Forfeited</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1, 2021</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w:t>
      </w:r>
    </w:p>
    <w:p>
      <w:pPr>
        <w:spacing w:after="0" w:line="9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Under the 2013 Stock Plan, the Company is authorized to grant PSUs to its employees. A participant is eligible to become vested in a number of PSUs equal to a percentage, higher or lower, of the target number of PSUs granted based on the level of the Company's achievement of the performance condition. During fiscal 2019, the Company granted PSUs subject to the level of achievement of adjusted earnings per share and return on invested capital for the cumulative performance period of three years and the participant's continued employment with the Company. During fiscal 2020, the Company granted PSUs subject to the level of achievement of adjusted revenue growth, adjusted operating income growth, return on invested capital and a total shareholder return multiplier for the cumulative performance period of three years and the participant's continued employment with the Company. The Company is accounting for the fiscal 2020 grant as a performance-based award, with a market condition, valued utilizing the Monte Carlo Simulation pricing model, which calculates multiple potential outcomes for an award and establishes fair value based on the most likely outcome. The grant-date fair value of the PSUs is based on the fair value of the Company's common stock. No share-based compensation expense was recorded during fiscal 2021 related to PSUs awards granted during fiscal 2019 and fiscal 2020 as the awards are not probable of achievement.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Performance Stock Units</w:t>
            </w:r>
          </w:p>
        </w:tc>
        <w:tc>
          <w:tcPr>
            <w:tcW w:w="1140" w:type="dxa"/>
            <w:vAlign w:val="bottom"/>
          </w:tcPr>
          <w:p>
            <w:pPr>
              <w:ind w:left="680"/>
              <w:spacing w:after="0"/>
              <w:rPr>
                <w:sz w:val="20"/>
                <w:szCs w:val="20"/>
                <w:color w:val="auto"/>
              </w:rPr>
            </w:pPr>
            <w:r>
              <w:rPr>
                <w:rFonts w:ascii="Arial" w:cs="Arial" w:eastAsia="Arial" w:hAnsi="Arial"/>
                <w:sz w:val="14"/>
                <w:szCs w:val="14"/>
                <w:b w:val="1"/>
                <w:bCs w:val="1"/>
                <w:color w:val="auto"/>
              </w:rPr>
              <w:t>Units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ind w:right="21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720" w:type="dxa"/>
            <w:vAlign w:val="bottom"/>
            <w:gridSpan w:val="2"/>
            <w:vMerge w:val="continue"/>
          </w:tcPr>
          <w:p>
            <w:pPr>
              <w:spacing w:after="0"/>
              <w:rPr>
                <w:sz w:val="16"/>
                <w:szCs w:val="16"/>
                <w:color w:val="auto"/>
              </w:rPr>
            </w:pPr>
          </w:p>
        </w:tc>
        <w:tc>
          <w:tcPr>
            <w:tcW w:w="1140" w:type="dxa"/>
            <w:vAlign w:val="bottom"/>
          </w:tcPr>
          <w:p>
            <w:pPr>
              <w:ind w:left="680"/>
              <w:spacing w:after="0"/>
              <w:rPr>
                <w:sz w:val="20"/>
                <w:szCs w:val="20"/>
                <w:color w:val="auto"/>
              </w:rPr>
            </w:pPr>
            <w:r>
              <w:rPr>
                <w:rFonts w:ascii="Arial" w:cs="Arial" w:eastAsia="Arial" w:hAnsi="Arial"/>
                <w:sz w:val="14"/>
                <w:szCs w:val="14"/>
                <w:b w:val="1"/>
                <w:bCs w:val="1"/>
                <w:color w:val="auto"/>
              </w:rPr>
              <w:t>(000s)</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Grant-Date Fair Value</w:t>
            </w:r>
          </w:p>
        </w:tc>
        <w:tc>
          <w:tcPr>
            <w:tcW w:w="0" w:type="dxa"/>
            <w:vAlign w:val="bottom"/>
          </w:tcPr>
          <w:p>
            <w:pPr>
              <w:spacing w:after="0"/>
              <w:rPr>
                <w:sz w:val="1"/>
                <w:szCs w:val="1"/>
                <w:color w:val="auto"/>
              </w:rPr>
            </w:pPr>
          </w:p>
        </w:tc>
      </w:tr>
      <w:tr>
        <w:trPr>
          <w:trHeight w:val="224"/>
        </w:trPr>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2, 2020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Granted</w:t>
            </w:r>
          </w:p>
        </w:tc>
        <w:tc>
          <w:tcPr>
            <w:tcW w:w="11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Vested</w:t>
            </w:r>
          </w:p>
        </w:tc>
        <w:tc>
          <w:tcPr>
            <w:tcW w:w="1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October 1, 2021</w:t>
            </w: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Stock Units</w:t>
      </w:r>
    </w:p>
    <w:p>
      <w:pPr>
        <w:spacing w:after="0" w:line="9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Deferred Stock Units are issued only to non-employee members of the Board and represent the right to receive shares of the Company's common stock in the future. Each deferred stock unit will be converted to one share of the Company's common stock either on the first day of the seventh month after which such director ceases to serve as a member of the Board or at the director's election upon vesting. The grant-date fair value of deferred stock units is based on the fair value of the Company's common stock. The deferred stock units vest on the day prior to the next annual meeting of stockholders (which is generally one year after grant). The Company granted 60,646 deferred stock units during fiscal 2021. In addition, directors may elect to defer their cash retainer into Deferred Stock Units which are fully vested upon issuance.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0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February 2, 2021, the Company’s stockholders approved the Aramark 2021 ESPP. The ESPP allows eligible employees to contribute up to 10% of their eligible pay toward the quarterly purchase of the Company’s common stock, subject to an annual maximum dollar amount. The purchase price is 85% of the lesser of the i) fair market value per share of the Company’s common stock as determined on the purchase date or ii) fair market value per share of the Company’s common stock as determined on the first trading day of the quarterly offering period. Purchases under the ESPP are made in March, June, September, and December. The aggregate number of shares of common stock that may be issued under the ESPP may not exceed 12.5 million shares. The Company's first purchase window began on April 1, 2021. There were 0.5 million shares purchased under the ESPP during the fiscal year ended October 1, 2021.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(LOSS) PER SHARE:</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October 2, 2020</w:t>
            </w:r>
          </w:p>
        </w:tc>
        <w:tc>
          <w:tcPr>
            <w:tcW w:w="180" w:type="dxa"/>
            <w:vAlign w:val="bottom"/>
          </w:tcPr>
          <w:p>
            <w:pPr>
              <w:spacing w:after="0"/>
              <w:rPr>
                <w:sz w:val="16"/>
                <w:szCs w:val="16"/>
                <w:color w:val="auto"/>
              </w:rPr>
            </w:pPr>
          </w:p>
        </w:tc>
        <w:tc>
          <w:tcPr>
            <w:tcW w:w="15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September 27, 2019</w:t>
            </w:r>
          </w:p>
        </w:tc>
      </w:tr>
      <w:tr>
        <w:trPr>
          <w:trHeight w:val="211"/>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Earnings:</w:t>
            </w:r>
          </w:p>
        </w:tc>
        <w:tc>
          <w:tcPr>
            <w:tcW w:w="2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460"/>
              <w:spacing w:after="0"/>
              <w:rPr>
                <w:sz w:val="20"/>
                <w:szCs w:val="20"/>
                <w:color w:val="auto"/>
              </w:rPr>
            </w:pPr>
            <w:r>
              <w:rPr>
                <w:rFonts w:ascii="Arial" w:cs="Arial" w:eastAsia="Arial" w:hAnsi="Arial"/>
                <w:sz w:val="18"/>
                <w:szCs w:val="18"/>
                <w:color w:val="auto"/>
              </w:rPr>
              <w:t>Net (loss) income attributable to Aramark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(90,833)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(461,529)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448,549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5940" w:type="dxa"/>
            <w:vAlign w:val="bottom"/>
          </w:tcPr>
          <w:p>
            <w:pPr>
              <w:ind w:left="460"/>
              <w:spacing w:after="0"/>
              <w:rPr>
                <w:sz w:val="20"/>
                <w:szCs w:val="20"/>
                <w:color w:val="auto"/>
              </w:rPr>
            </w:pPr>
            <w:r>
              <w:rPr>
                <w:rFonts w:ascii="Arial" w:cs="Arial" w:eastAsia="Arial" w:hAnsi="Arial"/>
                <w:sz w:val="18"/>
                <w:szCs w:val="18"/>
                <w:color w:val="auto"/>
              </w:rPr>
              <w:t>Basic weighted-average shares outstanding</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254,748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251,828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246,854</w:t>
            </w:r>
          </w:p>
        </w:tc>
      </w:tr>
      <w:tr>
        <w:trPr>
          <w:trHeight w:val="229"/>
        </w:trPr>
        <w:tc>
          <w:tcPr>
            <w:tcW w:w="59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r>
      <w:tr>
        <w:trPr>
          <w:trHeight w:val="223"/>
        </w:trPr>
        <w:tc>
          <w:tcPr>
            <w:tcW w:w="5940" w:type="dxa"/>
            <w:vAlign w:val="bottom"/>
          </w:tcPr>
          <w:p>
            <w:pPr>
              <w:ind w:left="46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254,748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252,010</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income attributable to Aramark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Diluted (Loss) Earnings Per Share:</w:t>
            </w: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(loss) income attributable to Aramark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bl>
    <w:p>
      <w:pPr>
        <w:spacing w:after="0" w:line="202" w:lineRule="exact"/>
        <w:rPr>
          <w:sz w:val="20"/>
          <w:szCs w:val="20"/>
          <w:color w:val="auto"/>
        </w:rPr>
      </w:pPr>
    </w:p>
    <w:p>
      <w:pPr>
        <w:ind w:left="400" w:right="580" w:hanging="374"/>
        <w:spacing w:after="0" w:line="226" w:lineRule="auto"/>
        <w:tabs>
          <w:tab w:leader="none" w:pos="40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Incremental shares of 2.0 million and 2.3 million have been excluded from the computation of diluted weighted-average shares outstanding for the fiscal years ended October 1, 2021 and October 2, 2020, respectively, because the effect would have been antidilutive due to the net loss attributable to Aramark stockholders during both periods.</w:t>
      </w:r>
    </w:p>
    <w:p>
      <w:pPr>
        <w:spacing w:after="0" w:line="177"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Share-based awards to purchase 8.8 million, 7.7 million and 5.2 million shares were outstanding at October 1, 2021, October 2, 2020 and September 27, 2019, respectively, but were not included in the computation of diluted (loss) earnings per common share, as their effect would have been antidilutive. In addition, PSUs related to 0.6 million shares, 1.1 million shares and 1.3 million shares were outstanding at October 1, 2021, October 2, 2020 and September 27, 2019, respectively, but were not included in the computation of diluted (loss) earnings per common share, as the performance targets were not yet met. PSUs related to 0.4 million shares did not vest due to performance targets that were not met.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has capital and other purchase commitments of approximately $612.3 million at October 1, 2021, primarily in connection with commitments for capital projects to help finance improvements or renovations at the facilities in which the Company operates.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 October 1, 2021, the Company also has letters of credit outstanding in the amount of $120.5 million.</w:t>
      </w:r>
    </w:p>
    <w:p>
      <w:pPr>
        <w:spacing w:after="0" w:line="10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except for the matters disclosed below,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5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Company is involved in a dispute with a client regarding Aramark’s provision of services pursuant to a contract. The Company continues to simultaneously litigate the matter and attempt to reach a negotiated resolution. The Company recorded 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reserve for this matter as it is probable that a liability has been incurred and the amount of the loss can be reasonably estimated. As of October 1, 2021, the Company has accrued its best estimate of the probable loss associated with this contract, which is approximately $19.1 million. The Company continues to believe it is reasonably possible that this potential exposure may change in the near term based on the outcome of either the settlement negotiations or through continued litigation.</w:t>
      </w:r>
    </w:p>
    <w:p>
      <w:pPr>
        <w:spacing w:after="0" w:line="5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fiscal 2019, Eric J. Foss, the Company's former Chairman, President and Chief Executive Officer, stepped down and $10.4 million of cash compensation related charges were recognized related to his separation from the Company. There are no remaining obligations related to his separation from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2019, the Company was a defendant in two class action lawsuits alleging breach of contract, promissory estoppel, unjust enrichment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various state law claims for failure to pay employee annual incentive bonuses related to the 2018 fiscal year. In November 2019, the Company settled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lawsuits with the plaintiffs for approximately $21.0 million, which includes payments to the class members, attorneys' fees and other expenses.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 million settlement charge, $12.0 million was expensed in "Cost of services provided (exclusive of depreciation and amortization)" and $9.0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expensed in "Selling and general corporate expenses" on the Consolidated Statements of (Loss) Income during fiscal 2019. The settlement charge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paid during the fourth quarter of fiscal 2020 and there is no remaining obligation related to this matter.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SEGMENTS:</w:t>
      </w:r>
    </w:p>
    <w:p>
      <w:pPr>
        <w:spacing w:after="0" w:line="94"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The Company reports its operating results in three reportable segments: FSS United States, FSS International and Uniform. Corporate includes general expenses not specifically allocated to an individual segment and share-based compensation expense (see Note 12). In the Company's food and support services segments, approximately 71% of the global revenue is related to food services and 29% is related to facilities services. COVID-19 had a negative impact on revenue, operating income (loss), capital expenditures and other identifiable assets for all segments in fiscal 2021 and fiscal 2020. The Company's financial results began to improve during the second half of fiscal 2021 as lockdowns were lifted and operations began to re-open as well as from actions to reduce variable and fixed costs, including headcount reductions primarily taken during the second half of fiscal 2020. During fiscal 2021, the Company identified an observable price change related to an equity investment without a readily determinable fair value and recognized a</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$137.9 million non-cash gain on the Consolidated Statements of (Loss) Income. The Company terminated certain Canadian defined benefit pension plans and recognized a $60.9 million non-cash loss on the Consolidated Statements of (Loss) Income during fiscal 2021. During fiscal 2021 and fiscal 2020, the Company received proceeds of approximately $10.0 million and $15.3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Consolidated Statements of (Loss) Income. During fiscal 2020, the Company recognized a $198.6 million impairment charge related to one reporting unit in its FSS International segment (see Note 4). During fiscal 2020, each reportable segment recorded severance charges related to COVID-19 adding up to approximately $145.8 million (see Note 3). During fiscal 2020, the Company reversed $29.8 million of previously recognized share-based compensation expense based on lower than estimated target attainment on plan metrics on each of the fiscal 2018, fiscal 2019 and fiscal 2020 PSU grants (see Note 12). Financial information by segment follows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 xml:space="preserve">Revenue </w:t>
            </w:r>
            <w:r>
              <w:rPr>
                <w:rFonts w:ascii="Arial" w:cs="Arial" w:eastAsia="Arial" w:hAnsi="Arial"/>
                <w:sz w:val="18"/>
                <w:szCs w:val="18"/>
                <w:b w:val="1"/>
                <w:bCs w:val="1"/>
                <w:color w:val="auto"/>
                <w:w w:val="85"/>
                <w:vertAlign w:val="superscript"/>
              </w:rPr>
              <w:t>(1)</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81"/>
        </w:trPr>
        <w:tc>
          <w:tcPr>
            <w:tcW w:w="5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r>
        <w:trPr>
          <w:trHeight w:val="183"/>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2020</w:t>
            </w:r>
          </w:p>
        </w:tc>
        <w:tc>
          <w:tcPr>
            <w:tcW w:w="180" w:type="dxa"/>
            <w:vAlign w:val="bottom"/>
          </w:tcPr>
          <w:p>
            <w:pPr>
              <w:spacing w:after="0"/>
              <w:rPr>
                <w:sz w:val="15"/>
                <w:szCs w:val="15"/>
                <w:color w:val="auto"/>
              </w:rPr>
            </w:pPr>
          </w:p>
        </w:tc>
        <w:tc>
          <w:tcPr>
            <w:tcW w:w="152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6,809.3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9,898.6</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2,866.2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3,742.9</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w:t>
            </w:r>
          </w:p>
        </w:tc>
      </w:tr>
      <w:tr>
        <w:trPr>
          <w:trHeight w:val="223"/>
        </w:trPr>
        <w:tc>
          <w:tcPr>
            <w:tcW w:w="59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16,227.3</w:t>
            </w:r>
          </w:p>
        </w:tc>
      </w:tr>
      <w:tr>
        <w:trPr>
          <w:trHeight w:val="20"/>
        </w:trPr>
        <w:tc>
          <w:tcPr>
            <w:tcW w:w="5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 xml:space="preserve">Operating Income (Loss) </w:t>
            </w:r>
            <w:r>
              <w:rPr>
                <w:rFonts w:ascii="Arial" w:cs="Arial" w:eastAsia="Arial" w:hAnsi="Arial"/>
                <w:sz w:val="18"/>
                <w:szCs w:val="18"/>
                <w:b w:val="1"/>
                <w:bCs w:val="1"/>
                <w:color w:val="auto"/>
                <w:w w:val="90"/>
                <w:vertAlign w:val="superscript"/>
              </w:rPr>
              <w:t>(1)</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r>
      <w:tr>
        <w:trPr>
          <w:trHeight w:val="181"/>
        </w:trPr>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r>
      <w:tr>
        <w:trPr>
          <w:trHeight w:val="183"/>
        </w:trPr>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1, 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2020</w:t>
            </w:r>
          </w:p>
        </w:tc>
        <w:tc>
          <w:tcPr>
            <w:tcW w:w="180" w:type="dxa"/>
            <w:vAlign w:val="bottom"/>
          </w:tcPr>
          <w:p>
            <w:pPr>
              <w:spacing w:after="0"/>
              <w:rPr>
                <w:sz w:val="15"/>
                <w:szCs w:val="15"/>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September 27, 2019</w:t>
            </w:r>
          </w:p>
        </w:tc>
      </w:tr>
      <w:tr>
        <w:trPr>
          <w:trHeight w:val="224"/>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23"/>
        </w:trPr>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1,050.8</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891.2</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Equity Investment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Loss on Defined Benefit Pension Plan Termination</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23"/>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(Loss) Income Before Income Taxes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w:t>
            </w:r>
          </w:p>
        </w:tc>
      </w:tr>
      <w:tr>
        <w:trPr>
          <w:trHeight w:val="21"/>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79"/>
        </w:trPr>
        <w:tc>
          <w:tcPr>
            <w:tcW w:w="5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Depreciation and Amortization</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87"/>
        </w:trPr>
        <w:tc>
          <w:tcPr>
            <w:tcW w:w="5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3"/>
        </w:trPr>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1, 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2020</w:t>
            </w:r>
          </w:p>
        </w:tc>
        <w:tc>
          <w:tcPr>
            <w:tcW w:w="180" w:type="dxa"/>
            <w:vAlign w:val="bottom"/>
          </w:tcPr>
          <w:p>
            <w:pPr>
              <w:spacing w:after="0"/>
              <w:rPr>
                <w:sz w:val="15"/>
                <w:szCs w:val="15"/>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September 27, 2019</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381.6</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48"/>
        </w:trPr>
        <w:tc>
          <w:tcPr>
            <w:tcW w:w="59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592.6</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359"/>
        </w:trPr>
        <w:tc>
          <w:tcPr>
            <w:tcW w:w="5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left="1193"/>
              <w:spacing w:after="0"/>
              <w:rPr>
                <w:sz w:val="20"/>
                <w:szCs w:val="20"/>
                <w:color w:val="auto"/>
              </w:rPr>
            </w:pPr>
            <w:r>
              <w:rPr>
                <w:rFonts w:ascii="Arial" w:cs="Arial" w:eastAsia="Arial" w:hAnsi="Arial"/>
                <w:sz w:val="14"/>
                <w:szCs w:val="14"/>
                <w:b w:val="1"/>
                <w:bCs w:val="1"/>
                <w:color w:val="auto"/>
                <w:w w:val="95"/>
              </w:rPr>
              <w:t>Capital Expenditures and Other</w:t>
            </w:r>
          </w:p>
        </w:tc>
        <w:tc>
          <w:tcPr>
            <w:tcW w:w="1520" w:type="dxa"/>
            <w:vAlign w:val="bottom"/>
            <w:tcBorders>
              <w:bottom w:val="single" w:sz="8" w:color="auto"/>
            </w:tcBorders>
          </w:tcPr>
          <w:p>
            <w:pPr>
              <w:spacing w:after="0"/>
              <w:rPr>
                <w:sz w:val="24"/>
                <w:szCs w:val="24"/>
                <w:color w:val="auto"/>
              </w:rPr>
            </w:pPr>
          </w:p>
        </w:tc>
      </w:tr>
      <w:tr>
        <w:trPr>
          <w:trHeight w:val="187"/>
        </w:trPr>
        <w:tc>
          <w:tcPr>
            <w:tcW w:w="59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3"/>
        </w:trPr>
        <w:tc>
          <w:tcPr>
            <w:tcW w:w="5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273"/>
              <w:spacing w:after="0"/>
              <w:rPr>
                <w:sz w:val="20"/>
                <w:szCs w:val="20"/>
                <w:color w:val="auto"/>
              </w:rPr>
            </w:pPr>
            <w:r>
              <w:rPr>
                <w:rFonts w:ascii="Arial" w:cs="Arial" w:eastAsia="Arial" w:hAnsi="Arial"/>
                <w:sz w:val="14"/>
                <w:szCs w:val="14"/>
                <w:b w:val="1"/>
                <w:bCs w:val="1"/>
                <w:color w:val="auto"/>
              </w:rPr>
              <w:t>October 1, 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2020</w:t>
            </w:r>
          </w:p>
        </w:tc>
        <w:tc>
          <w:tcPr>
            <w:tcW w:w="180" w:type="dxa"/>
            <w:vAlign w:val="bottom"/>
          </w:tcPr>
          <w:p>
            <w:pPr>
              <w:spacing w:after="0"/>
              <w:rPr>
                <w:sz w:val="15"/>
                <w:szCs w:val="15"/>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September 27, 2019</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59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73"/>
        </w:trPr>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4"/>
                <w:szCs w:val="14"/>
                <w:b w:val="1"/>
                <w:bCs w:val="1"/>
                <w:color w:val="auto"/>
              </w:rPr>
              <w:t>Identifiable Assets</w:t>
            </w:r>
          </w:p>
        </w:tc>
      </w:tr>
      <w:tr>
        <w:trPr>
          <w:trHeight w:val="187"/>
        </w:trPr>
        <w:tc>
          <w:tcPr>
            <w:tcW w:w="5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1, 2021</w:t>
            </w:r>
          </w:p>
        </w:tc>
        <w:tc>
          <w:tcPr>
            <w:tcW w:w="180" w:type="dxa"/>
            <w:vAlign w:val="bottom"/>
          </w:tcPr>
          <w:p>
            <w:pPr>
              <w:spacing w:after="0"/>
              <w:rPr>
                <w:sz w:val="16"/>
                <w:szCs w:val="16"/>
                <w:color w:val="auto"/>
              </w:rPr>
            </w:pPr>
          </w:p>
        </w:tc>
        <w:tc>
          <w:tcPr>
            <w:tcW w:w="152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October 2, 2020</w:t>
            </w:r>
          </w:p>
        </w:tc>
      </w:tr>
      <w:tr>
        <w:trPr>
          <w:trHeight w:val="224"/>
        </w:trPr>
        <w:tc>
          <w:tcPr>
            <w:tcW w:w="5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8,171.6</w:t>
            </w: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1,963.2</w:t>
            </w:r>
          </w:p>
        </w:tc>
      </w:tr>
      <w:tr>
        <w:trPr>
          <w:trHeight w:val="22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w:t>
            </w:r>
          </w:p>
        </w:tc>
      </w:tr>
      <w:tr>
        <w:trPr>
          <w:trHeight w:val="230"/>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2,418.0</w:t>
            </w:r>
          </w:p>
        </w:tc>
      </w:tr>
      <w:tr>
        <w:trPr>
          <w:trHeight w:val="230"/>
        </w:trPr>
        <w:tc>
          <w:tcPr>
            <w:tcW w:w="59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15,712.7</w:t>
            </w:r>
          </w:p>
        </w:tc>
      </w:tr>
    </w:tbl>
    <w:p>
      <w:pPr>
        <w:ind w:left="20"/>
        <w:spacing w:after="0"/>
        <w:rPr>
          <w:sz w:val="20"/>
          <w:szCs w:val="20"/>
          <w:color w:val="auto"/>
        </w:rPr>
      </w:pPr>
      <w:r>
        <w:rPr>
          <w:rFonts w:ascii="Arial" w:cs="Arial" w:eastAsia="Arial" w:hAnsi="Arial"/>
          <w:sz w:val="13"/>
          <w:szCs w:val="13"/>
          <w:color w:val="auto"/>
        </w:rPr>
        <w:t>* Fiscal 2020 includes cash on hand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-85725</wp:posOffset>
            </wp:positionV>
            <wp:extent cx="22288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geographic data include revenue generated by subsidiaries within that geographic area and net property &amp; equipment based on physical location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Revenue</w:t>
            </w:r>
            <w:r>
              <w:rPr>
                <w:rFonts w:ascii="Arial" w:cs="Arial" w:eastAsia="Arial" w:hAnsi="Arial"/>
                <w:sz w:val="9"/>
                <w:szCs w:val="9"/>
                <w:b w:val="1"/>
                <w:bCs w:val="1"/>
                <w:color w:val="auto"/>
                <w:w w:val="92"/>
              </w:rPr>
              <w:t>(1)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5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3"/>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1, 2021</w:t>
            </w:r>
          </w:p>
        </w:tc>
        <w:tc>
          <w:tcPr>
            <w:tcW w:w="20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2020</w:t>
            </w:r>
          </w:p>
        </w:tc>
        <w:tc>
          <w:tcPr>
            <w:tcW w:w="180" w:type="dxa"/>
            <w:vAlign w:val="bottom"/>
          </w:tcPr>
          <w:p>
            <w:pPr>
              <w:spacing w:after="0"/>
              <w:rPr>
                <w:sz w:val="15"/>
                <w:szCs w:val="15"/>
                <w:color w:val="auto"/>
              </w:rPr>
            </w:pPr>
          </w:p>
        </w:tc>
        <w:tc>
          <w:tcPr>
            <w:tcW w:w="152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September 27, 2019</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12,070.0</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4,157.3</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16,227.3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373"/>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775"/>
              <w:spacing w:after="0"/>
              <w:rPr>
                <w:sz w:val="20"/>
                <w:szCs w:val="20"/>
                <w:color w:val="auto"/>
              </w:rPr>
            </w:pPr>
            <w:r>
              <w:rPr>
                <w:rFonts w:ascii="Arial" w:cs="Arial" w:eastAsia="Arial" w:hAnsi="Arial"/>
                <w:sz w:val="14"/>
                <w:szCs w:val="14"/>
                <w:b w:val="1"/>
                <w:bCs w:val="1"/>
                <w:color w:val="auto"/>
              </w:rPr>
              <w:t>Property and Equipment, net</w:t>
            </w:r>
          </w:p>
        </w:tc>
      </w:tr>
      <w:tr>
        <w:trPr>
          <w:trHeight w:val="187"/>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1, 2021</w:t>
            </w:r>
          </w:p>
        </w:tc>
        <w:tc>
          <w:tcPr>
            <w:tcW w:w="180" w:type="dxa"/>
            <w:vAlign w:val="bottom"/>
          </w:tcPr>
          <w:p>
            <w:pPr>
              <w:spacing w:after="0"/>
              <w:rPr>
                <w:sz w:val="16"/>
                <w:szCs w:val="16"/>
                <w:color w:val="auto"/>
              </w:rPr>
            </w:pPr>
          </w:p>
        </w:tc>
        <w:tc>
          <w:tcPr>
            <w:tcW w:w="1520" w:type="dxa"/>
            <w:vAlign w:val="bottom"/>
          </w:tcPr>
          <w:p>
            <w:pPr>
              <w:jc w:val="right"/>
              <w:ind w:right="275"/>
              <w:spacing w:after="0"/>
              <w:rPr>
                <w:sz w:val="20"/>
                <w:szCs w:val="20"/>
                <w:color w:val="auto"/>
              </w:rPr>
            </w:pPr>
            <w:r>
              <w:rPr>
                <w:rFonts w:ascii="Arial" w:cs="Arial" w:eastAsia="Arial" w:hAnsi="Arial"/>
                <w:sz w:val="14"/>
                <w:szCs w:val="14"/>
                <w:b w:val="1"/>
                <w:bCs w:val="1"/>
                <w:color w:val="auto"/>
              </w:rPr>
              <w:t>October 2, 2020</w:t>
            </w:r>
          </w:p>
        </w:tc>
      </w:tr>
      <w:tr>
        <w:trPr>
          <w:trHeight w:val="224"/>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r>
      <w:tr>
        <w:trPr>
          <w:trHeight w:val="248"/>
        </w:trPr>
        <w:tc>
          <w:tcPr>
            <w:tcW w:w="5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hanging="347"/>
        <w:spacing w:after="0"/>
        <w:tabs>
          <w:tab w:leader="none" w:pos="4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Revenue and operating income (loss) for all segments in fiscal 2021 and fiscal 2020 were negatively impacted by COVID-19.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ASSETS AND FINANCIAL LIABILITIES:</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44" w:lineRule="exact"/>
        <w:rPr>
          <w:sz w:val="20"/>
          <w:szCs w:val="20"/>
          <w:color w:val="auto"/>
        </w:rPr>
      </w:pPr>
    </w:p>
    <w:p>
      <w:pPr>
        <w:ind w:left="580" w:hanging="248"/>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90" w:lineRule="exact"/>
        <w:rPr>
          <w:rFonts w:ascii="Arial" w:cs="Arial" w:eastAsia="Arial" w:hAnsi="Arial"/>
          <w:sz w:val="18"/>
          <w:szCs w:val="18"/>
          <w:color w:val="auto"/>
        </w:rPr>
      </w:pPr>
    </w:p>
    <w:p>
      <w:pPr>
        <w:ind w:left="660" w:right="780" w:hanging="328"/>
        <w:spacing w:after="0" w:line="308" w:lineRule="auto"/>
        <w:tabs>
          <w:tab w:leader="none" w:pos="579" w:val="left"/>
        </w:tabs>
        <w:numPr>
          <w:ilvl w:val="0"/>
          <w:numId w:val="71"/>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4" w:lineRule="exact"/>
        <w:rPr>
          <w:rFonts w:ascii="Arial" w:cs="Arial" w:eastAsia="Arial" w:hAnsi="Arial"/>
          <w:sz w:val="17"/>
          <w:szCs w:val="17"/>
          <w:color w:val="auto"/>
        </w:rPr>
      </w:pPr>
    </w:p>
    <w:p>
      <w:pPr>
        <w:ind w:left="580" w:hanging="248"/>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the gross values would not be materially different. The fair value of the Company's debt at October 1, 2021 and October 2, 2020 was $7,580.7 million and $9,260.0 million, respectively. The carrying value of the Company's debt at October 1, 2021 and October 2, 2020 was $7,452.3 million and $9,278.4 million, respectively. The fair values were computed using market quotes, if available, or based on discounted cash flows using market interest rates as of the end of the respective periods. The inputs utilized in estimating the fair value of the Company's debt has been classified as Level 2 in the fair value hierarchy levels.</w:t>
      </w:r>
    </w:p>
    <w:p>
      <w:pPr>
        <w:spacing w:after="0" w:line="4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As part of the Next Level acquisition (see Note 2), the Company used a Monte Carlo simulation in an option pricing framework (an income approach) to value the contingent consideration liability. The inputs utilized in estimating the fair value of the contingent consideration have been classified as Level 3 in the fair value hierarchy levels and are subject to risk and uncertainty. The Monte Carlo simulation calculation is dependent on several subjective factors including future earnings, volatility, and the discount rate. If assumptions or estimates vary from what was expected, the fair value of the contingent consideration liability may materially change. The fair value of the contingent consideration liability at October 1, 2021 was $78.4 million.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 AND RESERVES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OCTOBER 1, 2021, OCTOBER 2, 2020 AND SEPTEMBER 27, 2019</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Reductions</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Beginning of</w:t>
            </w:r>
          </w:p>
        </w:tc>
        <w:tc>
          <w:tcPr>
            <w:tcW w:w="300" w:type="dxa"/>
            <w:vAlign w:val="bottom"/>
          </w:tcPr>
          <w:p>
            <w:pPr>
              <w:spacing w:after="0"/>
              <w:rPr>
                <w:sz w:val="10"/>
                <w:szCs w:val="10"/>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Charged to</w:t>
            </w:r>
          </w:p>
        </w:tc>
        <w:tc>
          <w:tcPr>
            <w:tcW w:w="220" w:type="dxa"/>
            <w:vAlign w:val="bottom"/>
          </w:tcPr>
          <w:p>
            <w:pPr>
              <w:spacing w:after="0"/>
              <w:rPr>
                <w:sz w:val="10"/>
                <w:szCs w:val="10"/>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Deductions from</w:t>
            </w:r>
          </w:p>
        </w:tc>
        <w:tc>
          <w:tcPr>
            <w:tcW w:w="340" w:type="dxa"/>
            <w:vAlign w:val="bottom"/>
          </w:tcPr>
          <w:p>
            <w:pPr>
              <w:spacing w:after="0"/>
              <w:rPr>
                <w:sz w:val="10"/>
                <w:szCs w:val="10"/>
                <w:color w:val="auto"/>
              </w:rPr>
            </w:pPr>
          </w:p>
        </w:tc>
        <w:tc>
          <w:tcPr>
            <w:tcW w:w="1340" w:type="dxa"/>
            <w:vAlign w:val="bottom"/>
          </w:tcPr>
          <w:p>
            <w:pPr>
              <w:jc w:val="center"/>
              <w:ind w:right="295"/>
              <w:spacing w:after="0" w:line="122" w:lineRule="exact"/>
              <w:rPr>
                <w:sz w:val="20"/>
                <w:szCs w:val="20"/>
                <w:color w:val="auto"/>
              </w:rPr>
            </w:pPr>
            <w:r>
              <w:rPr>
                <w:rFonts w:ascii="Arial" w:cs="Arial" w:eastAsia="Arial" w:hAnsi="Arial"/>
                <w:sz w:val="14"/>
                <w:szCs w:val="14"/>
                <w:b w:val="1"/>
                <w:bCs w:val="1"/>
                <w:color w:val="auto"/>
                <w:w w:val="90"/>
              </w:rPr>
              <w:t>Balance,</w:t>
            </w: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jc w:val="center"/>
              <w:ind w:right="295"/>
              <w:spacing w:after="0" w:line="13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3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6"/>
                <w:szCs w:val="16"/>
                <w:color w:val="auto"/>
              </w:rPr>
            </w:pPr>
          </w:p>
        </w:tc>
        <w:tc>
          <w:tcPr>
            <w:tcW w:w="1580" w:type="dxa"/>
            <w:vAlign w:val="bottom"/>
            <w:gridSpan w:val="2"/>
          </w:tcPr>
          <w:p>
            <w:pPr>
              <w:jc w:val="center"/>
              <w:ind w:right="340"/>
              <w:spacing w:after="0" w:line="189" w:lineRule="exact"/>
              <w:rPr>
                <w:sz w:val="20"/>
                <w:szCs w:val="20"/>
                <w:color w:val="auto"/>
              </w:rPr>
            </w:pPr>
            <w:r>
              <w:rPr>
                <w:rFonts w:ascii="Arial" w:cs="Arial" w:eastAsia="Arial" w:hAnsi="Arial"/>
                <w:sz w:val="13"/>
                <w:szCs w:val="13"/>
                <w:b w:val="1"/>
                <w:bCs w:val="1"/>
                <w:color w:val="auto"/>
                <w:w w:val="90"/>
              </w:rPr>
              <w:t>Reserves</w:t>
            </w:r>
            <w:r>
              <w:rPr>
                <w:rFonts w:ascii="Arial" w:cs="Arial" w:eastAsia="Arial" w:hAnsi="Arial"/>
                <w:sz w:val="21"/>
                <w:szCs w:val="21"/>
                <w:b w:val="1"/>
                <w:bCs w:val="1"/>
                <w:color w:val="auto"/>
                <w:w w:val="90"/>
                <w:vertAlign w:val="superscript"/>
              </w:rPr>
              <w:t>(1)</w:t>
            </w:r>
          </w:p>
        </w:tc>
        <w:tc>
          <w:tcPr>
            <w:tcW w:w="340" w:type="dxa"/>
            <w:vAlign w:val="bottom"/>
          </w:tcPr>
          <w:p>
            <w:pPr>
              <w:spacing w:after="0"/>
              <w:rPr>
                <w:sz w:val="16"/>
                <w:szCs w:val="16"/>
                <w:color w:val="auto"/>
              </w:rPr>
            </w:pPr>
          </w:p>
        </w:tc>
        <w:tc>
          <w:tcPr>
            <w:tcW w:w="134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Fiscal Year 2021</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74,925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13,544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8,825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79,644</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Fiscal Year 2020</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64,655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39,296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74,925</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Fiscal Year 2019</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52,682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21,821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24,937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49,566</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40" w:hanging="380"/>
        <w:spacing w:after="0"/>
        <w:tabs>
          <w:tab w:leader="none" w:pos="440" w:val="left"/>
        </w:tabs>
        <w:numPr>
          <w:ilvl w:val="0"/>
          <w:numId w:val="72"/>
        </w:numPr>
        <w:rPr>
          <w:rFonts w:ascii="Arial" w:cs="Arial" w:eastAsia="Arial" w:hAnsi="Arial"/>
          <w:sz w:val="25"/>
          <w:szCs w:val="25"/>
          <w:color w:val="auto"/>
          <w:vertAlign w:val="superscript"/>
        </w:rPr>
      </w:pPr>
      <w:r>
        <w:rPr>
          <w:rFonts w:ascii="Arial" w:cs="Arial" w:eastAsia="Arial" w:hAnsi="Arial"/>
          <w:sz w:val="13"/>
          <w:szCs w:val="13"/>
          <w:color w:val="auto"/>
        </w:rPr>
        <w:t>Amounts determined not to be collectible and charged against the reserve and translation.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Copies of any of the following exhibits are available to Stockholders for the cost of reproduction upon written request to the Secretary, Aramark, 2400 Market Street, Philadelphia, PA 19103.</w:t>
      </w:r>
    </w:p>
    <w:p>
      <w:pPr>
        <w:spacing w:after="0" w:line="85" w:lineRule="exact"/>
        <w:rPr>
          <w:sz w:val="20"/>
          <w:szCs w:val="20"/>
          <w:color w:val="auto"/>
        </w:rPr>
      </w:pPr>
    </w:p>
    <w:p>
      <w:pPr>
        <w:ind w:left="520"/>
        <w:spacing w:after="0"/>
        <w:tabs>
          <w:tab w:leader="none" w:pos="590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30" w:lineRule="exact"/>
        <w:rPr>
          <w:sz w:val="20"/>
          <w:szCs w:val="20"/>
          <w:color w:val="auto"/>
        </w:rPr>
      </w:pPr>
    </w:p>
    <w:p>
      <w:pPr>
        <w:ind w:left="1280" w:right="100" w:hanging="458"/>
        <w:spacing w:after="0" w:line="224" w:lineRule="auto"/>
        <w:tabs>
          <w:tab w:leader="none" w:pos="1260" w:val="left"/>
        </w:tabs>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28">
        <w:r>
          <w:rPr>
            <w:rFonts w:ascii="Arial" w:cs="Arial" w:eastAsia="Arial" w:hAnsi="Arial"/>
            <w:sz w:val="18"/>
            <w:szCs w:val="18"/>
            <w:u w:val="single" w:color="auto"/>
            <w:color w:val="0000FF"/>
          </w:rPr>
          <w:t>Agreement and Plan of Merger, dated October 13, 2017, by and among Avendra LLC, Aramark, Capital Merger Sub, LLC, and Marriott</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International, Inc., as Holder Representative (incorporated by reference to Exhibit 2.1 to Aramark's Current Report on Form 8-K filed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with the SEC on October 16, 2017, pursuant to the Exchange Act (file number 001-36223)).</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802005</wp:posOffset>
            </wp:positionH>
            <wp:positionV relativeFrom="paragraph">
              <wp:posOffset>-367030</wp:posOffset>
            </wp:positionV>
            <wp:extent cx="63265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326505" cy="8255"/>
                    </a:xfrm>
                    <a:prstGeom prst="rect">
                      <a:avLst/>
                    </a:prstGeom>
                    <a:noFill/>
                  </pic:spPr>
                </pic:pic>
              </a:graphicData>
            </a:graphic>
          </wp:anchor>
        </w:drawing>
      </w:r>
    </w:p>
    <w:p>
      <w:pPr>
        <w:ind w:left="1280" w:right="80" w:hanging="458"/>
        <w:spacing w:after="0" w:line="237" w:lineRule="auto"/>
        <w:tabs>
          <w:tab w:leader="none" w:pos="1260" w:val="left"/>
        </w:tabs>
        <w:rPr>
          <w:rFonts w:ascii="Arial" w:cs="Arial" w:eastAsia="Arial" w:hAnsi="Arial"/>
          <w:sz w:val="17"/>
          <w:szCs w:val="17"/>
          <w:u w:val="single" w:color="auto"/>
          <w:color w:val="0000FF"/>
        </w:rPr>
      </w:pPr>
      <w:hyperlink r:id="rId130">
        <w:r>
          <w:rPr>
            <w:rFonts w:ascii="Arial" w:cs="Arial" w:eastAsia="Arial" w:hAnsi="Arial"/>
            <w:sz w:val="18"/>
            <w:szCs w:val="18"/>
            <w:u w:val="single" w:color="auto"/>
            <w:color w:val="0000FF"/>
          </w:rPr>
          <w:t>2.2#</w:t>
        </w:r>
      </w:hyperlink>
      <w:r>
        <w:rPr>
          <w:rFonts w:ascii="Arial" w:cs="Arial" w:eastAsia="Arial" w:hAnsi="Arial"/>
          <w:sz w:val="18"/>
          <w:szCs w:val="18"/>
          <w:u w:val="single" w:color="auto"/>
          <w:color w:val="0000FF"/>
        </w:rPr>
        <w:tab/>
      </w:r>
      <w:hyperlink r:id="rId130">
        <w:r>
          <w:rPr>
            <w:rFonts w:ascii="Arial" w:cs="Arial" w:eastAsia="Arial" w:hAnsi="Arial"/>
            <w:sz w:val="17"/>
            <w:szCs w:val="17"/>
            <w:u w:val="single" w:color="auto"/>
            <w:color w:val="0000FF"/>
          </w:rPr>
          <w:t>Agreement and Plan of Merger, dated October 13, 2017, by and among AmeriPride Services Inc., Aramark, Timberwolf Acquisition</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Corporation, and Bruce M. Steiner, as Stockholder Representative (incorporated by reference to Exhibit 2.2 to Aramark's Current Report</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on Form 8-K filed with the SEC on October 16, 2017, pursuant to the Exchange Act (file number 001-36223)).</w:t>
        </w:r>
      </w:hyperlink>
    </w:p>
    <w:p>
      <w:pPr>
        <w:spacing w:after="0" w:line="1" w:lineRule="exact"/>
        <w:rPr>
          <w:rFonts w:ascii="Arial" w:cs="Arial" w:eastAsia="Arial" w:hAnsi="Arial"/>
          <w:sz w:val="17"/>
          <w:szCs w:val="17"/>
          <w:u w:val="single" w:color="auto"/>
          <w:color w:val="0000FF"/>
        </w:rPr>
      </w:pPr>
    </w:p>
    <w:p>
      <w:pPr>
        <w:ind w:left="1280" w:right="200" w:hanging="368"/>
        <w:spacing w:after="0" w:line="248" w:lineRule="auto"/>
        <w:tabs>
          <w:tab w:leader="none" w:pos="1260" w:val="left"/>
        </w:tabs>
        <w:rPr>
          <w:rFonts w:ascii="Arial" w:cs="Arial" w:eastAsia="Arial" w:hAnsi="Arial"/>
          <w:sz w:val="17"/>
          <w:szCs w:val="17"/>
          <w:u w:val="single" w:color="auto"/>
          <w:color w:val="0000FF"/>
        </w:rPr>
      </w:pPr>
      <w:hyperlink r:id="rId131">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31">
        <w:r>
          <w:rPr>
            <w:rFonts w:ascii="Arial" w:cs="Arial" w:eastAsia="Arial" w:hAnsi="Arial"/>
            <w:sz w:val="17"/>
            <w:szCs w:val="17"/>
            <w:u w:val="single" w:color="auto"/>
            <w:color w:val="0000FF"/>
          </w:rPr>
          <w:t>Second Amended and Restated Certificate of Incorporation of Aramark (incorporated by reference to Exhibit 3.1 to Aramark’s Current</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Report on Form 8-K filed with the SEC on January 31, 2020,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1280" w:right="160" w:hanging="368"/>
        <w:spacing w:after="0" w:line="234" w:lineRule="auto"/>
        <w:tabs>
          <w:tab w:leader="none" w:pos="1260" w:val="left"/>
        </w:tabs>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32">
        <w:r>
          <w:rPr>
            <w:rFonts w:ascii="Arial" w:cs="Arial" w:eastAsia="Arial" w:hAnsi="Arial"/>
            <w:sz w:val="18"/>
            <w:szCs w:val="18"/>
            <w:u w:val="single" w:color="auto"/>
            <w:color w:val="0000FF"/>
          </w:rPr>
          <w:t>Certificate of Ownership and Merger (incorporated by reference to Exhibit 3.1 to Aramark’s Current Report on Form 8-K filed with the</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SEC on May 15, 2014,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00" w:hanging="368"/>
        <w:spacing w:after="0" w:line="234" w:lineRule="auto"/>
        <w:tabs>
          <w:tab w:leader="none" w:pos="1260" w:val="left"/>
        </w:tabs>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3.3</w:t>
        </w:r>
      </w:hyperlink>
      <w:r>
        <w:rPr>
          <w:rFonts w:ascii="Arial" w:cs="Arial" w:eastAsia="Arial" w:hAnsi="Arial"/>
          <w:sz w:val="18"/>
          <w:szCs w:val="18"/>
          <w:u w:val="single" w:color="auto"/>
          <w:color w:val="0000FF"/>
        </w:rPr>
        <w:tab/>
      </w:r>
      <w:hyperlink r:id="rId133">
        <w:r>
          <w:rPr>
            <w:rFonts w:ascii="Arial" w:cs="Arial" w:eastAsia="Arial" w:hAnsi="Arial"/>
            <w:sz w:val="18"/>
            <w:szCs w:val="18"/>
            <w:u w:val="single" w:color="auto"/>
            <w:color w:val="0000FF"/>
          </w:rPr>
          <w:t>Third Amended and Restated By-laws of Aramark (incorporated by reference to Exhibit 3.1 to Aramark’s Current Report on Form 8-K</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filed with the SEC on December 16, 2020,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1280" w:right="140" w:hanging="368"/>
        <w:spacing w:after="0" w:line="237" w:lineRule="auto"/>
        <w:tabs>
          <w:tab w:leader="none" w:pos="1260" w:val="left"/>
        </w:tabs>
        <w:rPr>
          <w:rFonts w:ascii="Arial" w:cs="Arial" w:eastAsia="Arial" w:hAnsi="Arial"/>
          <w:sz w:val="17"/>
          <w:szCs w:val="17"/>
          <w:u w:val="single" w:color="auto"/>
          <w:color w:val="0000FF"/>
        </w:rPr>
      </w:pPr>
      <w:hyperlink r:id="rId134">
        <w:r>
          <w:rPr>
            <w:rFonts w:ascii="Arial" w:cs="Arial" w:eastAsia="Arial" w:hAnsi="Arial"/>
            <w:sz w:val="18"/>
            <w:szCs w:val="18"/>
            <w:u w:val="single" w:color="auto"/>
            <w:color w:val="0000FF"/>
          </w:rPr>
          <w:t>4.1</w:t>
        </w:r>
      </w:hyperlink>
      <w:r>
        <w:rPr>
          <w:rFonts w:ascii="Arial" w:cs="Arial" w:eastAsia="Arial" w:hAnsi="Arial"/>
          <w:sz w:val="18"/>
          <w:szCs w:val="18"/>
          <w:u w:val="single" w:color="auto"/>
          <w:color w:val="0000FF"/>
        </w:rPr>
        <w:tab/>
      </w:r>
      <w:hyperlink r:id="rId134">
        <w:r>
          <w:rPr>
            <w:rFonts w:ascii="Arial" w:cs="Arial" w:eastAsia="Arial" w:hAnsi="Arial"/>
            <w:sz w:val="17"/>
            <w:szCs w:val="17"/>
            <w:u w:val="single" w:color="auto"/>
            <w:color w:val="0000FF"/>
          </w:rPr>
          <w:t>Indenture dated as of March 22, 2017, among Aramark Services, Inc., as issuer, Aramark, as parent guarantor, the subsidiary guarantors</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named therein and The Bank of New York Mellon, as trustee (incorporated by reference to Exhibit 4.1 of Aramark's Current Report on</w:t>
        </w:r>
      </w:hyperlink>
      <w:r>
        <w:rPr>
          <w:rFonts w:ascii="Arial" w:cs="Arial" w:eastAsia="Arial" w:hAnsi="Arial"/>
          <w:sz w:val="17"/>
          <w:szCs w:val="17"/>
          <w:u w:val="single" w:color="auto"/>
          <w:color w:val="0000FF"/>
        </w:rPr>
        <w:t xml:space="preserve"> </w:t>
      </w:r>
      <w:hyperlink r:id="rId134">
        <w:r>
          <w:rPr>
            <w:rFonts w:ascii="Arial" w:cs="Arial" w:eastAsia="Arial" w:hAnsi="Arial"/>
            <w:sz w:val="17"/>
            <w:szCs w:val="17"/>
            <w:u w:val="single" w:color="auto"/>
            <w:color w:val="0000FF"/>
          </w:rPr>
          <w:t>Form 8-K filed with the SEC on March 28, 2017, pursuant to the Exchange Act (file number 001-36223)).</w:t>
        </w:r>
      </w:hyperlink>
    </w:p>
    <w:p>
      <w:pPr>
        <w:spacing w:after="0" w:line="1" w:lineRule="exact"/>
        <w:rPr>
          <w:rFonts w:ascii="Arial" w:cs="Arial" w:eastAsia="Arial" w:hAnsi="Arial"/>
          <w:sz w:val="17"/>
          <w:szCs w:val="17"/>
          <w:u w:val="single" w:color="auto"/>
          <w:color w:val="0000FF"/>
        </w:rPr>
      </w:pPr>
    </w:p>
    <w:p>
      <w:pPr>
        <w:ind w:left="1280" w:right="160" w:hanging="368"/>
        <w:spacing w:after="0" w:line="246" w:lineRule="auto"/>
        <w:tabs>
          <w:tab w:leader="none" w:pos="1260" w:val="left"/>
        </w:tabs>
        <w:rPr>
          <w:rFonts w:ascii="Arial" w:cs="Arial" w:eastAsia="Arial" w:hAnsi="Arial"/>
          <w:sz w:val="16"/>
          <w:szCs w:val="16"/>
          <w:u w:val="single" w:color="auto"/>
          <w:color w:val="0000FF"/>
        </w:rPr>
      </w:pPr>
      <w:hyperlink r:id="rId135">
        <w:r>
          <w:rPr>
            <w:rFonts w:ascii="Arial" w:cs="Arial" w:eastAsia="Arial" w:hAnsi="Arial"/>
            <w:sz w:val="18"/>
            <w:szCs w:val="18"/>
            <w:u w:val="single" w:color="auto"/>
            <w:color w:val="0000FF"/>
          </w:rPr>
          <w:t>4.2</w:t>
        </w:r>
      </w:hyperlink>
      <w:r>
        <w:rPr>
          <w:rFonts w:ascii="Arial" w:cs="Arial" w:eastAsia="Arial" w:hAnsi="Arial"/>
          <w:sz w:val="18"/>
          <w:szCs w:val="18"/>
          <w:u w:val="single" w:color="auto"/>
          <w:color w:val="0000FF"/>
        </w:rPr>
        <w:tab/>
      </w:r>
      <w:hyperlink r:id="rId135">
        <w:r>
          <w:rPr>
            <w:rFonts w:ascii="Arial" w:cs="Arial" w:eastAsia="Arial" w:hAnsi="Arial"/>
            <w:sz w:val="16"/>
            <w:szCs w:val="16"/>
            <w:u w:val="single" w:color="auto"/>
            <w:color w:val="0000FF"/>
          </w:rPr>
          <w:t>Indenture dated as of March 27, 2017, among Aramark International Finance S.à.r.l., as issuer, Aramark, as parent guarantor, Aramark</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Services, Inc., the other guarantors named therein and The Bank of New York Mellon, as trustee and registrar, and The Bank of New</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York Mellon, London Branch, as paying agent and transfer agent (incorporated by reference to Exhibit 4.2 of Aramark's Current Report</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on Form 8-K filed with the SEC on March 28, 2017, pursuant to the Exchange Act (file number 001-36223)).</w:t>
        </w:r>
      </w:hyperlink>
    </w:p>
    <w:p>
      <w:pPr>
        <w:spacing w:after="0" w:line="2" w:lineRule="exact"/>
        <w:rPr>
          <w:rFonts w:ascii="Arial" w:cs="Arial" w:eastAsia="Arial" w:hAnsi="Arial"/>
          <w:sz w:val="16"/>
          <w:szCs w:val="16"/>
          <w:u w:val="single" w:color="auto"/>
          <w:color w:val="0000FF"/>
        </w:rPr>
      </w:pPr>
    </w:p>
    <w:p>
      <w:pPr>
        <w:ind w:left="1280" w:hanging="368"/>
        <w:spacing w:after="0" w:line="237" w:lineRule="auto"/>
        <w:tabs>
          <w:tab w:leader="none" w:pos="1260" w:val="left"/>
        </w:tabs>
        <w:rPr>
          <w:rFonts w:ascii="Arial" w:cs="Arial" w:eastAsia="Arial" w:hAnsi="Arial"/>
          <w:sz w:val="17"/>
          <w:szCs w:val="17"/>
          <w:u w:val="single" w:color="auto"/>
          <w:color w:val="0000FF"/>
        </w:rPr>
      </w:pPr>
      <w:hyperlink r:id="rId136">
        <w:r>
          <w:rPr>
            <w:rFonts w:ascii="Arial" w:cs="Arial" w:eastAsia="Arial" w:hAnsi="Arial"/>
            <w:sz w:val="18"/>
            <w:szCs w:val="18"/>
            <w:u w:val="single" w:color="auto"/>
            <w:color w:val="0000FF"/>
          </w:rPr>
          <w:t>4.3</w:t>
        </w:r>
      </w:hyperlink>
      <w:r>
        <w:rPr>
          <w:rFonts w:ascii="Arial" w:cs="Arial" w:eastAsia="Arial" w:hAnsi="Arial"/>
          <w:sz w:val="18"/>
          <w:szCs w:val="18"/>
          <w:u w:val="single" w:color="auto"/>
          <w:color w:val="0000FF"/>
        </w:rPr>
        <w:tab/>
      </w:r>
      <w:hyperlink r:id="rId136">
        <w:r>
          <w:rPr>
            <w:rFonts w:ascii="Arial" w:cs="Arial" w:eastAsia="Arial" w:hAnsi="Arial"/>
            <w:sz w:val="17"/>
            <w:szCs w:val="17"/>
            <w:u w:val="single" w:color="auto"/>
            <w:color w:val="0000FF"/>
          </w:rPr>
          <w:t>Indenture, dated as of January 18, 2018, among Aramark Services, Inc., as issuer, Aramark, as parent guarantor, the subsidiary guarantors</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named therein and U.S. Bank National Association, as trustee (incorporated by reference to Exhibit 4.1 to Aramark’s Current Report on</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Form 8-K filed with the SEC on January 24, 2018 pursuant to the Exchange Act (file number 001-36223)).</w:t>
        </w:r>
      </w:hyperlink>
    </w:p>
    <w:p>
      <w:pPr>
        <w:spacing w:after="0" w:line="1" w:lineRule="exact"/>
        <w:rPr>
          <w:rFonts w:ascii="Arial" w:cs="Arial" w:eastAsia="Arial" w:hAnsi="Arial"/>
          <w:sz w:val="17"/>
          <w:szCs w:val="17"/>
          <w:u w:val="single" w:color="auto"/>
          <w:color w:val="0000FF"/>
        </w:rPr>
      </w:pPr>
    </w:p>
    <w:p>
      <w:pPr>
        <w:ind w:left="1280" w:right="140" w:hanging="368"/>
        <w:spacing w:after="0" w:line="219" w:lineRule="auto"/>
        <w:tabs>
          <w:tab w:leader="none" w:pos="1260" w:val="left"/>
        </w:tabs>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4.4</w:t>
        </w:r>
      </w:hyperlink>
      <w:r>
        <w:rPr>
          <w:rFonts w:ascii="Arial" w:cs="Arial" w:eastAsia="Arial" w:hAnsi="Arial"/>
          <w:sz w:val="18"/>
          <w:szCs w:val="18"/>
          <w:u w:val="single" w:color="auto"/>
          <w:color w:val="0000FF"/>
        </w:rPr>
        <w:tab/>
      </w:r>
      <w:hyperlink r:id="rId137">
        <w:r>
          <w:rPr>
            <w:rFonts w:ascii="Arial" w:cs="Arial" w:eastAsia="Arial" w:hAnsi="Arial"/>
            <w:sz w:val="18"/>
            <w:szCs w:val="18"/>
            <w:u w:val="single" w:color="auto"/>
            <w:color w:val="0000FF"/>
          </w:rPr>
          <w:t>Indenture, dated as of April 27, 2020, among Aramark Services, Inc., as issuer, Aramark Intermediate Holdco Corporation, as parent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guarantor, the subsidiary guarantors named therein and U.S. Bank National Association, as trustee (incorporated by reference to Exhibit</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4.1 of Aramark’s Current Report on Form 8-K filed with the SEC on April 28, 2020, pursuant to the Exchange Act (file number 001-</w:t>
        </w:r>
      </w:hyperlink>
      <w:hyperlink r:id="rId137">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40" w:hanging="368"/>
        <w:spacing w:after="0" w:line="219" w:lineRule="auto"/>
        <w:tabs>
          <w:tab w:leader="none" w:pos="1260" w:val="left"/>
        </w:tabs>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4.5</w:t>
        </w:r>
      </w:hyperlink>
      <w:r>
        <w:rPr>
          <w:rFonts w:ascii="Arial" w:cs="Arial" w:eastAsia="Arial" w:hAnsi="Arial"/>
          <w:sz w:val="18"/>
          <w:szCs w:val="18"/>
          <w:u w:val="single" w:color="auto"/>
          <w:color w:val="0000FF"/>
        </w:rPr>
        <w:tab/>
      </w:r>
      <w:hyperlink r:id="rId138">
        <w:r>
          <w:rPr>
            <w:rFonts w:ascii="Arial" w:cs="Arial" w:eastAsia="Arial" w:hAnsi="Arial"/>
            <w:sz w:val="18"/>
            <w:szCs w:val="18"/>
            <w:u w:val="single" w:color="auto"/>
            <w:color w:val="0000FF"/>
          </w:rPr>
          <w:t>Second Supplemental Indenture governing the 5.000% Senior Notes due April 2025, dated as of April 30, 2021, among the subsidiary</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guarantors named therein, each a subsidiary of Aramark Services, Inc., and The Bank of New York Mellon, as trustee (incorporated by</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reference to Exhibit 4.1 to Aramark's Quarterly Report on Form 10-Q filed with the SEC on May 11, 2021, pursuant to the Exchange Act</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1280" w:right="40" w:hanging="368"/>
        <w:spacing w:after="0" w:line="219" w:lineRule="auto"/>
        <w:tabs>
          <w:tab w:leader="none" w:pos="1260" w:val="left"/>
        </w:tabs>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4.6</w:t>
        </w:r>
      </w:hyperlink>
      <w:r>
        <w:rPr>
          <w:rFonts w:ascii="Arial" w:cs="Arial" w:eastAsia="Arial" w:hAnsi="Arial"/>
          <w:sz w:val="18"/>
          <w:szCs w:val="18"/>
          <w:u w:val="single" w:color="auto"/>
          <w:color w:val="0000FF"/>
        </w:rPr>
        <w:tab/>
      </w:r>
      <w:hyperlink r:id="rId139">
        <w:r>
          <w:rPr>
            <w:rFonts w:ascii="Arial" w:cs="Arial" w:eastAsia="Arial" w:hAnsi="Arial"/>
            <w:sz w:val="18"/>
            <w:szCs w:val="18"/>
            <w:u w:val="single" w:color="auto"/>
            <w:color w:val="0000FF"/>
          </w:rPr>
          <w:t>Second Supplemental Indenture governing the 3.125% Senior Notes due April 2025, dated as of April 30, 2021, among the subsidiary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guarantors named therein, each a subsidiary of Aramark Services, Inc., and The Bank of New York Mellon, as trustee (incorporated by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reference to Exhibit 4.2 to Aramark's Quarterly Report on Form 10-Q filed with the SEC on May 11, 2021, pursuant to the Exchange Act</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1280" w:right="40" w:hanging="368"/>
        <w:spacing w:after="0" w:line="219" w:lineRule="auto"/>
        <w:tabs>
          <w:tab w:leader="none" w:pos="1260" w:val="left"/>
        </w:tabs>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4.7</w:t>
        </w:r>
      </w:hyperlink>
      <w:r>
        <w:rPr>
          <w:rFonts w:ascii="Arial" w:cs="Arial" w:eastAsia="Arial" w:hAnsi="Arial"/>
          <w:sz w:val="18"/>
          <w:szCs w:val="18"/>
          <w:u w:val="single" w:color="auto"/>
          <w:color w:val="0000FF"/>
        </w:rPr>
        <w:tab/>
      </w:r>
      <w:hyperlink r:id="rId140">
        <w:r>
          <w:rPr>
            <w:rFonts w:ascii="Arial" w:cs="Arial" w:eastAsia="Arial" w:hAnsi="Arial"/>
            <w:sz w:val="18"/>
            <w:szCs w:val="18"/>
            <w:u w:val="single" w:color="auto"/>
            <w:color w:val="0000FF"/>
          </w:rPr>
          <w:t>First Supplemental Indenture governing the 6.375% Senior Notes due May 2025, dated as of April 30, 2021, among the subsidiary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guarantors named therein, each a subsidiary of Aramark Services, Inc., and U.S. Bank National Association, as trustee (incorporated by</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reference to Exhibit 4.3 to Aramark's Quarterly Report on Form 10-Q filed with the SEC on May 11, 2021, pursuant to the Exchange Act</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1280" w:hanging="368"/>
        <w:spacing w:after="0" w:line="219" w:lineRule="auto"/>
        <w:tabs>
          <w:tab w:leader="none" w:pos="1260" w:val="left"/>
        </w:tabs>
        <w:rPr>
          <w:rFonts w:ascii="Arial" w:cs="Arial" w:eastAsia="Arial" w:hAnsi="Arial"/>
          <w:sz w:val="18"/>
          <w:szCs w:val="18"/>
          <w:u w:val="single" w:color="auto"/>
          <w:color w:val="0000FF"/>
        </w:rPr>
      </w:pPr>
      <w:hyperlink r:id="rId141">
        <w:r>
          <w:rPr>
            <w:rFonts w:ascii="Arial" w:cs="Arial" w:eastAsia="Arial" w:hAnsi="Arial"/>
            <w:sz w:val="18"/>
            <w:szCs w:val="18"/>
            <w:u w:val="single" w:color="auto"/>
            <w:color w:val="0000FF"/>
          </w:rPr>
          <w:t>4.8</w:t>
        </w:r>
      </w:hyperlink>
      <w:r>
        <w:rPr>
          <w:rFonts w:ascii="Arial" w:cs="Arial" w:eastAsia="Arial" w:hAnsi="Arial"/>
          <w:sz w:val="18"/>
          <w:szCs w:val="18"/>
          <w:u w:val="single" w:color="auto"/>
          <w:color w:val="0000FF"/>
        </w:rPr>
        <w:tab/>
      </w:r>
      <w:hyperlink r:id="rId141">
        <w:r>
          <w:rPr>
            <w:rFonts w:ascii="Arial" w:cs="Arial" w:eastAsia="Arial" w:hAnsi="Arial"/>
            <w:sz w:val="18"/>
            <w:szCs w:val="18"/>
            <w:u w:val="single" w:color="auto"/>
            <w:color w:val="0000FF"/>
          </w:rPr>
          <w:t>Second Supplemental Indenture governing the 5.000% Senior Notes due February 2028, dated as of April 30, 2021, among the subsidiary</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guarantors named therein, each a subsidiary of Aramark Services, Inc., and U.S. Bank National Association, as trustee (incorporated by</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reference to Exhibit 4.5 to Aramark's Quarterly Report on Form 10-Q filed with the SEC on May 11, 2021, pursuant to the Exchange Act</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1280" w:right="160" w:hanging="368"/>
        <w:spacing w:after="0" w:line="257" w:lineRule="auto"/>
        <w:tabs>
          <w:tab w:leader="none" w:pos="1260" w:val="left"/>
        </w:tabs>
        <w:rPr>
          <w:rFonts w:ascii="Arial" w:cs="Arial" w:eastAsia="Arial" w:hAnsi="Arial"/>
          <w:sz w:val="17"/>
          <w:szCs w:val="17"/>
          <w:u w:val="single" w:color="auto"/>
          <w:color w:val="0000FF"/>
        </w:rPr>
      </w:pPr>
      <w:hyperlink r:id="rId142">
        <w:r>
          <w:rPr>
            <w:rFonts w:ascii="Arial" w:cs="Arial" w:eastAsia="Arial" w:hAnsi="Arial"/>
            <w:sz w:val="18"/>
            <w:szCs w:val="18"/>
            <w:u w:val="single" w:color="auto"/>
            <w:color w:val="0000FF"/>
          </w:rPr>
          <w:t>4.9</w:t>
        </w:r>
      </w:hyperlink>
      <w:r>
        <w:rPr>
          <w:rFonts w:ascii="Arial" w:cs="Arial" w:eastAsia="Arial" w:hAnsi="Arial"/>
          <w:sz w:val="18"/>
          <w:szCs w:val="18"/>
          <w:u w:val="single" w:color="auto"/>
          <w:color w:val="0000FF"/>
        </w:rPr>
        <w:tab/>
      </w:r>
      <w:hyperlink r:id="rId142">
        <w:r>
          <w:rPr>
            <w:rFonts w:ascii="Arial" w:cs="Arial" w:eastAsia="Arial" w:hAnsi="Arial"/>
            <w:sz w:val="17"/>
            <w:szCs w:val="17"/>
            <w:u w:val="single" w:color="auto"/>
            <w:color w:val="0000FF"/>
          </w:rPr>
          <w:t>Description of the Company's Common Stock, par value $0.01 per share (incorporated by reference to Exhibit 4.6 to Aramark’s Annual</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Report on Form 10-K filed with the SEC on November 24, 2020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0"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S-54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60" w:hanging="458"/>
        <w:spacing w:after="0" w:line="225" w:lineRule="auto"/>
        <w:tabs>
          <w:tab w:leader="none" w:pos="1260" w:val="left"/>
        </w:tabs>
        <w:rPr>
          <w:rFonts w:ascii="Arial" w:cs="Arial" w:eastAsia="Arial" w:hAnsi="Arial"/>
          <w:sz w:val="17"/>
          <w:szCs w:val="17"/>
          <w:u w:val="single" w:color="auto"/>
          <w:color w:val="0000FF"/>
        </w:rPr>
      </w:pPr>
      <w:hyperlink r:id="rId14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44">
        <w:r>
          <w:rPr>
            <w:rFonts w:ascii="Arial" w:cs="Arial" w:eastAsia="Arial" w:hAnsi="Arial"/>
            <w:sz w:val="17"/>
            <w:szCs w:val="17"/>
            <w:u w:val="single" w:color="auto"/>
            <w:color w:val="0000FF"/>
          </w:rPr>
          <w:t>Credit Agreement, dated as of March 28, 2017, among Aramark Services, Inc., Aramark Intermediate HoldCo Corporation, ARAMARK</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Canada Ltd., ARAMARK Investments Limited, ARAMARK Ireland Holdings Limited, ARAMARK Regional Treasury Europe,</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Designated Activity Company, ARAMARK Holdings GmbH &amp; Co. KG, Aramark International Finance S.à.r.l., each subsidiary of the</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U.S. Borrower that from time to time becomes a party thereto, the financial institutions from time to time party thereto, the issuing banks</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named therein, JPMorgan Chase Bank, N.A., as administrative agent for the lenders and collateral agent for the secured parties</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thereunder (incorporated by reference to Exhibit 10.1 of Aramark’s Current Report on Form 8-K/A filed with the SEC on March 29,</w:t>
        </w:r>
      </w:hyperlink>
      <w:r>
        <w:rPr>
          <w:rFonts w:ascii="Arial" w:cs="Arial" w:eastAsia="Arial" w:hAnsi="Arial"/>
          <w:sz w:val="17"/>
          <w:szCs w:val="17"/>
          <w:u w:val="single" w:color="auto"/>
          <w:color w:val="0000FF"/>
        </w:rPr>
        <w:t xml:space="preserve"> </w:t>
      </w:r>
      <w:hyperlink r:id="rId144">
        <w:r>
          <w:rPr>
            <w:rFonts w:ascii="Arial" w:cs="Arial" w:eastAsia="Arial" w:hAnsi="Arial"/>
            <w:sz w:val="17"/>
            <w:szCs w:val="17"/>
            <w:u w:val="single" w:color="auto"/>
            <w:color w:val="0000FF"/>
          </w:rPr>
          <w:t>2017, pursuant to the Exchange Act (file number 001-36223)).</w:t>
        </w:r>
      </w:hyperlink>
    </w:p>
    <w:p>
      <w:pPr>
        <w:spacing w:after="0" w:line="1" w:lineRule="exact"/>
        <w:rPr>
          <w:rFonts w:ascii="Arial" w:cs="Arial" w:eastAsia="Arial" w:hAnsi="Arial"/>
          <w:sz w:val="17"/>
          <w:szCs w:val="17"/>
          <w:u w:val="single" w:color="auto"/>
          <w:color w:val="0000FF"/>
        </w:rPr>
      </w:pPr>
    </w:p>
    <w:p>
      <w:pPr>
        <w:ind w:left="1280" w:hanging="458"/>
        <w:spacing w:after="0" w:line="221" w:lineRule="auto"/>
        <w:tabs>
          <w:tab w:leader="none" w:pos="1260" w:val="left"/>
        </w:tabs>
        <w:rPr>
          <w:rFonts w:ascii="Arial" w:cs="Arial" w:eastAsia="Arial" w:hAnsi="Arial"/>
          <w:sz w:val="17"/>
          <w:szCs w:val="17"/>
          <w:u w:val="single" w:color="auto"/>
          <w:color w:val="0000FF"/>
        </w:rPr>
      </w:pPr>
      <w:hyperlink r:id="rId145">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45">
        <w:r>
          <w:rPr>
            <w:rFonts w:ascii="Arial" w:cs="Arial" w:eastAsia="Arial" w:hAnsi="Arial"/>
            <w:sz w:val="17"/>
            <w:szCs w:val="17"/>
            <w:u w:val="single" w:color="auto"/>
            <w:color w:val="0000FF"/>
          </w:rPr>
          <w:t>Incremental Amendment No. 1, dated as of September 20, 2017, among Aramark Services, Inc. (the “Company”) Aramark Intermediate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HoldCo Corporation, ARAMARK Canada Ltd. (“Aramark Canada”), ARAMARK Investments Limited (“Aramark UK”), and certain</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wholly-owned subsidiaries of the Company, the financial institutions party thereto and JPMorgan Chase Bank, N.A. as administrative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agent for the Lenders (as defined below) and collateral agent for the secured parties thereunder to the credit agreement, dated March 28,</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2017, among the Company, Aramark Intermediate HoldCo Corporation, Aramark Canada, Aramark UK, ARAMARK Ireland Holdings</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Limited, ARAMARK Regional Treasury Europe, Designated Activity Company, ARAMARK Holdings GmbH &amp; Co. KG, Aramark</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International Finance S.à.r.l. and certain wholly-owned domestic subsidiaries of the Company, the financial institutions from time to time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party thereto (including the financial institutions party to the Incremental Amendment, the “Lenders”), the issuing banks named therein</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and JPMorgan Chase Bank, N.A., as administrative agent for the Lenders and collateral agent for the secured parties thereunder</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(incorporated by reference to Exhibit 10.1 to Aramark's Current Report on Form 8-K filed with the SEC on September 26, 2017, pursuant</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to the Exchange Act (file number 001-36223)).</w:t>
        </w:r>
      </w:hyperlink>
    </w:p>
    <w:p>
      <w:pPr>
        <w:spacing w:after="0" w:line="5" w:lineRule="exact"/>
        <w:rPr>
          <w:rFonts w:ascii="Arial" w:cs="Arial" w:eastAsia="Arial" w:hAnsi="Arial"/>
          <w:sz w:val="17"/>
          <w:szCs w:val="17"/>
          <w:u w:val="single" w:color="auto"/>
          <w:color w:val="0000FF"/>
        </w:rPr>
      </w:pPr>
    </w:p>
    <w:p>
      <w:pPr>
        <w:ind w:left="1280" w:right="60" w:hanging="458"/>
        <w:spacing w:after="0" w:line="222" w:lineRule="auto"/>
        <w:tabs>
          <w:tab w:leader="none" w:pos="1260" w:val="left"/>
        </w:tabs>
        <w:rPr>
          <w:rFonts w:ascii="Arial" w:cs="Arial" w:eastAsia="Arial" w:hAnsi="Arial"/>
          <w:sz w:val="17"/>
          <w:szCs w:val="17"/>
          <w:u w:val="single" w:color="auto"/>
          <w:color w:val="0000FF"/>
        </w:rPr>
      </w:pPr>
      <w:hyperlink r:id="rId146">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146">
        <w:r>
          <w:rPr>
            <w:rFonts w:ascii="Arial" w:cs="Arial" w:eastAsia="Arial" w:hAnsi="Arial"/>
            <w:sz w:val="17"/>
            <w:szCs w:val="17"/>
            <w:u w:val="single" w:color="auto"/>
            <w:color w:val="0000FF"/>
          </w:rPr>
          <w:t>Incremental Amendment No. 2, dated as of December 11, 2017, among Aramark Services, Inc., Aramark Intermediate HoldCo</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Corporation (“Holdings”) and certain wholly-owned subsidiaries of Aramark Services, Inc., the financial institutions party thereto and</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JPMorgan Chase Bank, N.A. as administrative agent for the Lenders (as defined below) and collateral agent for the secured parties</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thereunder to the credit agreement, dated March 28, 2017, among Aramark Services, Inc., Holdings, ARAMARK Canada Ltd.,</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ARAMARK Investments Limited, ARAMARK Ireland Holdings Limited, ARAMARK Regional Treasury Europe, Designated Activity</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Company, ARAMARK Holdings GmbH &amp; Co. KG, Aramark International Finance S.à.r.l. and certain wholly-owned domestic</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subsidiaries of Aramark Services, Inc., the financial institutions from time to time party thereto (the “Lenders”), the issuing banks named</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therein and JPMorgan Chase Bank, N.A., as administrative agent for the Lenders and collateral agent for the secured parties thereunder</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(incorporated by reference to Exhibit 10.1 to Aramark’s Current Report on Form 8-K filed with the SEC on December 12, 2017 pursuant</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to the Exchange Act (file number 001-36223)).</w:t>
        </w:r>
      </w:hyperlink>
    </w:p>
    <w:p>
      <w:pPr>
        <w:spacing w:after="0" w:line="1" w:lineRule="exact"/>
        <w:rPr>
          <w:rFonts w:ascii="Arial" w:cs="Arial" w:eastAsia="Arial" w:hAnsi="Arial"/>
          <w:sz w:val="17"/>
          <w:szCs w:val="17"/>
          <w:u w:val="single" w:color="auto"/>
          <w:color w:val="0000FF"/>
        </w:rPr>
      </w:pPr>
    </w:p>
    <w:p>
      <w:pPr>
        <w:ind w:left="1280" w:hanging="458"/>
        <w:spacing w:after="0" w:line="236" w:lineRule="auto"/>
        <w:tabs>
          <w:tab w:leader="none" w:pos="1260" w:val="left"/>
        </w:tabs>
        <w:rPr>
          <w:rFonts w:ascii="Arial" w:cs="Arial" w:eastAsia="Arial" w:hAnsi="Arial"/>
          <w:sz w:val="16"/>
          <w:szCs w:val="16"/>
          <w:u w:val="single" w:color="auto"/>
          <w:color w:val="0000FF"/>
        </w:rPr>
      </w:pPr>
      <w:hyperlink r:id="rId147">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47">
        <w:r>
          <w:rPr>
            <w:rFonts w:ascii="Arial" w:cs="Arial" w:eastAsia="Arial" w:hAnsi="Arial"/>
            <w:sz w:val="16"/>
            <w:szCs w:val="16"/>
            <w:u w:val="single" w:color="auto"/>
            <w:color w:val="0000FF"/>
          </w:rPr>
          <w:t>Incremental Amendment No. 3, dated as of February 28, 2018, among Aramark Services, Inc., ARAMARK Canada Ltd., and Aramark</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Intermediate HoldCo Corporation (“Holdings”), the financial institutions party thereto and JPMorgan Chase Bank, N.A. as administrative</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agent for the Lenders (as defined below) and collateral agent for the secured parties thereunder to the credit agreement, dated March 28,</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2017, among Aramark Services, Inc., Holdings, ARAMARK Canada Ltd., ARAMARK Investments Limited, ARAMARK Ireland</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Holdings Limited, ARAMARK Regional Treasury Europe, Designated Activity Company, ARAMARK Holdings GmbH &amp; Co. KG,</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Aramark International Finance S.à.r.l. and certain wholly-owned domestic subsidiaries of Aramark Services, Inc., the financial</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Aramark's Quarterly Report on Form 10-Q filed with the SEC on May 8, 2018, pursuant to the Exchange Act (file number 001-36223)).</w:t>
        </w:r>
      </w:hyperlink>
    </w:p>
    <w:p>
      <w:pPr>
        <w:spacing w:after="0" w:line="5" w:lineRule="exact"/>
        <w:rPr>
          <w:rFonts w:ascii="Arial" w:cs="Arial" w:eastAsia="Arial" w:hAnsi="Arial"/>
          <w:sz w:val="16"/>
          <w:szCs w:val="16"/>
          <w:u w:val="single" w:color="auto"/>
          <w:color w:val="0000FF"/>
        </w:rPr>
      </w:pPr>
    </w:p>
    <w:p>
      <w:pPr>
        <w:ind w:left="1280" w:right="160" w:hanging="458"/>
        <w:spacing w:after="0" w:line="222" w:lineRule="auto"/>
        <w:tabs>
          <w:tab w:leader="none" w:pos="1260" w:val="left"/>
        </w:tabs>
        <w:rPr>
          <w:rFonts w:ascii="Arial" w:cs="Arial" w:eastAsia="Arial" w:hAnsi="Arial"/>
          <w:sz w:val="17"/>
          <w:szCs w:val="17"/>
          <w:u w:val="single" w:color="auto"/>
          <w:color w:val="0000FF"/>
        </w:rPr>
      </w:pPr>
      <w:hyperlink r:id="rId148">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148">
        <w:r>
          <w:rPr>
            <w:rFonts w:ascii="Arial" w:cs="Arial" w:eastAsia="Arial" w:hAnsi="Arial"/>
            <w:sz w:val="17"/>
            <w:szCs w:val="17"/>
            <w:u w:val="single" w:color="auto"/>
            <w:color w:val="0000FF"/>
          </w:rPr>
          <w:t>Amendment No. 4, dated as of May 11, 2018, among Aramark Services, Inc. (the “Company”), Sumitomo Mitsui Banking Corp. (the</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“Yen Term C Lender”) and JPMorgan Chase Bank, N.A. as administrative agent for the Lenders (as defined below) and collateral agent</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for the secured parties thereunder to the credit agreement, dated March 28, 2017, among the Company, Aramark Intermediate Holdco</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Corporation, ARAMARK Canada Ltd., ARAMARK Investments Limited, ARAMARK Ireland Holdings Limited, ARAMARK</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Regional Treasury Europe, Designated Activity Company, ARAMARK Holdings GmbH &amp; Co. KG, Aramark International Finance</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S.à.r.l. and certain wholly-owned domestic subsidiaries of the Company, the financial institutions from time to time party thereto (the</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“Lenders”), the issuing banks named therein and JPMorgan Chase Bank, N.A., as administrative agent for the Lenders and collateral</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agent for the secured parties thereunder (incorporated by reference to Exhibit 10.1 to Aramark's Quarterly Report on Form 10-Q filed</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with the SEC on August 7, 2018, pursuant to the Exchange Act (file number 001-36223)).</w:t>
        </w:r>
      </w:hyperlink>
    </w:p>
    <w:p>
      <w:pPr>
        <w:spacing w:after="0" w:line="6" w:lineRule="exact"/>
        <w:rPr>
          <w:rFonts w:ascii="Arial" w:cs="Arial" w:eastAsia="Arial" w:hAnsi="Arial"/>
          <w:sz w:val="17"/>
          <w:szCs w:val="17"/>
          <w:u w:val="single" w:color="auto"/>
          <w:color w:val="0000FF"/>
        </w:rPr>
      </w:pPr>
    </w:p>
    <w:p>
      <w:pPr>
        <w:ind w:left="1280" w:right="140" w:hanging="458"/>
        <w:spacing w:after="0" w:line="235" w:lineRule="auto"/>
        <w:tabs>
          <w:tab w:leader="none" w:pos="1260" w:val="left"/>
        </w:tabs>
        <w:rPr>
          <w:rFonts w:ascii="Arial" w:cs="Arial" w:eastAsia="Arial" w:hAnsi="Arial"/>
          <w:sz w:val="16"/>
          <w:szCs w:val="16"/>
          <w:u w:val="single" w:color="auto"/>
          <w:color w:val="0000FF"/>
        </w:rPr>
      </w:pPr>
      <w:hyperlink r:id="rId149">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49">
        <w:r>
          <w:rPr>
            <w:rFonts w:ascii="Arial" w:cs="Arial" w:eastAsia="Arial" w:hAnsi="Arial"/>
            <w:sz w:val="16"/>
            <w:szCs w:val="16"/>
            <w:u w:val="single" w:color="auto"/>
            <w:color w:val="0000FF"/>
          </w:rPr>
          <w:t>Amendment No. 5, dated as of May 24, 2018, among Aramark Services, Inc. (the “Company”), Aramark Intermediate HoldCo</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Corporation (“Holdings”), certain wholly-owned subsidiaries of the Company, each Converting U.S. Term B-2 Lender (as defined</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therein), the Additional U.S. Term B-2 Lender (as defined therein), the financial institutions party thereto and JPMorgan Chase Bank,</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N.A. as administrative agent for the Lenders (as defined below) and collateral agent for the secured parties thereunder to the credit</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agreement, dated March 28, 2017, among the Company, Holdings, ARAMARK Canada Ltd., ARAMARK Investments Limited,</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ARAMARK Ireland Holdings Limited, ARAMARK Regional Treasury Europe, Designated Activity Company, ARAMARK Holdings</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GmbH &amp; Co. KG, Aramark International Finance S.à.r.l. and certain wholly-owned domestic subsidiaries of the Company, the financial</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Aramark’s Current Report on Form 8-K filed with the SEC on May 31, 2018 pursuant to the Exchange Act (file number 001-36223)).</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28" w:lineRule="exact"/>
        <w:rPr>
          <w:rFonts w:ascii="Arial" w:cs="Arial" w:eastAsia="Arial" w:hAnsi="Arial"/>
          <w:sz w:val="16"/>
          <w:szCs w:val="16"/>
          <w:u w:val="single" w:color="auto"/>
          <w:color w:val="0000FF"/>
        </w:rPr>
      </w:pPr>
    </w:p>
    <w:p>
      <w:pPr>
        <w:jc w:val="center"/>
        <w:ind w:right="-59"/>
        <w:spacing w:after="0"/>
        <w:rPr>
          <w:sz w:val="20"/>
          <w:szCs w:val="20"/>
          <w:color w:val="auto"/>
        </w:rPr>
      </w:pPr>
      <w:r>
        <w:rPr>
          <w:rFonts w:ascii="Arial" w:cs="Arial" w:eastAsia="Arial" w:hAnsi="Arial"/>
          <w:sz w:val="18"/>
          <w:szCs w:val="18"/>
          <w:color w:val="auto"/>
        </w:rPr>
        <w:t>S-55</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140" w:hanging="458"/>
        <w:spacing w:after="0" w:line="236" w:lineRule="auto"/>
        <w:tabs>
          <w:tab w:leader="none" w:pos="1260" w:val="left"/>
        </w:tabs>
        <w:rPr>
          <w:rFonts w:ascii="Arial" w:cs="Arial" w:eastAsia="Arial" w:hAnsi="Arial"/>
          <w:sz w:val="16"/>
          <w:szCs w:val="16"/>
          <w:u w:val="single" w:color="auto"/>
          <w:color w:val="0000FF"/>
        </w:rPr>
      </w:pPr>
      <w:hyperlink r:id="rId151">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51">
        <w:r>
          <w:rPr>
            <w:rFonts w:ascii="Arial" w:cs="Arial" w:eastAsia="Arial" w:hAnsi="Arial"/>
            <w:sz w:val="16"/>
            <w:szCs w:val="16"/>
            <w:u w:val="single" w:color="auto"/>
            <w:color w:val="0000FF"/>
          </w:rPr>
          <w:t>Amendment No. 6, dated as of June 12, 2018, among Aramark Services, Inc. (the “Company”), Aramark Intermediate HoldCo</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Corporation (“Holdings”), certain wholly-owned subsidiaries of the Company, each Converting U.S. Term B-3 Lender (as defined</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therein), the Additional U.S. Term B-3 Lender (as defined therein), the financial institutions party thereto and JPMorgan Chase Bank,</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N.A. as administrative agent for the Lenders (as defined below) and collateral agent for the secured parties thereunder to the credit</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agreement, dated March 28, 2017, among the Company, Holdings, ARAMARK Canada Ltd., ARAMARK Investments Limited,</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ARAMARK Ireland Holdings Limited, ARAMARK Regional Treasury Europe, Designated Activity Company, ARAMARK Holdings</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GmbH &amp; Co. KG, Aramark International Finance S.à.r.l. and certain wholly-owned domestic subsidiaries of the Company, the financial</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Aramark’s Current Report on Form 8-K filed with the SEC on June 18, 2018 pursuant to the Exchange Act (file number 001-36223)).</w:t>
        </w:r>
      </w:hyperlink>
    </w:p>
    <w:p>
      <w:pPr>
        <w:spacing w:after="0" w:line="1" w:lineRule="exact"/>
        <w:rPr>
          <w:rFonts w:ascii="Arial" w:cs="Arial" w:eastAsia="Arial" w:hAnsi="Arial"/>
          <w:sz w:val="16"/>
          <w:szCs w:val="16"/>
          <w:u w:val="single" w:color="auto"/>
          <w:color w:val="0000FF"/>
        </w:rPr>
      </w:pPr>
    </w:p>
    <w:p>
      <w:pPr>
        <w:ind w:left="1280" w:hanging="458"/>
        <w:spacing w:after="0" w:line="234" w:lineRule="auto"/>
        <w:tabs>
          <w:tab w:leader="none" w:pos="1260" w:val="left"/>
        </w:tabs>
        <w:rPr>
          <w:rFonts w:ascii="Arial" w:cs="Arial" w:eastAsia="Arial" w:hAnsi="Arial"/>
          <w:sz w:val="16"/>
          <w:szCs w:val="16"/>
          <w:u w:val="single" w:color="auto"/>
          <w:color w:val="0000FF"/>
        </w:rPr>
      </w:pPr>
      <w:hyperlink r:id="rId152">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52">
        <w:r>
          <w:rPr>
            <w:rFonts w:ascii="Arial" w:cs="Arial" w:eastAsia="Arial" w:hAnsi="Arial"/>
            <w:sz w:val="16"/>
            <w:szCs w:val="16"/>
            <w:u w:val="single" w:color="auto"/>
            <w:color w:val="0000FF"/>
          </w:rPr>
          <w:t>Amendment No. 7 (the “Amendment”), dated as of October 1, 2018, among Aramark Services, Inc. (the “Company”), Aramark</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Intermediate HoldCo Corporation (“Holdings”), Aramark Intermediate HoldCo Corporation (“Holdings”), ARAMARK Canada Ltd. (the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“Canadian Borrower”), ARAMARK Investments Limited, ARAMARK Limited (together with ARAMARK Investments Limited, the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“UK Borrowers”), ARAMARK Ireland Holdings Limited, ARAMARK Regional Treasury Europe, Designated Activity Company</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(together with ARAMARK Ireland Holdings Limited, the “Irish Borrowers”), ARAMARK Holdings Deutschland GMBH (as successor</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by merger to ARAMARK Holdings GmbH &amp; Co. KG, the “German Borrower”), Aramark International Finance S.à.r.l. (the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“Luxembourg Borrower”), certain other wholly-owned subsidiaries of the Company, the financial institutions party thereto and JPMorgan</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Chase Bank, N.A. as administrative agent for the Lenders (as defined below) and collateral agent for the secured parties thereunder to the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credit agreement, dated March 28, 2017, among the Company, Holdings, the Canadian Borrower, the UK Borrower, the Irish Borrowers,</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the German Borrower, the Luxembourg Borrower and certain other wholly-owned domestic subsidiaries of the Company, the financial</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institutions from time to time party thereto (the “Lenders”), the issuing banks named therein and JPMorgan Chase Bank, N.A., as</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administrative agent for the Lenders and collateral agent for the secured parties thereunder (incorporated by reference to Exhibit 10.1 to</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Aramark’s Current Report on Form 8-K filed with the SEC on October 4, 2018 pursuant to the Exchange Act (file number 001-36223)).</w:t>
        </w:r>
      </w:hyperlink>
    </w:p>
    <w:p>
      <w:pPr>
        <w:spacing w:after="0" w:line="3" w:lineRule="exact"/>
        <w:rPr>
          <w:rFonts w:ascii="Arial" w:cs="Arial" w:eastAsia="Arial" w:hAnsi="Arial"/>
          <w:sz w:val="16"/>
          <w:szCs w:val="16"/>
          <w:u w:val="single" w:color="auto"/>
          <w:color w:val="0000FF"/>
        </w:rPr>
      </w:pPr>
    </w:p>
    <w:p>
      <w:pPr>
        <w:ind w:left="1280" w:right="120" w:hanging="458"/>
        <w:spacing w:after="0" w:line="235" w:lineRule="auto"/>
        <w:tabs>
          <w:tab w:leader="none" w:pos="1260" w:val="left"/>
        </w:tabs>
        <w:rPr>
          <w:rFonts w:ascii="Arial" w:cs="Arial" w:eastAsia="Arial" w:hAnsi="Arial"/>
          <w:sz w:val="16"/>
          <w:szCs w:val="16"/>
          <w:u w:val="single" w:color="auto"/>
          <w:color w:val="0000FF"/>
        </w:rPr>
      </w:pPr>
      <w:hyperlink r:id="rId153">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53">
        <w:r>
          <w:rPr>
            <w:rFonts w:ascii="Arial" w:cs="Arial" w:eastAsia="Arial" w:hAnsi="Arial"/>
            <w:sz w:val="16"/>
            <w:szCs w:val="16"/>
            <w:u w:val="single" w:color="auto"/>
            <w:color w:val="0000FF"/>
          </w:rPr>
          <w:t>Incremental Amendment No. 8 (the “Incremental Amendment”), dated as of January 15, 2020, among Aramark Services, Inc. (the</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“Company”), Aramark Intermediate HoldCo Corporation (“Holdings”), certain wholly-owned subsidiaries of the Company, the U.S.</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Term B-4 Lenders (as defined therein) and JPMorgan Chase Bank, N.A. as administrative agent for the Lenders (as defined therein) and</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collateral agent for the secured parties thereunder amending that certain credit agreement, dated March 28, 2017, among the Company,</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Holdings, ARAMARK Canada Ltd., ARAMARK Investments Limited, ARAMARK Limited, ARAMARK Ireland Holdings Limited,</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ARAMARK Regional Treasury Europe, Designated Activity Company, ARAMARK Holdings Deutschland GMBH (as successor by</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merger to ARAMARK Holdings GmbH &amp; Co. KG), Aramark International Finance S.à.r.l. and certain other wholly-owned domestic</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subsidiaries of the Company, the financial institutions from time to time party thereto (including the financial institutions party to the</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Incremental Amendment, the “Lenders”), the issuing banks named therein and JPMorgan Chase Bank, N.A., as administrative agent for</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the Lenders and collateral agent for the secured parties thereunder (incorporated by reference to Exhibit 10.1 to Aramark’s Current</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Report on Form 8-K filed with the SEC on January 16, 2020 pursuant to the Exchange Act (file number 001-36223)).</w:t>
        </w:r>
      </w:hyperlink>
    </w:p>
    <w:p>
      <w:pPr>
        <w:spacing w:after="0" w:line="3" w:lineRule="exact"/>
        <w:rPr>
          <w:rFonts w:ascii="Arial" w:cs="Arial" w:eastAsia="Arial" w:hAnsi="Arial"/>
          <w:sz w:val="16"/>
          <w:szCs w:val="16"/>
          <w:u w:val="single" w:color="auto"/>
          <w:color w:val="0000FF"/>
        </w:rPr>
      </w:pPr>
    </w:p>
    <w:p>
      <w:pPr>
        <w:ind w:left="1280" w:right="20" w:hanging="548"/>
        <w:spacing w:after="0" w:line="213" w:lineRule="auto"/>
        <w:tabs>
          <w:tab w:leader="none" w:pos="1260" w:val="left"/>
        </w:tabs>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154">
        <w:r>
          <w:rPr>
            <w:rFonts w:ascii="Arial" w:cs="Arial" w:eastAsia="Arial" w:hAnsi="Arial"/>
            <w:sz w:val="18"/>
            <w:szCs w:val="18"/>
            <w:u w:val="single" w:color="auto"/>
            <w:color w:val="0000FF"/>
          </w:rPr>
          <w:t>Amendment No. 9, dated as of April 22, 2020, among Aramark Services, Inc., as borrower, Aramark Intermediate Holdco Corporation,</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ARAMARK Canada Ltd., ARAMARK Investments Limited, ARAMARK Limited, ARAMARK Ireland Holdings Limited, ARAMARK</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Regional Treasury Europe, Designated Activity Company, ARAMARK Holdings Deutschland GMBH (as successor by merger to</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ARAMARK Holdings GmbH &amp; Co. KG), Aramark International Finance S.à.r.l., each lender party thereto and JPMorgan Chase Bank,</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N.A. as administrative agent (incorporated by reference to Exhibit 10.1 of Aramark’s Current Report on Form 8-K filed with the SEC on</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April 28, 2020, pursuant to the Exchange Act (file number 001-36223)).</w:t>
        </w:r>
      </w:hyperlink>
    </w:p>
    <w:p>
      <w:pPr>
        <w:spacing w:after="0" w:line="5" w:lineRule="exact"/>
        <w:rPr>
          <w:rFonts w:ascii="Arial" w:cs="Arial" w:eastAsia="Arial" w:hAnsi="Arial"/>
          <w:sz w:val="18"/>
          <w:szCs w:val="18"/>
          <w:u w:val="single" w:color="auto"/>
          <w:color w:val="0000FF"/>
        </w:rPr>
      </w:pPr>
    </w:p>
    <w:p>
      <w:pPr>
        <w:ind w:left="1280" w:right="20" w:hanging="541"/>
        <w:spacing w:after="0" w:line="226" w:lineRule="auto"/>
        <w:tabs>
          <w:tab w:leader="none" w:pos="1260" w:val="left"/>
        </w:tabs>
        <w:rPr>
          <w:rFonts w:ascii="Arial" w:cs="Arial" w:eastAsia="Arial" w:hAnsi="Arial"/>
          <w:sz w:val="17"/>
          <w:szCs w:val="17"/>
          <w:u w:val="single" w:color="auto"/>
          <w:color w:val="0000FF"/>
        </w:rPr>
      </w:pPr>
      <w:hyperlink r:id="rId155">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155">
        <w:r>
          <w:rPr>
            <w:rFonts w:ascii="Arial" w:cs="Arial" w:eastAsia="Arial" w:hAnsi="Arial"/>
            <w:sz w:val="17"/>
            <w:szCs w:val="17"/>
            <w:u w:val="single" w:color="auto"/>
            <w:color w:val="0000FF"/>
          </w:rPr>
          <w:t>Amendment No. 10, dated as of November 12, 2020, among Aramark Services, Inc., Aramark Intermediate HoldCo Corporation,</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ARAMARK Canada Ltd., ARAMARK Investments Limited, ARAMARK Limited, ARAMARK Ireland Holdings Limited, ARAMARK</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Regional Treasury Europe, Designated Activity Company, ARAMARK Holdings Deutschland GMBH (as successor by merger to</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ARAMARK Holdings GmbH &amp; Co. KG), Aramark International Finance S.à.r.l., each lender party thereto and JPMorgan Chase Bank,</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N.A. as administrative agent (incorporated by reference to Exhibit 10.11 to Aramark’s Annual Report on Form 10-K filed with the SEC</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on November 24, 2020 pursuant to the Exchange Act (file number 001-36223)).</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23" w:lineRule="exact"/>
        <w:rPr>
          <w:rFonts w:ascii="Arial" w:cs="Arial" w:eastAsia="Arial" w:hAnsi="Arial"/>
          <w:sz w:val="17"/>
          <w:szCs w:val="17"/>
          <w:u w:val="single" w:color="auto"/>
          <w:color w:val="0000FF"/>
        </w:rPr>
      </w:pPr>
    </w:p>
    <w:p>
      <w:pPr>
        <w:jc w:val="center"/>
        <w:ind w:right="-39"/>
        <w:spacing w:after="0"/>
        <w:rPr>
          <w:sz w:val="20"/>
          <w:szCs w:val="20"/>
          <w:color w:val="auto"/>
        </w:rPr>
      </w:pPr>
      <w:r>
        <w:rPr>
          <w:rFonts w:ascii="Arial" w:cs="Arial" w:eastAsia="Arial" w:hAnsi="Arial"/>
          <w:sz w:val="18"/>
          <w:szCs w:val="18"/>
          <w:color w:val="auto"/>
        </w:rPr>
        <w:t>S-56</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hanging="548"/>
        <w:spacing w:after="0" w:line="220" w:lineRule="auto"/>
        <w:tabs>
          <w:tab w:leader="none" w:pos="1260" w:val="left"/>
        </w:tabs>
        <w:rPr>
          <w:rFonts w:ascii="Arial" w:cs="Arial" w:eastAsia="Arial" w:hAnsi="Arial"/>
          <w:sz w:val="17"/>
          <w:szCs w:val="17"/>
          <w:u w:val="single" w:color="auto"/>
          <w:color w:val="0000FF"/>
        </w:rPr>
      </w:pPr>
      <w:hyperlink r:id="rId157">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57">
        <w:r>
          <w:rPr>
            <w:rFonts w:ascii="Arial" w:cs="Arial" w:eastAsia="Arial" w:hAnsi="Arial"/>
            <w:sz w:val="17"/>
            <w:szCs w:val="17"/>
            <w:u w:val="single" w:color="auto"/>
            <w:color w:val="0000FF"/>
          </w:rPr>
          <w:t>Amendment No. 11 (the “Amendment”), dated as of April 6, 2021, among Aramark Services, Inc. (the “Company”), Aramark</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Intermediate HoldCo Corporation (“Holdings”), Aramark Intermediate HoldCo Corporation (“Holdings”), ARAMARK Canada Ltd. (the</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“Canadian Borrower”), ARAMARK Investments Limited, ARAMARK Limited (together with ARAMARK Investments Limited, the</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“UK Borrowers”), ARAMARK Ireland Holdings Limited, ARAMARK Regional Treasury Europe, Designated Activity Company</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(together with ARAMARK Ireland Holdings Limited, the “Irish Borrowers”), ARAMARK Holdings Deutschland GMBH (as successor</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by merger to ARAMARK Holdings GmbH &amp; Co. KG, the “German Borrower”), Aramark International Finance S.à.r.l. (the</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“Luxembourg Borrower”), certain other wholly-owned subsidiaries of the Company, the financial institutions party thereto and JPMorgan</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Chase Bank, N.A. as administrative agent for the Lenders (as defined below) and collateral agent for the secured parties thereunder to the</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credit agreement, dated March 28, 2017, among the Company, Holdings, the Canadian Borrower, the UK Borrower, the Irish Borrowers,</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the German Borrower, the Luxembourg Borrower and certain other wholly-owned domestic subsidiaries of the Company, the financial</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institutions from time to time party thereto (including the financial institutions party to the Amendment, the “Lenders”), the issuing banks</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named therein and JPMorgan Chase Bank, N.A., as administrative agent for the Lenders and collateral agent for the secured parties</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thereunder (incorporated by reference to Exhibit 10.1 to Aramark's Quarterly Report on Form 10-Q filed with the SEC on August 10,</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2021, pursuant to the Exchange Act (file number 001-36223)).</w:t>
        </w:r>
      </w:hyperlink>
    </w:p>
    <w:p>
      <w:pPr>
        <w:spacing w:after="0" w:line="3" w:lineRule="exact"/>
        <w:rPr>
          <w:rFonts w:ascii="Arial" w:cs="Arial" w:eastAsia="Arial" w:hAnsi="Arial"/>
          <w:sz w:val="17"/>
          <w:szCs w:val="17"/>
          <w:u w:val="single" w:color="auto"/>
          <w:color w:val="0000FF"/>
        </w:rPr>
      </w:pPr>
    </w:p>
    <w:p>
      <w:pPr>
        <w:ind w:left="1280" w:hanging="548"/>
        <w:spacing w:after="0" w:line="219" w:lineRule="auto"/>
        <w:tabs>
          <w:tab w:leader="none" w:pos="1260" w:val="left"/>
        </w:tabs>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58">
        <w:r>
          <w:rPr>
            <w:rFonts w:ascii="Arial" w:cs="Arial" w:eastAsia="Arial" w:hAnsi="Arial"/>
            <w:sz w:val="18"/>
            <w:szCs w:val="18"/>
            <w:u w:val="single" w:color="auto"/>
            <w:color w:val="0000FF"/>
          </w:rPr>
          <w:t>U.S. Pledge and Security Agreement, dated as of March 28, 2017 by and among Aramark Intermediate HoldCo Corporation, Aramark</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Services, Inc., the Subsidiary Parties from time to time party thereto and JPMorgan Chase Bank, N.A. as collateral agent (incorporated by</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reference to Exhibit 10.2 to Aramark's Quarterly Report on Form 10-Q filed with the SEC on May 9, 2017, pursuant to the Exchange Act</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(file number 001-36223)).</w:t>
        </w:r>
      </w:hyperlink>
    </w:p>
    <w:p>
      <w:pPr>
        <w:spacing w:after="0" w:line="1" w:lineRule="exact"/>
        <w:rPr>
          <w:rFonts w:ascii="Arial" w:cs="Arial" w:eastAsia="Arial" w:hAnsi="Arial"/>
          <w:sz w:val="18"/>
          <w:szCs w:val="18"/>
          <w:u w:val="single" w:color="auto"/>
          <w:color w:val="0000FF"/>
        </w:rPr>
      </w:pPr>
    </w:p>
    <w:p>
      <w:pPr>
        <w:ind w:left="1280" w:right="120" w:hanging="548"/>
        <w:spacing w:after="0" w:line="224" w:lineRule="auto"/>
        <w:tabs>
          <w:tab w:leader="none" w:pos="1260" w:val="left"/>
        </w:tabs>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59">
        <w:r>
          <w:rPr>
            <w:rFonts w:ascii="Arial" w:cs="Arial" w:eastAsia="Arial" w:hAnsi="Arial"/>
            <w:sz w:val="18"/>
            <w:szCs w:val="18"/>
            <w:u w:val="single" w:color="auto"/>
            <w:color w:val="0000FF"/>
          </w:rPr>
          <w:t>Amended and Restated Registration Rights and Coordination Committee Agreement, dated as of December 10, 2013, among Aramark</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and the other parties thereto (incorporated by reference to Exhibit 10.2 to Aramark’s Current Report on Form 8-K filed with the SEC on</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December 16, 2013,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00" w:hanging="637"/>
        <w:spacing w:after="0" w:line="224" w:lineRule="auto"/>
        <w:tabs>
          <w:tab w:leader="none" w:pos="1260" w:val="left"/>
        </w:tabs>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160">
        <w:r>
          <w:rPr>
            <w:rFonts w:ascii="Arial" w:cs="Arial" w:eastAsia="Arial" w:hAnsi="Arial"/>
            <w:sz w:val="18"/>
            <w:szCs w:val="18"/>
            <w:u w:val="single" w:color="auto"/>
            <w:color w:val="0000FF"/>
          </w:rPr>
          <w:t>Form of Agreement Relating to Employment and Post-Employment Competition and Schedule 1 listing each Executive Officer who is a</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party to such Agreement (incorporated by reference to Exhibit 10.1 to Aramark Services, Inc.’s Current Report on Form 8-K filed with</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the SEC on July 19, 2007,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120" w:hanging="637"/>
        <w:spacing w:after="0" w:line="224" w:lineRule="auto"/>
        <w:tabs>
          <w:tab w:leader="none" w:pos="1260" w:val="left"/>
        </w:tabs>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161">
        <w:r>
          <w:rPr>
            <w:rFonts w:ascii="Arial" w:cs="Arial" w:eastAsia="Arial" w:hAnsi="Arial"/>
            <w:sz w:val="18"/>
            <w:szCs w:val="18"/>
            <w:u w:val="single" w:color="auto"/>
            <w:color w:val="0000FF"/>
          </w:rPr>
          <w:t>Form of Amendment to Agreement Relating to Employment and Post-Employment Competition (incorporated by reference to Exhibit</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10.8 to Aramark Services, Inc.’s Annual Report on Form 10-K filed with the SEC on December 15, 2008, pursuant to the Exchange Act</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(file number 001-04762)).</w:t>
        </w:r>
      </w:hyperlink>
    </w:p>
    <w:p>
      <w:pPr>
        <w:spacing w:after="0" w:line="1" w:lineRule="exact"/>
        <w:rPr>
          <w:rFonts w:ascii="Arial" w:cs="Arial" w:eastAsia="Arial" w:hAnsi="Arial"/>
          <w:sz w:val="18"/>
          <w:szCs w:val="18"/>
          <w:u w:val="single" w:color="auto"/>
          <w:color w:val="0000FF"/>
        </w:rPr>
      </w:pPr>
    </w:p>
    <w:p>
      <w:pPr>
        <w:ind w:left="1280" w:right="360" w:hanging="637"/>
        <w:spacing w:after="0" w:line="224" w:lineRule="auto"/>
        <w:tabs>
          <w:tab w:leader="none" w:pos="1260" w:val="left"/>
        </w:tabs>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162">
        <w:r>
          <w:rPr>
            <w:rFonts w:ascii="Arial" w:cs="Arial" w:eastAsia="Arial" w:hAnsi="Arial"/>
            <w:sz w:val="18"/>
            <w:szCs w:val="18"/>
            <w:u w:val="single" w:color="auto"/>
            <w:color w:val="0000FF"/>
          </w:rPr>
          <w:t>Offer Letter dated February 4, 2019 between Aramark and Lauren A. Harrington (incorporated by reference to Exhibit 10.21 to</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Aramark’s Annual Report on Form 10-K filed with the SEC on November 26, 2019, pursuant to the Exchange Act (file number 001-</w:t>
        </w:r>
      </w:hyperlink>
      <w:hyperlink r:id="rId162">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jc w:val="both"/>
        <w:ind w:left="1280" w:right="220" w:hanging="637"/>
        <w:spacing w:after="0" w:line="224" w:lineRule="auto"/>
        <w:tabs>
          <w:tab w:leader="none" w:pos="1260" w:val="left"/>
        </w:tabs>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63">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and Lauren A. Harrington (incorporated by reference to Exhibit 10.5 of Aramark’s Current Report on Form 8-K filed with the SEC on</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July 17, 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0" w:hanging="637"/>
        <w:spacing w:after="0" w:line="264" w:lineRule="auto"/>
        <w:tabs>
          <w:tab w:leader="none" w:pos="1260" w:val="left"/>
        </w:tabs>
        <w:rPr>
          <w:rFonts w:ascii="Arial" w:cs="Arial" w:eastAsia="Arial" w:hAnsi="Arial"/>
          <w:sz w:val="16"/>
          <w:szCs w:val="16"/>
          <w:u w:val="single" w:color="auto"/>
          <w:color w:val="0000FF"/>
        </w:rPr>
      </w:pPr>
      <w:hyperlink r:id="rId164">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64">
        <w:r>
          <w:rPr>
            <w:rFonts w:ascii="Arial" w:cs="Arial" w:eastAsia="Arial" w:hAnsi="Arial"/>
            <w:sz w:val="16"/>
            <w:szCs w:val="16"/>
            <w:u w:val="single" w:color="auto"/>
            <w:color w:val="0000FF"/>
          </w:rPr>
          <w:t>Offer Letter by and between Aramark and John J. Zillmer, dated October 6, 2019 (incorporated by reference to Exhibit 10.2 to Aramark’s</w:t>
        </w:r>
      </w:hyperlink>
      <w:r>
        <w:rPr>
          <w:rFonts w:ascii="Arial" w:cs="Arial" w:eastAsia="Arial" w:hAnsi="Arial"/>
          <w:sz w:val="16"/>
          <w:szCs w:val="16"/>
          <w:u w:val="single" w:color="auto"/>
          <w:color w:val="0000FF"/>
        </w:rPr>
        <w:t xml:space="preserve"> </w:t>
      </w:r>
      <w:hyperlink r:id="rId164">
        <w:r>
          <w:rPr>
            <w:rFonts w:ascii="Arial" w:cs="Arial" w:eastAsia="Arial" w:hAnsi="Arial"/>
            <w:sz w:val="16"/>
            <w:szCs w:val="16"/>
            <w:u w:val="single" w:color="auto"/>
            <w:color w:val="0000FF"/>
          </w:rPr>
          <w:t>Current Report on Form 8-K filed with the SEC on October 7, 2019, pursuant to the Exchange Act (file number 001-36223)).</w:t>
        </w:r>
      </w:hyperlink>
    </w:p>
    <w:p>
      <w:pPr>
        <w:jc w:val="both"/>
        <w:ind w:left="1280" w:right="120" w:hanging="637"/>
        <w:spacing w:after="0" w:line="224" w:lineRule="auto"/>
        <w:tabs>
          <w:tab w:leader="none" w:pos="1260" w:val="left"/>
        </w:tabs>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165">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and John J. Zillmer (incorporated by reference to Exhibit 10.1 of Aramark’s Current Report on Form 8-K filed with the SEC on July 17,</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00" w:hanging="637"/>
        <w:spacing w:after="0" w:line="264" w:lineRule="auto"/>
        <w:tabs>
          <w:tab w:leader="none" w:pos="1260" w:val="left"/>
        </w:tabs>
        <w:rPr>
          <w:rFonts w:ascii="Arial" w:cs="Arial" w:eastAsia="Arial" w:hAnsi="Arial"/>
          <w:sz w:val="16"/>
          <w:szCs w:val="16"/>
          <w:u w:val="single" w:color="auto"/>
          <w:color w:val="0000FF"/>
        </w:rPr>
      </w:pPr>
      <w:hyperlink r:id="rId166">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166">
        <w:r>
          <w:rPr>
            <w:rFonts w:ascii="Arial" w:cs="Arial" w:eastAsia="Arial" w:hAnsi="Arial"/>
            <w:sz w:val="16"/>
            <w:szCs w:val="16"/>
            <w:u w:val="single" w:color="auto"/>
            <w:color w:val="0000FF"/>
          </w:rPr>
          <w:t>Offer Letter, dated as of January 5, 2020, by and between Thomas Ondrof and Aramark (incorporated by reference to Exhibit 10.2 to</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Aramark’s Current Report on Form 8-K filed with the SEC on January 6, 2020, pursuant to the Exchange Act (file number 001-36223)).</w:t>
        </w:r>
      </w:hyperlink>
    </w:p>
    <w:p>
      <w:pPr>
        <w:ind w:left="1280" w:right="60" w:hanging="637"/>
        <w:spacing w:after="0" w:line="224" w:lineRule="auto"/>
        <w:tabs>
          <w:tab w:leader="none" w:pos="1260" w:val="left"/>
        </w:tabs>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67">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and Thomas Ondrof (incorporated by reference to Exhibit 10.2 of Aramark’s Current Report on Form 8-K filed with the SEC on July 17,</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60" w:hanging="637"/>
        <w:spacing w:after="0" w:line="224" w:lineRule="auto"/>
        <w:tabs>
          <w:tab w:leader="none" w:pos="1260" w:val="left"/>
        </w:tabs>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68">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and Lynn B. McKee (incorporated by reference to Exhibit 10.3 of Aramark’s Current Report on Form 8-K filed with the SEC on July 17,</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2020, pursuant to the Exchange Act (file number 001-36223)).</w:t>
        </w:r>
      </w:hyperlink>
    </w:p>
    <w:p>
      <w:pPr>
        <w:spacing w:after="0" w:line="1" w:lineRule="exact"/>
        <w:rPr>
          <w:rFonts w:ascii="Arial" w:cs="Arial" w:eastAsia="Arial" w:hAnsi="Arial"/>
          <w:sz w:val="18"/>
          <w:szCs w:val="18"/>
          <w:u w:val="single" w:color="auto"/>
          <w:color w:val="0000FF"/>
        </w:rPr>
      </w:pPr>
    </w:p>
    <w:p>
      <w:pPr>
        <w:jc w:val="right"/>
        <w:ind w:left="640" w:right="540"/>
        <w:spacing w:after="0" w:line="264"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10.24†  Offer Letter dated December 4, 2019 between Aramark and Marc Bruno (incorporated by reference to Exhibit 10.29 to Aramark’s</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Annual Report on Form 10-K filed with the SEC on November 24, 2020 pursuant to the Exchange Act (file number 001-36223)).</w:t>
        </w:r>
      </w:hyperlink>
    </w:p>
    <w:p>
      <w:pPr>
        <w:ind w:left="1280" w:hanging="637"/>
        <w:spacing w:after="0" w:line="224" w:lineRule="auto"/>
        <w:tabs>
          <w:tab w:leader="none" w:pos="1260" w:val="left"/>
        </w:tabs>
        <w:rPr>
          <w:rFonts w:ascii="Arial" w:cs="Arial" w:eastAsia="Arial" w:hAnsi="Arial"/>
          <w:sz w:val="18"/>
          <w:szCs w:val="18"/>
          <w:u w:val="single" w:color="auto"/>
          <w:color w:val="0000FF"/>
        </w:rPr>
      </w:pPr>
      <w:hyperlink r:id="rId170">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70">
        <w:r>
          <w:rPr>
            <w:rFonts w:ascii="Arial" w:cs="Arial" w:eastAsia="Arial" w:hAnsi="Arial"/>
            <w:sz w:val="18"/>
            <w:szCs w:val="18"/>
            <w:u w:val="single" w:color="auto"/>
            <w:color w:val="0000FF"/>
          </w:rPr>
          <w:t>Amended and Restated Agreement Relating to Employment and Post-Employment Competition dated July 16, 2020 between Aramark</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and Marc Bruno (incorporated by reference to Exhibit 10.30 to Aramark’s Annual Report on Form 10-K filed with the SEC on November</w:t>
        </w:r>
      </w:hyperlink>
      <w:r>
        <w:rPr>
          <w:rFonts w:ascii="Arial" w:cs="Arial" w:eastAsia="Arial" w:hAnsi="Arial"/>
          <w:sz w:val="18"/>
          <w:szCs w:val="18"/>
          <w:u w:val="single" w:color="auto"/>
          <w:color w:val="0000FF"/>
        </w:rPr>
        <w:t xml:space="preserve"> </w:t>
      </w:r>
      <w:hyperlink r:id="rId170">
        <w:r>
          <w:rPr>
            <w:rFonts w:ascii="Arial" w:cs="Arial" w:eastAsia="Arial" w:hAnsi="Arial"/>
            <w:sz w:val="18"/>
            <w:szCs w:val="18"/>
            <w:u w:val="single" w:color="auto"/>
            <w:color w:val="0000FF"/>
          </w:rPr>
          <w:t>24, 2020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S-57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hanging="637"/>
        <w:spacing w:after="0" w:line="249" w:lineRule="auto"/>
        <w:tabs>
          <w:tab w:leader="none" w:pos="1260" w:val="left"/>
        </w:tabs>
        <w:rPr>
          <w:rFonts w:ascii="Arial" w:cs="Arial" w:eastAsia="Arial" w:hAnsi="Arial"/>
          <w:sz w:val="17"/>
          <w:szCs w:val="17"/>
          <w:u w:val="single" w:color="auto"/>
          <w:color w:val="0000FF"/>
        </w:rPr>
      </w:pPr>
      <w:hyperlink r:id="rId172">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72">
        <w:r>
          <w:rPr>
            <w:rFonts w:ascii="Arial" w:cs="Arial" w:eastAsia="Arial" w:hAnsi="Arial"/>
            <w:sz w:val="17"/>
            <w:szCs w:val="17"/>
            <w:u w:val="single" w:color="auto"/>
            <w:color w:val="0000FF"/>
          </w:rPr>
          <w:t>Form of Indemnification Agreement and attached schedule (incorporated by reference to Exhibit 10.4 to Aramark Services, Inc.’s Current</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Report on Form 8-K filed with the SEC on August 10, 2005, pursuant to the Exchange Act (file number 001-16807)).</w:t>
        </w:r>
      </w:hyperlink>
    </w:p>
    <w:p>
      <w:pPr>
        <w:jc w:val="both"/>
        <w:ind w:left="1280" w:right="140" w:hanging="637"/>
        <w:spacing w:after="0" w:line="234" w:lineRule="auto"/>
        <w:tabs>
          <w:tab w:leader="none" w:pos="1260" w:val="left"/>
        </w:tabs>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73">
        <w:r>
          <w:rPr>
            <w:rFonts w:ascii="Arial" w:cs="Arial" w:eastAsia="Arial" w:hAnsi="Arial"/>
            <w:sz w:val="18"/>
            <w:szCs w:val="18"/>
            <w:u w:val="single" w:color="auto"/>
            <w:color w:val="0000FF"/>
          </w:rPr>
          <w:t>Form of Indemnification Agreement (Directors) (incorporated by reference to Exhibit 10.17 to Aramark's Annual Report on Form 10-K</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300" w:hanging="637"/>
        <w:spacing w:after="0" w:line="234" w:lineRule="auto"/>
        <w:tabs>
          <w:tab w:leader="none" w:pos="1260" w:val="left"/>
        </w:tabs>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74">
        <w:r>
          <w:rPr>
            <w:rFonts w:ascii="Arial" w:cs="Arial" w:eastAsia="Arial" w:hAnsi="Arial"/>
            <w:sz w:val="18"/>
            <w:szCs w:val="18"/>
            <w:u w:val="single" w:color="auto"/>
            <w:color w:val="0000FF"/>
          </w:rPr>
          <w:t>Form of Indemnification Agreement (Executive Officers) (incorporated by reference to Exhibit 10.29 to Aramark’s Annual Report on</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Form 10-K filed with the SEC on November 26, 2019,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1280" w:right="140" w:hanging="637"/>
        <w:spacing w:after="0" w:line="224" w:lineRule="auto"/>
        <w:tabs>
          <w:tab w:leader="none" w:pos="1260" w:val="left"/>
        </w:tabs>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75">
        <w:r>
          <w:rPr>
            <w:rFonts w:ascii="Arial" w:cs="Arial" w:eastAsia="Arial" w:hAnsi="Arial"/>
            <w:sz w:val="18"/>
            <w:szCs w:val="18"/>
            <w:u w:val="single" w:color="auto"/>
            <w:color w:val="0000FF"/>
          </w:rPr>
          <w:t>Indemnification Agreement dated February 4, 2014 between Daniel J. Heinrich and Aramark (incorporated by reference to Exhibit 10.1</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to Aramark’s Quarterly Report on Form 10-Q filed with the SEC on February 5, 2014, pursuant to the Exchange Act (file number 001-</w:t>
        </w:r>
      </w:hyperlink>
      <w:hyperlink r:id="rId175">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120" w:hanging="637"/>
        <w:spacing w:after="0" w:line="224" w:lineRule="auto"/>
        <w:tabs>
          <w:tab w:leader="none" w:pos="1260" w:val="left"/>
        </w:tabs>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76">
        <w:r>
          <w:rPr>
            <w:rFonts w:ascii="Arial" w:cs="Arial" w:eastAsia="Arial" w:hAnsi="Arial"/>
            <w:sz w:val="18"/>
            <w:szCs w:val="18"/>
            <w:u w:val="single" w:color="auto"/>
            <w:color w:val="0000FF"/>
          </w:rPr>
          <w:t>Indemnification Agreement dated February 4, 2014 between Stephen Sadove and Aramark (incorporated by reference to Exhibit 10.2 to</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Aramark’s Quarterly Report on Form 10-Q filed with the SEC on February 5, 2014, pursuant to the Exchange Act (file number 001-</w:t>
        </w:r>
      </w:hyperlink>
      <w:hyperlink r:id="rId176">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740" w:hanging="637"/>
        <w:spacing w:after="0" w:line="234" w:lineRule="auto"/>
        <w:tabs>
          <w:tab w:leader="none" w:pos="1260" w:val="left"/>
        </w:tabs>
        <w:rPr>
          <w:rFonts w:ascii="Arial" w:cs="Arial" w:eastAsia="Arial" w:hAnsi="Arial"/>
          <w:sz w:val="18"/>
          <w:szCs w:val="18"/>
          <w:u w:val="single" w:color="auto"/>
          <w:color w:val="0000FF"/>
        </w:rPr>
      </w:pPr>
      <w:hyperlink r:id="rId177">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77">
        <w:r>
          <w:rPr>
            <w:rFonts w:ascii="Arial" w:cs="Arial" w:eastAsia="Arial" w:hAnsi="Arial"/>
            <w:sz w:val="18"/>
            <w:szCs w:val="18"/>
            <w:u w:val="single" w:color="auto"/>
            <w:color w:val="0000FF"/>
          </w:rPr>
          <w:t>Aramark 2001 Deferred Compensation Plan (incorporated by reference to Exhibit 10.1 to Aramark Services, Inc.’s Registration</w:t>
        </w:r>
      </w:hyperlink>
      <w:r>
        <w:rPr>
          <w:rFonts w:ascii="Arial" w:cs="Arial" w:eastAsia="Arial" w:hAnsi="Arial"/>
          <w:sz w:val="18"/>
          <w:szCs w:val="18"/>
          <w:u w:val="single" w:color="auto"/>
          <w:color w:val="0000FF"/>
        </w:rPr>
        <w:t xml:space="preserve"> </w:t>
      </w:r>
      <w:hyperlink r:id="rId177">
        <w:r>
          <w:rPr>
            <w:rFonts w:ascii="Arial" w:cs="Arial" w:eastAsia="Arial" w:hAnsi="Arial"/>
            <w:sz w:val="18"/>
            <w:szCs w:val="18"/>
            <w:u w:val="single" w:color="auto"/>
            <w:color w:val="0000FF"/>
          </w:rPr>
          <w:t>Statement on Form S-8 filed with the SEC on May 24, 2002 (file number 333-89120)).</w:t>
        </w:r>
      </w:hyperlink>
    </w:p>
    <w:p>
      <w:pPr>
        <w:spacing w:after="0" w:line="1" w:lineRule="exact"/>
        <w:rPr>
          <w:rFonts w:ascii="Arial" w:cs="Arial" w:eastAsia="Arial" w:hAnsi="Arial"/>
          <w:sz w:val="18"/>
          <w:szCs w:val="18"/>
          <w:u w:val="single" w:color="auto"/>
          <w:color w:val="0000FF"/>
        </w:rPr>
      </w:pPr>
    </w:p>
    <w:p>
      <w:pPr>
        <w:ind w:left="1280" w:right="120" w:hanging="637"/>
        <w:spacing w:after="0" w:line="264" w:lineRule="auto"/>
        <w:tabs>
          <w:tab w:leader="none" w:pos="1260" w:val="left"/>
        </w:tabs>
        <w:rPr>
          <w:rFonts w:ascii="Arial" w:cs="Arial" w:eastAsia="Arial" w:hAnsi="Arial"/>
          <w:sz w:val="16"/>
          <w:szCs w:val="16"/>
          <w:u w:val="single" w:color="auto"/>
          <w:color w:val="0000FF"/>
        </w:rPr>
      </w:pPr>
      <w:hyperlink r:id="rId178">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78">
        <w:r>
          <w:rPr>
            <w:rFonts w:ascii="Arial" w:cs="Arial" w:eastAsia="Arial" w:hAnsi="Arial"/>
            <w:sz w:val="16"/>
            <w:szCs w:val="16"/>
            <w:u w:val="single" w:color="auto"/>
            <w:color w:val="0000FF"/>
          </w:rPr>
          <w:t>Amended and Restated Aramark 2001 Stock Unit Retirement Plan (incorporated by reference to Exhibit 10.22 to Aramark Services,</w:t>
        </w:r>
      </w:hyperlink>
      <w:r>
        <w:rPr>
          <w:rFonts w:ascii="Arial" w:cs="Arial" w:eastAsia="Arial" w:hAnsi="Arial"/>
          <w:sz w:val="16"/>
          <w:szCs w:val="16"/>
          <w:u w:val="single" w:color="auto"/>
          <w:color w:val="0000FF"/>
        </w:rPr>
        <w:t xml:space="preserve"> </w:t>
      </w:r>
      <w:hyperlink r:id="rId178">
        <w:r>
          <w:rPr>
            <w:rFonts w:ascii="Arial" w:cs="Arial" w:eastAsia="Arial" w:hAnsi="Arial"/>
            <w:sz w:val="16"/>
            <w:szCs w:val="16"/>
            <w:u w:val="single" w:color="auto"/>
            <w:color w:val="0000FF"/>
          </w:rPr>
          <w:t>Inc.’s Annual Report on Form 10-K filed with the SEC on December 19, 2003, pursuant to the Exchange Act (file number 001-16807)).</w:t>
        </w:r>
      </w:hyperlink>
    </w:p>
    <w:p>
      <w:pPr>
        <w:ind w:left="1280" w:right="300" w:hanging="637"/>
        <w:spacing w:after="0" w:line="234" w:lineRule="auto"/>
        <w:tabs>
          <w:tab w:leader="none" w:pos="1260" w:val="left"/>
        </w:tabs>
        <w:rPr>
          <w:rFonts w:ascii="Arial" w:cs="Arial" w:eastAsia="Arial" w:hAnsi="Arial"/>
          <w:sz w:val="18"/>
          <w:szCs w:val="18"/>
          <w:u w:val="single" w:color="auto"/>
          <w:color w:val="0000FF"/>
        </w:rPr>
      </w:pPr>
      <w:hyperlink r:id="rId179">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79">
        <w:r>
          <w:rPr>
            <w:rFonts w:ascii="Arial" w:cs="Arial" w:eastAsia="Arial" w:hAnsi="Arial"/>
            <w:sz w:val="18"/>
            <w:szCs w:val="18"/>
            <w:u w:val="single" w:color="auto"/>
            <w:color w:val="0000FF"/>
          </w:rPr>
          <w:t>Second Amended and Restated Aramark Savings Incentive Retirement Plan (incorporated by reference to Exhibit 10.45 to Aramark’s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240" w:hanging="637"/>
        <w:spacing w:after="0" w:line="224" w:lineRule="auto"/>
        <w:tabs>
          <w:tab w:leader="none" w:pos="1260" w:val="left"/>
        </w:tabs>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80">
        <w:r>
          <w:rPr>
            <w:rFonts w:ascii="Arial" w:cs="Arial" w:eastAsia="Arial" w:hAnsi="Arial"/>
            <w:sz w:val="18"/>
            <w:szCs w:val="18"/>
            <w:u w:val="single" w:color="auto"/>
            <w:color w:val="0000FF"/>
          </w:rPr>
          <w:t>Amendment 2019-1 to the Second Amended and Restated Aramark Savings Incentive Retirement Plan (incorporated by reference to</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Exhibit 10.6 to Aramark’s Quarterly Report on Form 10-Q filed with the SEC on February 4, 2020, pursuant to the Exchange Act (file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number 001-36233)).</w:t>
        </w:r>
      </w:hyperlink>
    </w:p>
    <w:p>
      <w:pPr>
        <w:spacing w:after="0" w:line="1" w:lineRule="exact"/>
        <w:rPr>
          <w:rFonts w:ascii="Arial" w:cs="Arial" w:eastAsia="Arial" w:hAnsi="Arial"/>
          <w:sz w:val="18"/>
          <w:szCs w:val="18"/>
          <w:u w:val="single" w:color="auto"/>
          <w:color w:val="0000FF"/>
        </w:rPr>
      </w:pPr>
    </w:p>
    <w:p>
      <w:pPr>
        <w:ind w:left="1280" w:right="240" w:hanging="637"/>
        <w:spacing w:after="0" w:line="248" w:lineRule="auto"/>
        <w:tabs>
          <w:tab w:leader="none" w:pos="1260" w:val="left"/>
        </w:tabs>
        <w:rPr>
          <w:rFonts w:ascii="Arial" w:cs="Arial" w:eastAsia="Arial" w:hAnsi="Arial"/>
          <w:sz w:val="17"/>
          <w:szCs w:val="17"/>
          <w:u w:val="single" w:color="auto"/>
          <w:color w:val="0000FF"/>
        </w:rPr>
      </w:pPr>
      <w:hyperlink r:id="rId181">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81">
        <w:r>
          <w:rPr>
            <w:rFonts w:ascii="Arial" w:cs="Arial" w:eastAsia="Arial" w:hAnsi="Arial"/>
            <w:sz w:val="17"/>
            <w:szCs w:val="17"/>
            <w:u w:val="single" w:color="auto"/>
            <w:color w:val="0000FF"/>
          </w:rPr>
          <w:t>Amended Survivor Income Protection Plan (incorporated by reference to Exhibit 10.5 to Aramark Services, Inc.’s Quarterly Report on</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Form 10-Q filed with the SEC on August 8, 2007,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300" w:hanging="637"/>
        <w:spacing w:after="0" w:line="234" w:lineRule="auto"/>
        <w:tabs>
          <w:tab w:leader="none" w:pos="1260" w:val="left"/>
        </w:tabs>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82">
        <w:r>
          <w:rPr>
            <w:rFonts w:ascii="Arial" w:cs="Arial" w:eastAsia="Arial" w:hAnsi="Arial"/>
            <w:sz w:val="18"/>
            <w:szCs w:val="18"/>
            <w:u w:val="single" w:color="auto"/>
            <w:color w:val="0000FF"/>
          </w:rPr>
          <w:t>Second Amended and Restated Aramark 2005 Deferred Compensation Plan (incorporated by reference to Exhibit 10.48 to Aramark’s</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480" w:hanging="637"/>
        <w:spacing w:after="0" w:line="264" w:lineRule="auto"/>
        <w:tabs>
          <w:tab w:leader="none" w:pos="1260" w:val="left"/>
        </w:tabs>
        <w:rPr>
          <w:rFonts w:ascii="Arial" w:cs="Arial" w:eastAsia="Arial" w:hAnsi="Arial"/>
          <w:sz w:val="16"/>
          <w:szCs w:val="16"/>
          <w:u w:val="single" w:color="auto"/>
          <w:color w:val="0000FF"/>
        </w:rPr>
      </w:pPr>
      <w:hyperlink r:id="rId183">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83">
        <w:r>
          <w:rPr>
            <w:rFonts w:ascii="Arial" w:cs="Arial" w:eastAsia="Arial" w:hAnsi="Arial"/>
            <w:sz w:val="16"/>
            <w:szCs w:val="16"/>
            <w:u w:val="single" w:color="auto"/>
            <w:color w:val="0000FF"/>
          </w:rPr>
          <w:t>Third Amended and Restated 2005 Deferred Compensation Plan (incorporated by reference to Exhibit 10.2 to Aramark’s Quarterly</w:t>
        </w:r>
      </w:hyperlink>
      <w:r>
        <w:rPr>
          <w:rFonts w:ascii="Arial" w:cs="Arial" w:eastAsia="Arial" w:hAnsi="Arial"/>
          <w:sz w:val="16"/>
          <w:szCs w:val="16"/>
          <w:u w:val="single" w:color="auto"/>
          <w:color w:val="0000FF"/>
        </w:rPr>
        <w:t xml:space="preserve"> </w:t>
      </w:r>
      <w:hyperlink r:id="rId183">
        <w:r>
          <w:rPr>
            <w:rFonts w:ascii="Arial" w:cs="Arial" w:eastAsia="Arial" w:hAnsi="Arial"/>
            <w:sz w:val="16"/>
            <w:szCs w:val="16"/>
            <w:u w:val="single" w:color="auto"/>
            <w:color w:val="0000FF"/>
          </w:rPr>
          <w:t>Report on Form 10-Q filed with the SEC on February 10, 2016, pursuant to the Exchange Act (file number 001-36233)).</w:t>
        </w:r>
      </w:hyperlink>
    </w:p>
    <w:p>
      <w:pPr>
        <w:ind w:left="640"/>
        <w:spacing w:after="0"/>
        <w:tabs>
          <w:tab w:leader="none" w:pos="1260" w:val="left"/>
        </w:tabs>
        <w:rPr>
          <w:rFonts w:ascii="Arial" w:cs="Arial" w:eastAsia="Arial" w:hAnsi="Arial"/>
          <w:sz w:val="16"/>
          <w:szCs w:val="16"/>
          <w:u w:val="single" w:color="auto"/>
          <w:color w:val="0000FF"/>
        </w:rPr>
      </w:pPr>
      <w:hyperlink r:id="rId184">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84">
        <w:r>
          <w:rPr>
            <w:rFonts w:ascii="Arial" w:cs="Arial" w:eastAsia="Arial" w:hAnsi="Arial"/>
            <w:sz w:val="16"/>
            <w:szCs w:val="16"/>
            <w:u w:val="single" w:color="auto"/>
            <w:color w:val="0000FF"/>
          </w:rPr>
          <w:t>Amended and Restated Aramark Executive Leadership Council Management Incentive Bonus Plan (incorporated by reference to Exhibit</w:t>
        </w:r>
      </w:hyperlink>
    </w:p>
    <w:p>
      <w:pPr>
        <w:ind w:left="1280"/>
        <w:spacing w:after="0" w:line="229" w:lineRule="auto"/>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10.40 to Aramark's Annual Report on Form 10-K filed with the SEC on November 21, 2018 pursuant to the Exchange Act (file number</w:t>
        </w:r>
      </w:hyperlink>
    </w:p>
    <w:p>
      <w:pPr>
        <w:ind w:left="1280"/>
        <w:spacing w:after="0"/>
        <w:rPr>
          <w:rFonts w:ascii="Arial" w:cs="Arial" w:eastAsia="Arial" w:hAnsi="Arial"/>
          <w:sz w:val="18"/>
          <w:szCs w:val="18"/>
          <w:u w:val="single" w:color="auto"/>
          <w:color w:val="0000FF"/>
        </w:rPr>
      </w:pPr>
      <w:hyperlink r:id="rId184">
        <w:r>
          <w:rPr>
            <w:rFonts w:ascii="Arial" w:cs="Arial" w:eastAsia="Arial" w:hAnsi="Arial"/>
            <w:sz w:val="18"/>
            <w:szCs w:val="18"/>
            <w:u w:val="single" w:color="auto"/>
            <w:color w:val="0000FF"/>
          </w:rPr>
          <w:t>001-36223).</w:t>
        </w:r>
      </w:hyperlink>
    </w:p>
    <w:p>
      <w:pPr>
        <w:spacing w:after="0" w:line="7" w:lineRule="exact"/>
        <w:rPr>
          <w:sz w:val="20"/>
          <w:szCs w:val="20"/>
          <w:color w:val="auto"/>
        </w:rPr>
      </w:pPr>
    </w:p>
    <w:p>
      <w:pPr>
        <w:ind w:left="560"/>
        <w:spacing w:after="0"/>
        <w:tabs>
          <w:tab w:leader="none" w:pos="1260" w:val="left"/>
        </w:tabs>
        <w:rPr>
          <w:rFonts w:ascii="Arial" w:cs="Arial" w:eastAsia="Arial" w:hAnsi="Arial"/>
          <w:sz w:val="16"/>
          <w:szCs w:val="16"/>
          <w:u w:val="single" w:color="auto"/>
          <w:color w:val="0000FF"/>
        </w:rPr>
      </w:pPr>
      <w:hyperlink w:anchor="page117">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w:anchor="page117">
        <w:r>
          <w:rPr>
            <w:rFonts w:ascii="Arial" w:cs="Arial" w:eastAsia="Arial" w:hAnsi="Arial"/>
            <w:sz w:val="16"/>
            <w:szCs w:val="16"/>
            <w:u w:val="single" w:color="auto"/>
            <w:color w:val="0000FF"/>
          </w:rPr>
          <w:t>Amended and Restated Aramark Management Incentive Bonus Plan.</w:t>
        </w:r>
      </w:hyperlink>
    </w:p>
    <w:p>
      <w:pPr>
        <w:spacing w:after="0" w:line="23" w:lineRule="exact"/>
        <w:rPr>
          <w:sz w:val="20"/>
          <w:szCs w:val="20"/>
          <w:color w:val="auto"/>
        </w:rPr>
      </w:pPr>
    </w:p>
    <w:p>
      <w:pPr>
        <w:ind w:left="1280" w:right="340" w:hanging="637"/>
        <w:spacing w:after="0" w:line="234" w:lineRule="auto"/>
        <w:tabs>
          <w:tab w:leader="none" w:pos="1260" w:val="left"/>
        </w:tabs>
        <w:rPr>
          <w:rFonts w:ascii="Arial" w:cs="Arial" w:eastAsia="Arial" w:hAnsi="Arial"/>
          <w:sz w:val="18"/>
          <w:szCs w:val="18"/>
          <w:u w:val="single" w:color="auto"/>
          <w:color w:val="0000FF"/>
        </w:rPr>
      </w:pPr>
      <w:hyperlink r:id="rId185">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85">
        <w:r>
          <w:rPr>
            <w:rFonts w:ascii="Arial" w:cs="Arial" w:eastAsia="Arial" w:hAnsi="Arial"/>
            <w:sz w:val="18"/>
            <w:szCs w:val="18"/>
            <w:u w:val="single" w:color="auto"/>
            <w:color w:val="0000FF"/>
          </w:rPr>
          <w:t>Aramark 2005 Deferred Compensation Plan for Directors (incorporated by reference to Exhibit 10.67 to Aramark’s Form S-1/A filed</w:t>
        </w:r>
      </w:hyperlink>
      <w:r>
        <w:rPr>
          <w:rFonts w:ascii="Arial" w:cs="Arial" w:eastAsia="Arial" w:hAnsi="Arial"/>
          <w:sz w:val="18"/>
          <w:szCs w:val="18"/>
          <w:u w:val="single" w:color="auto"/>
          <w:color w:val="0000FF"/>
        </w:rPr>
        <w:t xml:space="preserve"> </w:t>
      </w:r>
      <w:hyperlink r:id="rId185">
        <w:r>
          <w:rPr>
            <w:rFonts w:ascii="Arial" w:cs="Arial" w:eastAsia="Arial" w:hAnsi="Arial"/>
            <w:sz w:val="18"/>
            <w:szCs w:val="18"/>
            <w:u w:val="single" w:color="auto"/>
            <w:color w:val="0000FF"/>
          </w:rPr>
          <w:t>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100" w:hanging="637"/>
        <w:spacing w:after="0" w:line="234" w:lineRule="auto"/>
        <w:tabs>
          <w:tab w:leader="none" w:pos="1260" w:val="left"/>
        </w:tabs>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186">
        <w:r>
          <w:rPr>
            <w:rFonts w:ascii="Arial" w:cs="Arial" w:eastAsia="Arial" w:hAnsi="Arial"/>
            <w:sz w:val="18"/>
            <w:szCs w:val="18"/>
            <w:u w:val="single" w:color="auto"/>
            <w:color w:val="0000FF"/>
          </w:rPr>
          <w:t>Fifth Amended and Restated Aramark 2007 Management Stock Incentive Plan (incorporated by reference to Exhibit 10.22 to Aramark’s</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220" w:hanging="637"/>
        <w:spacing w:after="0" w:line="258" w:lineRule="auto"/>
        <w:tabs>
          <w:tab w:leader="none" w:pos="1260" w:val="left"/>
        </w:tabs>
        <w:rPr>
          <w:rFonts w:ascii="Arial" w:cs="Arial" w:eastAsia="Arial" w:hAnsi="Arial"/>
          <w:sz w:val="17"/>
          <w:szCs w:val="17"/>
          <w:u w:val="single" w:color="auto"/>
          <w:color w:val="0000FF"/>
        </w:rPr>
      </w:pPr>
      <w:hyperlink r:id="rId187"/>
      <w:r>
        <w:rPr>
          <w:rFonts w:ascii="Arial" w:cs="Arial" w:eastAsia="Arial" w:hAnsi="Arial"/>
          <w:sz w:val="35"/>
          <w:szCs w:val="35"/>
          <w:u w:val="single" w:color="auto"/>
          <w:color w:val="0000FF"/>
          <w:vertAlign w:val="superscript"/>
        </w:rPr>
        <w:t>10.42†</w:t>
      </w:r>
      <w:r>
        <w:rPr>
          <w:rFonts w:ascii="Arial" w:cs="Arial" w:eastAsia="Arial" w:hAnsi="Arial"/>
          <w:sz w:val="18"/>
          <w:szCs w:val="18"/>
          <w:u w:val="single" w:color="auto"/>
          <w:color w:val="0000FF"/>
        </w:rPr>
        <w:tab/>
      </w:r>
      <w:hyperlink r:id="rId187">
        <w:r>
          <w:rPr>
            <w:rFonts w:ascii="Arial" w:cs="Arial" w:eastAsia="Arial" w:hAnsi="Arial"/>
            <w:sz w:val="17"/>
            <w:szCs w:val="17"/>
            <w:u w:val="single" w:color="auto"/>
            <w:color w:val="0000FF"/>
          </w:rPr>
          <w:t>Aramark's Amended and Restated 2013 Stock Incentive Plan (incorporated by reference to Exhibit 10.1 to Aramark's Quarterly Report</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on Form 10-Q filed with the SEC on February 7, 2017, pursuant to the Exchange Act (file number 001-36233)).</w:t>
        </w:r>
      </w:hyperlink>
    </w:p>
    <w:p>
      <w:pPr>
        <w:spacing w:after="0" w:line="2" w:lineRule="exact"/>
        <w:rPr>
          <w:rFonts w:ascii="Arial" w:cs="Arial" w:eastAsia="Arial" w:hAnsi="Arial"/>
          <w:sz w:val="18"/>
          <w:szCs w:val="18"/>
          <w:u w:val="single" w:color="auto"/>
          <w:color w:val="0000FF"/>
        </w:rPr>
      </w:pPr>
    </w:p>
    <w:p>
      <w:pPr>
        <w:ind w:left="1280" w:right="20" w:hanging="637"/>
        <w:spacing w:after="0" w:line="234" w:lineRule="auto"/>
        <w:tabs>
          <w:tab w:leader="none" w:pos="1260" w:val="left"/>
        </w:tabs>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188">
        <w:r>
          <w:rPr>
            <w:rFonts w:ascii="Arial" w:cs="Arial" w:eastAsia="Arial" w:hAnsi="Arial"/>
            <w:sz w:val="18"/>
            <w:szCs w:val="18"/>
            <w:u w:val="single" w:color="auto"/>
            <w:color w:val="0000FF"/>
          </w:rPr>
          <w:t>Second Amended and Restated 2013 Stock Incentive Plan of Aramark (incorporated by reference to Appendix A to the Company's Proxy</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Statement filed with the SEC on December 20, 2019 (file number 001-36223)).</w:t>
        </w:r>
      </w:hyperlink>
    </w:p>
    <w:p>
      <w:pPr>
        <w:spacing w:after="0" w:line="1" w:lineRule="exact"/>
        <w:rPr>
          <w:rFonts w:ascii="Arial" w:cs="Arial" w:eastAsia="Arial" w:hAnsi="Arial"/>
          <w:sz w:val="18"/>
          <w:szCs w:val="18"/>
          <w:u w:val="single" w:color="auto"/>
          <w:color w:val="0000FF"/>
        </w:rPr>
      </w:pPr>
    </w:p>
    <w:p>
      <w:pPr>
        <w:ind w:left="1280" w:right="780" w:hanging="637"/>
        <w:spacing w:after="0" w:line="248" w:lineRule="auto"/>
        <w:tabs>
          <w:tab w:leader="none" w:pos="1260" w:val="left"/>
        </w:tabs>
        <w:rPr>
          <w:rFonts w:ascii="Arial" w:cs="Arial" w:eastAsia="Arial" w:hAnsi="Arial"/>
          <w:sz w:val="17"/>
          <w:szCs w:val="17"/>
          <w:u w:val="single" w:color="auto"/>
          <w:color w:val="0000FF"/>
        </w:rPr>
      </w:pPr>
      <w:hyperlink r:id="rId189">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189">
        <w:r>
          <w:rPr>
            <w:rFonts w:ascii="Arial" w:cs="Arial" w:eastAsia="Arial" w:hAnsi="Arial"/>
            <w:sz w:val="17"/>
            <w:szCs w:val="17"/>
            <w:u w:val="single" w:color="auto"/>
            <w:color w:val="0000FF"/>
          </w:rPr>
          <w:t>Aramark Third Amended and Restated 2013 Stock Incentive Plan of Aramark (incorporated by reference to Appendix A to the</w:t>
        </w:r>
      </w:hyperlink>
      <w:r>
        <w:rPr>
          <w:rFonts w:ascii="Arial" w:cs="Arial" w:eastAsia="Arial" w:hAnsi="Arial"/>
          <w:sz w:val="17"/>
          <w:szCs w:val="17"/>
          <w:u w:val="single" w:color="auto"/>
          <w:color w:val="0000FF"/>
        </w:rPr>
        <w:t xml:space="preserve"> </w:t>
      </w:r>
      <w:hyperlink r:id="rId189">
        <w:r>
          <w:rPr>
            <w:rFonts w:ascii="Arial" w:cs="Arial" w:eastAsia="Arial" w:hAnsi="Arial"/>
            <w:sz w:val="17"/>
            <w:szCs w:val="17"/>
            <w:u w:val="single" w:color="auto"/>
            <w:color w:val="0000FF"/>
          </w:rPr>
          <w:t>Company's Proxy Statement filed with the SEC on December 23, 2020 (file number 001-36223)).</w:t>
        </w:r>
      </w:hyperlink>
    </w:p>
    <w:p>
      <w:pPr>
        <w:spacing w:after="0" w:line="1" w:lineRule="exact"/>
        <w:rPr>
          <w:rFonts w:ascii="Arial" w:cs="Arial" w:eastAsia="Arial" w:hAnsi="Arial"/>
          <w:sz w:val="18"/>
          <w:szCs w:val="18"/>
          <w:u w:val="single" w:color="auto"/>
          <w:color w:val="0000FF"/>
        </w:rPr>
      </w:pPr>
    </w:p>
    <w:p>
      <w:pPr>
        <w:ind w:left="1280" w:right="200" w:hanging="637"/>
        <w:spacing w:after="0" w:line="248" w:lineRule="auto"/>
        <w:tabs>
          <w:tab w:leader="none" w:pos="1260" w:val="left"/>
        </w:tabs>
        <w:rPr>
          <w:rFonts w:ascii="Arial" w:cs="Arial" w:eastAsia="Arial" w:hAnsi="Arial"/>
          <w:sz w:val="17"/>
          <w:szCs w:val="17"/>
          <w:u w:val="single" w:color="auto"/>
          <w:color w:val="0000FF"/>
        </w:rPr>
      </w:pPr>
      <w:hyperlink r:id="rId190">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190">
        <w:r>
          <w:rPr>
            <w:rFonts w:ascii="Arial" w:cs="Arial" w:eastAsia="Arial" w:hAnsi="Arial"/>
            <w:sz w:val="17"/>
            <w:szCs w:val="17"/>
            <w:u w:val="single" w:color="auto"/>
            <w:color w:val="0000FF"/>
          </w:rPr>
          <w:t>Form of Non-Qualified Stock Option Award Agreement (incorporated by reference to Exhibit 10.2 to Aramark Services, Inc.’s Current</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Report on Form 8-K filed with the SEC on June 26, 2013, pursuant to the Exchange Act (file number 001-04762)).</w:t>
        </w:r>
      </w:hyperlink>
    </w:p>
    <w:p>
      <w:pPr>
        <w:spacing w:after="0" w:line="1" w:lineRule="exact"/>
        <w:rPr>
          <w:rFonts w:ascii="Arial" w:cs="Arial" w:eastAsia="Arial" w:hAnsi="Arial"/>
          <w:sz w:val="18"/>
          <w:szCs w:val="18"/>
          <w:u w:val="single" w:color="auto"/>
          <w:color w:val="0000FF"/>
        </w:rPr>
      </w:pPr>
    </w:p>
    <w:p>
      <w:pPr>
        <w:jc w:val="both"/>
        <w:ind w:left="1280" w:right="460" w:hanging="637"/>
        <w:spacing w:after="0" w:line="224" w:lineRule="auto"/>
        <w:tabs>
          <w:tab w:leader="none" w:pos="1260" w:val="left"/>
        </w:tabs>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10.46†</w:t>
        </w:r>
      </w:hyperlink>
      <w:r>
        <w:rPr>
          <w:rFonts w:ascii="Arial" w:cs="Arial" w:eastAsia="Arial" w:hAnsi="Arial"/>
          <w:sz w:val="18"/>
          <w:szCs w:val="18"/>
          <w:u w:val="single" w:color="auto"/>
          <w:color w:val="0000FF"/>
        </w:rPr>
        <w:tab/>
      </w:r>
      <w:hyperlink r:id="rId191">
        <w:r>
          <w:rPr>
            <w:rFonts w:ascii="Arial" w:cs="Arial" w:eastAsia="Arial" w:hAnsi="Arial"/>
            <w:sz w:val="18"/>
            <w:szCs w:val="18"/>
            <w:u w:val="single" w:color="auto"/>
            <w:color w:val="0000FF"/>
          </w:rPr>
          <w:t>Form of Time-Based Restricted Stock Unit Award Agreement with Aramark (incorporated by reference to Exhibit 10.3 to Aramark</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Services, Inc.’s Current Report on Form 8-K filed with the SEC on June 26, 2013, pursuant to the Exchange Act (file number 001-</w:t>
        </w:r>
      </w:hyperlink>
      <w:hyperlink r:id="rId191">
        <w:r>
          <w:rPr>
            <w:rFonts w:ascii="Arial" w:cs="Arial" w:eastAsia="Arial" w:hAnsi="Arial"/>
            <w:sz w:val="18"/>
            <w:szCs w:val="18"/>
            <w:u w:val="single" w:color="auto"/>
            <w:color w:val="0000FF"/>
          </w:rPr>
          <w:t>04762)).</w:t>
        </w:r>
      </w:hyperlink>
    </w:p>
    <w:p>
      <w:pPr>
        <w:spacing w:after="0" w:line="1" w:lineRule="exact"/>
        <w:rPr>
          <w:rFonts w:ascii="Arial" w:cs="Arial" w:eastAsia="Arial" w:hAnsi="Arial"/>
          <w:sz w:val="18"/>
          <w:szCs w:val="18"/>
          <w:u w:val="single" w:color="auto"/>
          <w:color w:val="0000FF"/>
        </w:rPr>
      </w:pPr>
    </w:p>
    <w:p>
      <w:pPr>
        <w:ind w:left="1280" w:right="20" w:hanging="637"/>
        <w:spacing w:after="0" w:line="257" w:lineRule="auto"/>
        <w:tabs>
          <w:tab w:leader="none" w:pos="1260" w:val="left"/>
        </w:tabs>
        <w:rPr>
          <w:rFonts w:ascii="Arial" w:cs="Arial" w:eastAsia="Arial" w:hAnsi="Arial"/>
          <w:sz w:val="17"/>
          <w:szCs w:val="17"/>
          <w:u w:val="single" w:color="auto"/>
          <w:color w:val="0000FF"/>
        </w:rPr>
      </w:pPr>
      <w:hyperlink r:id="rId192">
        <w:r>
          <w:rPr>
            <w:rFonts w:ascii="Arial" w:cs="Arial" w:eastAsia="Arial" w:hAnsi="Arial"/>
            <w:sz w:val="18"/>
            <w:szCs w:val="18"/>
            <w:u w:val="single" w:color="auto"/>
            <w:color w:val="0000FF"/>
          </w:rPr>
          <w:t>10.47†</w:t>
        </w:r>
      </w:hyperlink>
      <w:r>
        <w:rPr>
          <w:rFonts w:ascii="Arial" w:cs="Arial" w:eastAsia="Arial" w:hAnsi="Arial"/>
          <w:sz w:val="18"/>
          <w:szCs w:val="18"/>
          <w:u w:val="single" w:color="auto"/>
          <w:color w:val="0000FF"/>
        </w:rPr>
        <w:tab/>
      </w:r>
      <w:hyperlink r:id="rId192">
        <w:r>
          <w:rPr>
            <w:rFonts w:ascii="Arial" w:cs="Arial" w:eastAsia="Arial" w:hAnsi="Arial"/>
            <w:sz w:val="17"/>
            <w:szCs w:val="17"/>
            <w:u w:val="single" w:color="auto"/>
            <w:color w:val="0000FF"/>
          </w:rPr>
          <w:t>Form of Restricted Stock Award Agreement with Aramark (incorporated by reference to Exhibit 10.4 to Aramark Services, Inc.’s Current</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Report on Form 8-K filed with the SEC on June 26, 2013, pursuant to the Exchange Act (file number 001-04762)).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7"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S-58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300" w:hanging="637"/>
        <w:spacing w:after="0" w:line="264" w:lineRule="auto"/>
        <w:tabs>
          <w:tab w:leader="none" w:pos="1260" w:val="left"/>
        </w:tabs>
        <w:rPr>
          <w:rFonts w:ascii="Arial" w:cs="Arial" w:eastAsia="Arial" w:hAnsi="Arial"/>
          <w:sz w:val="16"/>
          <w:szCs w:val="16"/>
          <w:u w:val="single" w:color="auto"/>
          <w:color w:val="0000FF"/>
        </w:rPr>
      </w:pPr>
      <w:hyperlink r:id="rId194">
        <w:r>
          <w:rPr>
            <w:rFonts w:ascii="Arial" w:cs="Arial" w:eastAsia="Arial" w:hAnsi="Arial"/>
            <w:sz w:val="18"/>
            <w:szCs w:val="18"/>
            <w:u w:val="single" w:color="auto"/>
            <w:color w:val="0000FF"/>
          </w:rPr>
          <w:t>10.48†</w:t>
        </w:r>
      </w:hyperlink>
      <w:r>
        <w:rPr>
          <w:rFonts w:ascii="Arial" w:cs="Arial" w:eastAsia="Arial" w:hAnsi="Arial"/>
          <w:sz w:val="18"/>
          <w:szCs w:val="18"/>
          <w:u w:val="single" w:color="auto"/>
          <w:color w:val="0000FF"/>
        </w:rPr>
        <w:tab/>
      </w:r>
      <w:hyperlink r:id="rId194">
        <w:r>
          <w:rPr>
            <w:rFonts w:ascii="Arial" w:cs="Arial" w:eastAsia="Arial" w:hAnsi="Arial"/>
            <w:sz w:val="16"/>
            <w:szCs w:val="16"/>
            <w:u w:val="single" w:color="auto"/>
            <w:color w:val="0000FF"/>
          </w:rPr>
          <w:t>Form of Replacement Stock Option Award Agreement with Aramark (incorporated by reference to Exhibit 10.5 to Aramark Services,</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Inc.’s Current Report on Form 8-K filed with the SEC on June 26, 2013, pursuant to the Exchange Act (file number 001-04762)).</w:t>
        </w:r>
      </w:hyperlink>
    </w:p>
    <w:p>
      <w:pPr>
        <w:spacing w:after="0" w:line="1" w:lineRule="exact"/>
        <w:rPr>
          <w:rFonts w:ascii="Arial" w:cs="Arial" w:eastAsia="Arial" w:hAnsi="Arial"/>
          <w:sz w:val="18"/>
          <w:szCs w:val="18"/>
          <w:u w:val="single" w:color="auto"/>
          <w:color w:val="0000FF"/>
        </w:rPr>
      </w:pPr>
    </w:p>
    <w:p>
      <w:pPr>
        <w:ind w:left="1280" w:right="160" w:hanging="637"/>
        <w:spacing w:after="0" w:line="234" w:lineRule="auto"/>
        <w:tabs>
          <w:tab w:leader="none" w:pos="1260" w:val="left"/>
        </w:tabs>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10.49†</w:t>
        </w:r>
      </w:hyperlink>
      <w:r>
        <w:rPr>
          <w:rFonts w:ascii="Arial" w:cs="Arial" w:eastAsia="Arial" w:hAnsi="Arial"/>
          <w:sz w:val="18"/>
          <w:szCs w:val="18"/>
          <w:u w:val="single" w:color="auto"/>
          <w:color w:val="0000FF"/>
        </w:rPr>
        <w:tab/>
      </w:r>
      <w:hyperlink r:id="rId195">
        <w:r>
          <w:rPr>
            <w:rFonts w:ascii="Arial" w:cs="Arial" w:eastAsia="Arial" w:hAnsi="Arial"/>
            <w:sz w:val="18"/>
            <w:szCs w:val="18"/>
            <w:u w:val="single" w:color="auto"/>
            <w:color w:val="0000FF"/>
          </w:rPr>
          <w:t>Revised Schedule 1s to Outstanding Non-Qualified Stock Option Agreements (incorporated by reference to Exhibit 10.68 to Aramark’s</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200" w:hanging="637"/>
        <w:spacing w:after="0" w:line="234" w:lineRule="auto"/>
        <w:tabs>
          <w:tab w:leader="none" w:pos="1260" w:val="left"/>
        </w:tabs>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10.50†</w:t>
        </w:r>
      </w:hyperlink>
      <w:r>
        <w:rPr>
          <w:rFonts w:ascii="Arial" w:cs="Arial" w:eastAsia="Arial" w:hAnsi="Arial"/>
          <w:sz w:val="18"/>
          <w:szCs w:val="18"/>
          <w:u w:val="single" w:color="auto"/>
          <w:color w:val="0000FF"/>
        </w:rPr>
        <w:tab/>
      </w:r>
      <w:hyperlink r:id="rId196">
        <w:r>
          <w:rPr>
            <w:rFonts w:ascii="Arial" w:cs="Arial" w:eastAsia="Arial" w:hAnsi="Arial"/>
            <w:sz w:val="18"/>
            <w:szCs w:val="18"/>
            <w:u w:val="single" w:color="auto"/>
            <w:color w:val="0000FF"/>
          </w:rPr>
          <w:t>Form of Amendment to Outstanding Non-Qualified Stock Option Agreement (incorporated by reference to Exhibit 10.69 to Aramark’s</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40" w:hanging="637"/>
        <w:spacing w:after="0" w:line="234" w:lineRule="auto"/>
        <w:tabs>
          <w:tab w:leader="none" w:pos="1260" w:val="left"/>
        </w:tabs>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10.51†</w:t>
        </w:r>
      </w:hyperlink>
      <w:r>
        <w:rPr>
          <w:rFonts w:ascii="Arial" w:cs="Arial" w:eastAsia="Arial" w:hAnsi="Arial"/>
          <w:sz w:val="18"/>
          <w:szCs w:val="18"/>
          <w:u w:val="single" w:color="auto"/>
          <w:color w:val="0000FF"/>
        </w:rPr>
        <w:tab/>
      </w:r>
      <w:hyperlink r:id="rId197">
        <w:r>
          <w:rPr>
            <w:rFonts w:ascii="Arial" w:cs="Arial" w:eastAsia="Arial" w:hAnsi="Arial"/>
            <w:sz w:val="18"/>
            <w:szCs w:val="18"/>
            <w:u w:val="single" w:color="auto"/>
            <w:color w:val="0000FF"/>
          </w:rPr>
          <w:t>Form of Non-Qualified Stock Option Award under the Aramark 2013 Stock Incentive Plan (incorporated by reference to Exhibit 10.71 to</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Aramark’s 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ind w:left="1280" w:right="540" w:hanging="637"/>
        <w:spacing w:after="0" w:line="234" w:lineRule="auto"/>
        <w:tabs>
          <w:tab w:leader="none" w:pos="1260" w:val="left"/>
        </w:tabs>
        <w:rPr>
          <w:rFonts w:ascii="Arial" w:cs="Arial" w:eastAsia="Arial" w:hAnsi="Arial"/>
          <w:sz w:val="18"/>
          <w:szCs w:val="18"/>
          <w:u w:val="single" w:color="auto"/>
          <w:color w:val="0000FF"/>
        </w:rPr>
      </w:pPr>
      <w:hyperlink r:id="rId198">
        <w:r>
          <w:rPr>
            <w:rFonts w:ascii="Arial" w:cs="Arial" w:eastAsia="Arial" w:hAnsi="Arial"/>
            <w:sz w:val="18"/>
            <w:szCs w:val="18"/>
            <w:u w:val="single" w:color="auto"/>
            <w:color w:val="0000FF"/>
          </w:rPr>
          <w:t>10.52†</w:t>
        </w:r>
      </w:hyperlink>
      <w:r>
        <w:rPr>
          <w:rFonts w:ascii="Arial" w:cs="Arial" w:eastAsia="Arial" w:hAnsi="Arial"/>
          <w:sz w:val="18"/>
          <w:szCs w:val="18"/>
          <w:u w:val="single" w:color="auto"/>
          <w:color w:val="0000FF"/>
        </w:rPr>
        <w:tab/>
      </w:r>
      <w:hyperlink r:id="rId198">
        <w:r>
          <w:rPr>
            <w:rFonts w:ascii="Arial" w:cs="Arial" w:eastAsia="Arial" w:hAnsi="Arial"/>
            <w:sz w:val="18"/>
            <w:szCs w:val="18"/>
            <w:u w:val="single" w:color="auto"/>
            <w:color w:val="0000FF"/>
          </w:rPr>
          <w:t>Form of Restricted Stock Unit Award under the Aramark 2013 Stock Incentive Plan (incorporated by reference to Exhibit 10.72 to</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Aramark’s Form S-1/A filed with the SEC on November 19, 2013 (file number 333-191057)).</w:t>
        </w:r>
      </w:hyperlink>
    </w:p>
    <w:p>
      <w:pPr>
        <w:ind w:left="640"/>
        <w:spacing w:after="0"/>
        <w:tabs>
          <w:tab w:leader="none" w:pos="1260" w:val="left"/>
        </w:tabs>
        <w:rPr>
          <w:rFonts w:ascii="Arial" w:cs="Arial" w:eastAsia="Arial" w:hAnsi="Arial"/>
          <w:sz w:val="16"/>
          <w:szCs w:val="16"/>
          <w:u w:val="single" w:color="auto"/>
          <w:color w:val="0000FF"/>
        </w:rPr>
      </w:pPr>
      <w:hyperlink r:id="rId199">
        <w:r>
          <w:rPr>
            <w:rFonts w:ascii="Arial" w:cs="Arial" w:eastAsia="Arial" w:hAnsi="Arial"/>
            <w:sz w:val="18"/>
            <w:szCs w:val="18"/>
            <w:u w:val="single" w:color="auto"/>
            <w:color w:val="0000FF"/>
          </w:rPr>
          <w:t>10.53†</w:t>
        </w:r>
      </w:hyperlink>
      <w:r>
        <w:rPr>
          <w:rFonts w:ascii="Arial" w:cs="Arial" w:eastAsia="Arial" w:hAnsi="Arial"/>
          <w:sz w:val="18"/>
          <w:szCs w:val="18"/>
          <w:u w:val="single" w:color="auto"/>
          <w:color w:val="0000FF"/>
        </w:rPr>
        <w:tab/>
      </w:r>
      <w:hyperlink r:id="rId199">
        <w:r>
          <w:rPr>
            <w:rFonts w:ascii="Arial" w:cs="Arial" w:eastAsia="Arial" w:hAnsi="Arial"/>
            <w:sz w:val="16"/>
            <w:szCs w:val="16"/>
            <w:u w:val="single" w:color="auto"/>
            <w:color w:val="0000FF"/>
          </w:rPr>
          <w:t>Form of Performance Stock Unit Award Agreement (incorporated by reference to Exhibit 10.4 to Aramark’s Quarterly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199">
        <w:r>
          <w:rPr>
            <w:rFonts w:ascii="Arial" w:cs="Arial" w:eastAsia="Arial" w:hAnsi="Arial"/>
            <w:sz w:val="18"/>
            <w:szCs w:val="18"/>
            <w:u w:val="single" w:color="auto"/>
            <w:color w:val="0000FF"/>
          </w:rPr>
          <w:t>10-Q filed with the SEC on February 5, 2014, pursuant to the Exchange Act (file number 001-36223)).</w:t>
        </w:r>
      </w:hyperlink>
    </w:p>
    <w:p>
      <w:pPr>
        <w:spacing w:after="0" w:line="7" w:lineRule="exact"/>
        <w:rPr>
          <w:sz w:val="20"/>
          <w:szCs w:val="20"/>
          <w:color w:val="auto"/>
        </w:rPr>
      </w:pPr>
    </w:p>
    <w:p>
      <w:pPr>
        <w:ind w:left="1280" w:right="180" w:hanging="637"/>
        <w:spacing w:after="0" w:line="248" w:lineRule="auto"/>
        <w:tabs>
          <w:tab w:leader="none" w:pos="1260" w:val="left"/>
        </w:tabs>
        <w:rPr>
          <w:rFonts w:ascii="Arial" w:cs="Arial" w:eastAsia="Arial" w:hAnsi="Arial"/>
          <w:sz w:val="17"/>
          <w:szCs w:val="17"/>
          <w:u w:val="single" w:color="auto"/>
          <w:color w:val="0000FF"/>
        </w:rPr>
      </w:pPr>
      <w:hyperlink r:id="rId200">
        <w:r>
          <w:rPr>
            <w:rFonts w:ascii="Arial" w:cs="Arial" w:eastAsia="Arial" w:hAnsi="Arial"/>
            <w:sz w:val="18"/>
            <w:szCs w:val="18"/>
            <w:u w:val="single" w:color="auto"/>
            <w:color w:val="0000FF"/>
          </w:rPr>
          <w:t>10.54†</w:t>
        </w:r>
      </w:hyperlink>
      <w:r>
        <w:rPr>
          <w:rFonts w:ascii="Arial" w:cs="Arial" w:eastAsia="Arial" w:hAnsi="Arial"/>
          <w:sz w:val="18"/>
          <w:szCs w:val="18"/>
          <w:u w:val="single" w:color="auto"/>
          <w:color w:val="0000FF"/>
        </w:rPr>
        <w:tab/>
      </w:r>
      <w:hyperlink r:id="rId200">
        <w:r>
          <w:rPr>
            <w:rFonts w:ascii="Arial" w:cs="Arial" w:eastAsia="Arial" w:hAnsi="Arial"/>
            <w:sz w:val="17"/>
            <w:szCs w:val="17"/>
            <w:u w:val="single" w:color="auto"/>
            <w:color w:val="0000FF"/>
          </w:rPr>
          <w:t>Form of Performance Stock Unit Award Agreement (Revised) (incorporated by reference to Exhibit 10.26 to Aramark’s Annual Report</w:t>
        </w:r>
      </w:hyperlink>
      <w:r>
        <w:rPr>
          <w:rFonts w:ascii="Arial" w:cs="Arial" w:eastAsia="Arial" w:hAnsi="Arial"/>
          <w:sz w:val="17"/>
          <w:szCs w:val="17"/>
          <w:u w:val="single" w:color="auto"/>
          <w:color w:val="0000FF"/>
        </w:rPr>
        <w:t xml:space="preserve"> </w:t>
      </w:r>
      <w:hyperlink r:id="rId200">
        <w:r>
          <w:rPr>
            <w:rFonts w:ascii="Arial" w:cs="Arial" w:eastAsia="Arial" w:hAnsi="Arial"/>
            <w:sz w:val="17"/>
            <w:szCs w:val="17"/>
            <w:u w:val="single" w:color="auto"/>
            <w:color w:val="0000FF"/>
          </w:rPr>
          <w:t>on Form 10-K filed with the SEC on December 3, 2014,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120" w:hanging="637"/>
        <w:spacing w:after="0" w:line="248" w:lineRule="auto"/>
        <w:tabs>
          <w:tab w:leader="none" w:pos="1260" w:val="left"/>
        </w:tabs>
        <w:rPr>
          <w:rFonts w:ascii="Arial" w:cs="Arial" w:eastAsia="Arial" w:hAnsi="Arial"/>
          <w:sz w:val="17"/>
          <w:szCs w:val="17"/>
          <w:u w:val="single" w:color="auto"/>
          <w:color w:val="0000FF"/>
        </w:rPr>
      </w:pPr>
      <w:hyperlink r:id="rId201">
        <w:r>
          <w:rPr>
            <w:rFonts w:ascii="Arial" w:cs="Arial" w:eastAsia="Arial" w:hAnsi="Arial"/>
            <w:sz w:val="18"/>
            <w:szCs w:val="18"/>
            <w:u w:val="single" w:color="auto"/>
            <w:color w:val="0000FF"/>
          </w:rPr>
          <w:t>10.55†</w:t>
        </w:r>
      </w:hyperlink>
      <w:r>
        <w:rPr>
          <w:rFonts w:ascii="Arial" w:cs="Arial" w:eastAsia="Arial" w:hAnsi="Arial"/>
          <w:sz w:val="18"/>
          <w:szCs w:val="18"/>
          <w:u w:val="single" w:color="auto"/>
          <w:color w:val="0000FF"/>
        </w:rPr>
        <w:tab/>
      </w:r>
      <w:hyperlink r:id="rId201">
        <w:r>
          <w:rPr>
            <w:rFonts w:ascii="Arial" w:cs="Arial" w:eastAsia="Arial" w:hAnsi="Arial"/>
            <w:sz w:val="17"/>
            <w:szCs w:val="17"/>
            <w:u w:val="single" w:color="auto"/>
            <w:color w:val="0000FF"/>
          </w:rPr>
          <w:t>Form of Performance Stock Unit Award Agreement (Revised) (incorporated by reference to Exhibit 10.2 to Aramark’s Quarterly Report</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on Form 10-Q filed with the SEC on August 12, 2015,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80" w:hanging="637"/>
        <w:spacing w:after="0" w:line="234" w:lineRule="auto"/>
        <w:tabs>
          <w:tab w:leader="none" w:pos="1260" w:val="left"/>
        </w:tabs>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10.56†</w:t>
        </w:r>
      </w:hyperlink>
      <w:r>
        <w:rPr>
          <w:rFonts w:ascii="Arial" w:cs="Arial" w:eastAsia="Arial" w:hAnsi="Arial"/>
          <w:sz w:val="18"/>
          <w:szCs w:val="18"/>
          <w:u w:val="single" w:color="auto"/>
          <w:color w:val="0000FF"/>
        </w:rPr>
        <w:tab/>
      </w:r>
      <w:hyperlink r:id="rId202">
        <w:r>
          <w:rPr>
            <w:rFonts w:ascii="Arial" w:cs="Arial" w:eastAsia="Arial" w:hAnsi="Arial"/>
            <w:sz w:val="18"/>
            <w:szCs w:val="18"/>
            <w:u w:val="single" w:color="auto"/>
            <w:color w:val="0000FF"/>
          </w:rPr>
          <w:t>Form of Performance Restricted Stock Award (incorporated by reference to Exhibit 10.61 to Aramark’s Annual Report on Form 10-K</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filed with the SEC on December 1, 2015, pursuant to the Exchange Act (file number 001-36223)).</w:t>
        </w:r>
      </w:hyperlink>
    </w:p>
    <w:p>
      <w:pPr>
        <w:spacing w:after="0" w:line="1" w:lineRule="exact"/>
        <w:rPr>
          <w:rFonts w:ascii="Arial" w:cs="Arial" w:eastAsia="Arial" w:hAnsi="Arial"/>
          <w:sz w:val="18"/>
          <w:szCs w:val="18"/>
          <w:u w:val="single" w:color="auto"/>
          <w:color w:val="0000FF"/>
        </w:rPr>
      </w:pPr>
    </w:p>
    <w:p>
      <w:pPr>
        <w:jc w:val="center"/>
        <w:ind w:left="960"/>
        <w:spacing w:after="0" w:line="248" w:lineRule="auto"/>
        <w:rPr>
          <w:rFonts w:ascii="Arial" w:cs="Arial" w:eastAsia="Arial" w:hAnsi="Arial"/>
          <w:sz w:val="17"/>
          <w:szCs w:val="17"/>
          <w:u w:val="single" w:color="auto"/>
          <w:color w:val="0000FF"/>
        </w:rPr>
      </w:pPr>
      <w:hyperlink r:id="rId203">
        <w:r>
          <w:rPr>
            <w:rFonts w:ascii="Arial" w:cs="Arial" w:eastAsia="Arial" w:hAnsi="Arial"/>
            <w:sz w:val="17"/>
            <w:szCs w:val="17"/>
            <w:u w:val="single" w:color="auto"/>
            <w:color w:val="0000FF"/>
          </w:rPr>
          <w:t>10.57†  Form of Non-Qualified Stock Option Award Agreement (Relative TSR Vesting) (incorporated by reference to Exhibit 10.62 to Aramark’s</w:t>
        </w:r>
      </w:hyperlink>
      <w:r>
        <w:rPr>
          <w:rFonts w:ascii="Arial" w:cs="Arial" w:eastAsia="Arial" w:hAnsi="Arial"/>
          <w:sz w:val="17"/>
          <w:szCs w:val="17"/>
          <w:u w:val="single" w:color="auto"/>
          <w:color w:val="0000FF"/>
        </w:rPr>
        <w:t xml:space="preserve"> </w:t>
      </w:r>
      <w:hyperlink r:id="rId203">
        <w:r>
          <w:rPr>
            <w:rFonts w:ascii="Arial" w:cs="Arial" w:eastAsia="Arial" w:hAnsi="Arial"/>
            <w:sz w:val="17"/>
            <w:szCs w:val="17"/>
            <w:u w:val="single" w:color="auto"/>
            <w:color w:val="0000FF"/>
          </w:rPr>
          <w:t>Annual Report on Form 10-K filed with the SEC on December 1, 2015, pursuant to the Exchange Act (file number 001-36223)).</w:t>
        </w:r>
      </w:hyperlink>
    </w:p>
    <w:p>
      <w:pPr>
        <w:spacing w:after="0" w:line="1" w:lineRule="exact"/>
        <w:rPr>
          <w:sz w:val="20"/>
          <w:szCs w:val="20"/>
          <w:color w:val="auto"/>
        </w:rPr>
      </w:pPr>
    </w:p>
    <w:p>
      <w:pPr>
        <w:ind w:left="1280" w:right="500" w:hanging="637"/>
        <w:spacing w:after="0" w:line="264" w:lineRule="auto"/>
        <w:tabs>
          <w:tab w:leader="none" w:pos="1260" w:val="left"/>
        </w:tabs>
        <w:rPr>
          <w:rFonts w:ascii="Arial" w:cs="Arial" w:eastAsia="Arial" w:hAnsi="Arial"/>
          <w:sz w:val="16"/>
          <w:szCs w:val="16"/>
          <w:u w:val="single" w:color="auto"/>
          <w:color w:val="0000FF"/>
        </w:rPr>
      </w:pPr>
      <w:hyperlink r:id="rId204">
        <w:r>
          <w:rPr>
            <w:rFonts w:ascii="Arial" w:cs="Arial" w:eastAsia="Arial" w:hAnsi="Arial"/>
            <w:sz w:val="18"/>
            <w:szCs w:val="18"/>
            <w:u w:val="single" w:color="auto"/>
            <w:color w:val="0000FF"/>
          </w:rPr>
          <w:t>10.58†</w:t>
        </w:r>
      </w:hyperlink>
      <w:r>
        <w:rPr>
          <w:rFonts w:ascii="Arial" w:cs="Arial" w:eastAsia="Arial" w:hAnsi="Arial"/>
          <w:sz w:val="18"/>
          <w:szCs w:val="18"/>
          <w:u w:val="single" w:color="auto"/>
          <w:color w:val="0000FF"/>
        </w:rPr>
        <w:tab/>
      </w:r>
      <w:hyperlink r:id="rId204">
        <w:r>
          <w:rPr>
            <w:rFonts w:ascii="Arial" w:cs="Arial" w:eastAsia="Arial" w:hAnsi="Arial"/>
            <w:sz w:val="16"/>
            <w:szCs w:val="16"/>
            <w:u w:val="single" w:color="auto"/>
            <w:color w:val="0000FF"/>
          </w:rPr>
          <w:t>Form of Restricted Stock Unit Award Agreement (Relative TSR Vesting) (incorporated by reference to Exhibit 10.63 to Aramark’s</w:t>
        </w:r>
      </w:hyperlink>
      <w:r>
        <w:rPr>
          <w:rFonts w:ascii="Arial" w:cs="Arial" w:eastAsia="Arial" w:hAnsi="Arial"/>
          <w:sz w:val="16"/>
          <w:szCs w:val="16"/>
          <w:u w:val="single" w:color="auto"/>
          <w:color w:val="0000FF"/>
        </w:rPr>
        <w:t xml:space="preserve"> </w:t>
      </w:r>
      <w:hyperlink r:id="rId204">
        <w:r>
          <w:rPr>
            <w:rFonts w:ascii="Arial" w:cs="Arial" w:eastAsia="Arial" w:hAnsi="Arial"/>
            <w:sz w:val="16"/>
            <w:szCs w:val="16"/>
            <w:u w:val="single" w:color="auto"/>
            <w:color w:val="0000FF"/>
          </w:rPr>
          <w:t>Annual Report on Form 10-K filed with the SEC on December 1, 2015, pursuant to the Exchange Act (file number 001-36223)).</w:t>
        </w:r>
      </w:hyperlink>
    </w:p>
    <w:p>
      <w:pPr>
        <w:ind w:left="1280" w:right="460" w:hanging="637"/>
        <w:spacing w:after="0" w:line="224" w:lineRule="auto"/>
        <w:tabs>
          <w:tab w:leader="none" w:pos="1260" w:val="left"/>
        </w:tabs>
        <w:rPr>
          <w:rFonts w:ascii="Arial" w:cs="Arial" w:eastAsia="Arial" w:hAnsi="Arial"/>
          <w:sz w:val="18"/>
          <w:szCs w:val="18"/>
          <w:u w:val="single" w:color="auto"/>
          <w:color w:val="0000FF"/>
        </w:rPr>
      </w:pPr>
      <w:hyperlink r:id="rId205">
        <w:r>
          <w:rPr>
            <w:rFonts w:ascii="Arial" w:cs="Arial" w:eastAsia="Arial" w:hAnsi="Arial"/>
            <w:sz w:val="18"/>
            <w:szCs w:val="18"/>
            <w:u w:val="single" w:color="auto"/>
            <w:color w:val="0000FF"/>
          </w:rPr>
          <w:t>10.59†</w:t>
        </w:r>
      </w:hyperlink>
      <w:r>
        <w:rPr>
          <w:rFonts w:ascii="Arial" w:cs="Arial" w:eastAsia="Arial" w:hAnsi="Arial"/>
          <w:sz w:val="18"/>
          <w:szCs w:val="18"/>
          <w:u w:val="single" w:color="auto"/>
          <w:color w:val="0000FF"/>
        </w:rPr>
        <w:tab/>
      </w:r>
      <w:hyperlink r:id="rId205">
        <w:r>
          <w:rPr>
            <w:rFonts w:ascii="Arial" w:cs="Arial" w:eastAsia="Arial" w:hAnsi="Arial"/>
            <w:sz w:val="18"/>
            <w:szCs w:val="18"/>
            <w:u w:val="single" w:color="auto"/>
            <w:color w:val="0000FF"/>
          </w:rPr>
          <w:t>Form of Performance Restricted Stock Award Agreement (Relative TSR Vesting) (incorporated by reference to Exhibit 10.64 to</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Aramark’s Annual Report on Form 10-K filed with the SEC on December 1, 2015, pursuant to the Exchange Act (file number 001-</w:t>
        </w:r>
      </w:hyperlink>
      <w:hyperlink r:id="rId205">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06">
        <w:r>
          <w:rPr>
            <w:rFonts w:ascii="Arial" w:cs="Arial" w:eastAsia="Arial" w:hAnsi="Arial"/>
            <w:sz w:val="18"/>
            <w:szCs w:val="18"/>
            <w:u w:val="single" w:color="auto"/>
            <w:color w:val="0000FF"/>
          </w:rPr>
          <w:t>10.60†</w:t>
        </w:r>
      </w:hyperlink>
      <w:r>
        <w:rPr>
          <w:rFonts w:ascii="Arial" w:cs="Arial" w:eastAsia="Arial" w:hAnsi="Arial"/>
          <w:sz w:val="18"/>
          <w:szCs w:val="18"/>
          <w:u w:val="single" w:color="auto"/>
          <w:color w:val="0000FF"/>
        </w:rPr>
        <w:tab/>
      </w:r>
      <w:hyperlink r:id="rId206">
        <w:r>
          <w:rPr>
            <w:rFonts w:ascii="Arial" w:cs="Arial" w:eastAsia="Arial" w:hAnsi="Arial"/>
            <w:sz w:val="18"/>
            <w:szCs w:val="18"/>
            <w:u w:val="single" w:color="auto"/>
            <w:color w:val="0000FF"/>
          </w:rPr>
          <w:t>Form of Restricted Stock Unit Award (Time Vesting) (Retirement Notice/Full Vest) (incorporated by reference to Exhibit 10.70 to</w:t>
        </w:r>
      </w:hyperlink>
      <w:r>
        <w:rPr>
          <w:rFonts w:ascii="Arial" w:cs="Arial" w:eastAsia="Arial" w:hAnsi="Arial"/>
          <w:sz w:val="18"/>
          <w:szCs w:val="18"/>
          <w:u w:val="single" w:color="auto"/>
          <w:color w:val="0000FF"/>
        </w:rPr>
        <w:t xml:space="preserve"> </w:t>
      </w:r>
      <w:hyperlink r:id="rId206">
        <w:r>
          <w:rPr>
            <w:rFonts w:ascii="Arial" w:cs="Arial" w:eastAsia="Arial" w:hAnsi="Arial"/>
            <w:sz w:val="18"/>
            <w:szCs w:val="18"/>
            <w:u w:val="single" w:color="auto"/>
            <w:color w:val="0000FF"/>
          </w:rPr>
          <w:t>Aramark's Annual Report on Form 10-K filed with the SEC on November 22, 2017 pursuant to the Exchange Act (file number 001-</w:t>
        </w:r>
      </w:hyperlink>
      <w:hyperlink r:id="rId206">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140" w:hanging="637"/>
        <w:spacing w:after="0" w:line="248" w:lineRule="auto"/>
        <w:tabs>
          <w:tab w:leader="none" w:pos="1260" w:val="left"/>
        </w:tabs>
        <w:rPr>
          <w:rFonts w:ascii="Arial" w:cs="Arial" w:eastAsia="Arial" w:hAnsi="Arial"/>
          <w:sz w:val="17"/>
          <w:szCs w:val="17"/>
          <w:u w:val="single" w:color="auto"/>
          <w:color w:val="0000FF"/>
        </w:rPr>
      </w:pPr>
      <w:hyperlink r:id="rId207">
        <w:r>
          <w:rPr>
            <w:rFonts w:ascii="Arial" w:cs="Arial" w:eastAsia="Arial" w:hAnsi="Arial"/>
            <w:sz w:val="18"/>
            <w:szCs w:val="18"/>
            <w:u w:val="single" w:color="auto"/>
            <w:color w:val="0000FF"/>
          </w:rPr>
          <w:t>10.61†</w:t>
        </w:r>
      </w:hyperlink>
      <w:r>
        <w:rPr>
          <w:rFonts w:ascii="Arial" w:cs="Arial" w:eastAsia="Arial" w:hAnsi="Arial"/>
          <w:sz w:val="18"/>
          <w:szCs w:val="18"/>
          <w:u w:val="single" w:color="auto"/>
          <w:color w:val="0000FF"/>
        </w:rPr>
        <w:tab/>
      </w:r>
      <w:hyperlink r:id="rId207">
        <w:r>
          <w:rPr>
            <w:rFonts w:ascii="Arial" w:cs="Arial" w:eastAsia="Arial" w:hAnsi="Arial"/>
            <w:sz w:val="17"/>
            <w:szCs w:val="17"/>
            <w:u w:val="single" w:color="auto"/>
            <w:color w:val="0000FF"/>
          </w:rPr>
          <w:t>Form of Performance Stock Unit Award (Retirement Notice/Full Vest) (incorporated by reference to Exhibit 10.71 to Aramark's Annual</w:t>
        </w:r>
      </w:hyperlink>
      <w:r>
        <w:rPr>
          <w:rFonts w:ascii="Arial" w:cs="Arial" w:eastAsia="Arial" w:hAnsi="Arial"/>
          <w:sz w:val="17"/>
          <w:szCs w:val="17"/>
          <w:u w:val="single" w:color="auto"/>
          <w:color w:val="0000FF"/>
        </w:rPr>
        <w:t xml:space="preserve"> </w:t>
      </w:r>
      <w:hyperlink r:id="rId207">
        <w:r>
          <w:rPr>
            <w:rFonts w:ascii="Arial" w:cs="Arial" w:eastAsia="Arial" w:hAnsi="Arial"/>
            <w:sz w:val="17"/>
            <w:szCs w:val="17"/>
            <w:u w:val="single" w:color="auto"/>
            <w:color w:val="0000FF"/>
          </w:rPr>
          <w:t>Report on 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400" w:hanging="637"/>
        <w:spacing w:after="0" w:line="264" w:lineRule="auto"/>
        <w:tabs>
          <w:tab w:leader="none" w:pos="1260" w:val="left"/>
        </w:tabs>
        <w:rPr>
          <w:rFonts w:ascii="Arial" w:cs="Arial" w:eastAsia="Arial" w:hAnsi="Arial"/>
          <w:sz w:val="16"/>
          <w:szCs w:val="16"/>
          <w:u w:val="single" w:color="auto"/>
          <w:color w:val="0000FF"/>
        </w:rPr>
      </w:pPr>
      <w:hyperlink r:id="rId208">
        <w:r>
          <w:rPr>
            <w:rFonts w:ascii="Arial" w:cs="Arial" w:eastAsia="Arial" w:hAnsi="Arial"/>
            <w:sz w:val="18"/>
            <w:szCs w:val="18"/>
            <w:u w:val="single" w:color="auto"/>
            <w:color w:val="0000FF"/>
          </w:rPr>
          <w:t>10.62†</w:t>
        </w:r>
      </w:hyperlink>
      <w:r>
        <w:rPr>
          <w:rFonts w:ascii="Arial" w:cs="Arial" w:eastAsia="Arial" w:hAnsi="Arial"/>
          <w:sz w:val="18"/>
          <w:szCs w:val="18"/>
          <w:u w:val="single" w:color="auto"/>
          <w:color w:val="0000FF"/>
        </w:rPr>
        <w:tab/>
      </w:r>
      <w:hyperlink r:id="rId208">
        <w:r>
          <w:rPr>
            <w:rFonts w:ascii="Arial" w:cs="Arial" w:eastAsia="Arial" w:hAnsi="Arial"/>
            <w:sz w:val="16"/>
            <w:szCs w:val="16"/>
            <w:u w:val="single" w:color="auto"/>
            <w:color w:val="0000FF"/>
          </w:rPr>
          <w:t>Form of Non-Qualified Stock Option Award (Retirement Notice/Full Vest) (incorporated by reference to Exhibit 10.72 to Aramark's</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Annual Report on Form 10-K filed with the SEC on November 22, 2017 pursuant to the Exchange Act (file number 001-36223).</w:t>
        </w:r>
      </w:hyperlink>
    </w:p>
    <w:p>
      <w:pPr>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10.63†</w:t>
        </w:r>
      </w:hyperlink>
      <w:r>
        <w:rPr>
          <w:rFonts w:ascii="Arial" w:cs="Arial" w:eastAsia="Arial" w:hAnsi="Arial"/>
          <w:sz w:val="18"/>
          <w:szCs w:val="18"/>
          <w:u w:val="single" w:color="auto"/>
          <w:color w:val="0000FF"/>
        </w:rPr>
        <w:tab/>
      </w:r>
      <w:hyperlink r:id="rId209">
        <w:r>
          <w:rPr>
            <w:rFonts w:ascii="Arial" w:cs="Arial" w:eastAsia="Arial" w:hAnsi="Arial"/>
            <w:sz w:val="18"/>
            <w:szCs w:val="18"/>
            <w:u w:val="single" w:color="auto"/>
            <w:color w:val="0000FF"/>
          </w:rPr>
          <w:t>Form of Restricted Stock Unit Award (Time Vesting) (Retirement Notice/2Y Vest) (incorporated by reference to Exhibit 10.73 to</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Aramark's Annual Report on Form 10-K filed with the SEC on November 22, 2017 pursuant to the Exchange Act (file number 001-</w:t>
        </w:r>
      </w:hyperlink>
      <w:hyperlink r:id="rId209">
        <w:r>
          <w:rPr>
            <w:rFonts w:ascii="Arial" w:cs="Arial" w:eastAsia="Arial" w:hAnsi="Arial"/>
            <w:sz w:val="18"/>
            <w:szCs w:val="18"/>
            <w:u w:val="single" w:color="auto"/>
            <w:color w:val="0000FF"/>
          </w:rPr>
          <w:t>36223).</w:t>
        </w:r>
      </w:hyperlink>
    </w:p>
    <w:p>
      <w:pPr>
        <w:spacing w:after="0" w:line="1" w:lineRule="exact"/>
        <w:rPr>
          <w:rFonts w:ascii="Arial" w:cs="Arial" w:eastAsia="Arial" w:hAnsi="Arial"/>
          <w:sz w:val="18"/>
          <w:szCs w:val="18"/>
          <w:u w:val="single" w:color="auto"/>
          <w:color w:val="0000FF"/>
        </w:rPr>
      </w:pPr>
    </w:p>
    <w:p>
      <w:pPr>
        <w:ind w:left="1280" w:right="200" w:hanging="637"/>
        <w:spacing w:after="0" w:line="258" w:lineRule="auto"/>
        <w:tabs>
          <w:tab w:leader="none" w:pos="1260" w:val="left"/>
        </w:tabs>
        <w:rPr>
          <w:rFonts w:ascii="Arial" w:cs="Arial" w:eastAsia="Arial" w:hAnsi="Arial"/>
          <w:sz w:val="17"/>
          <w:szCs w:val="17"/>
          <w:u w:val="single" w:color="auto"/>
          <w:color w:val="0000FF"/>
        </w:rPr>
      </w:pPr>
      <w:hyperlink r:id="rId210"/>
      <w:r>
        <w:rPr>
          <w:rFonts w:ascii="Arial" w:cs="Arial" w:eastAsia="Arial" w:hAnsi="Arial"/>
          <w:sz w:val="35"/>
          <w:szCs w:val="35"/>
          <w:u w:val="single" w:color="auto"/>
          <w:color w:val="0000FF"/>
          <w:vertAlign w:val="superscript"/>
        </w:rPr>
        <w:t>10.64†</w:t>
      </w:r>
      <w:r>
        <w:rPr>
          <w:rFonts w:ascii="Arial" w:cs="Arial" w:eastAsia="Arial" w:hAnsi="Arial"/>
          <w:sz w:val="18"/>
          <w:szCs w:val="18"/>
          <w:u w:val="single" w:color="auto"/>
          <w:color w:val="0000FF"/>
        </w:rPr>
        <w:tab/>
      </w:r>
      <w:hyperlink r:id="rId210">
        <w:r>
          <w:rPr>
            <w:rFonts w:ascii="Arial" w:cs="Arial" w:eastAsia="Arial" w:hAnsi="Arial"/>
            <w:sz w:val="17"/>
            <w:szCs w:val="17"/>
            <w:u w:val="single" w:color="auto"/>
            <w:color w:val="0000FF"/>
          </w:rPr>
          <w:t>Form of Performance Stock Unit Award (Retirement Notice/2Y Vest) (incorporated by reference to Exhibit 10.74 to Aramark's Annual</w:t>
        </w:r>
      </w:hyperlink>
      <w:r>
        <w:rPr>
          <w:rFonts w:ascii="Arial" w:cs="Arial" w:eastAsia="Arial" w:hAnsi="Arial"/>
          <w:sz w:val="17"/>
          <w:szCs w:val="17"/>
          <w:u w:val="single" w:color="auto"/>
          <w:color w:val="0000FF"/>
        </w:rPr>
        <w:t xml:space="preserve"> </w:t>
      </w:r>
      <w:hyperlink r:id="rId210">
        <w:r>
          <w:rPr>
            <w:rFonts w:ascii="Arial" w:cs="Arial" w:eastAsia="Arial" w:hAnsi="Arial"/>
            <w:sz w:val="17"/>
            <w:szCs w:val="17"/>
            <w:u w:val="single" w:color="auto"/>
            <w:color w:val="0000FF"/>
          </w:rPr>
          <w:t>Report on Form 10-K filed with the SEC on November 22, 2017 pursuant to the Exchange Act (file number 001-36223).</w:t>
        </w:r>
      </w:hyperlink>
    </w:p>
    <w:p>
      <w:pPr>
        <w:spacing w:after="0" w:line="110" w:lineRule="exact"/>
        <w:rPr>
          <w:rFonts w:ascii="Arial" w:cs="Arial" w:eastAsia="Arial" w:hAnsi="Arial"/>
          <w:sz w:val="18"/>
          <w:szCs w:val="18"/>
          <w:u w:val="single" w:color="auto"/>
          <w:color w:val="0000FF"/>
        </w:rPr>
      </w:pPr>
    </w:p>
    <w:p>
      <w:pPr>
        <w:ind w:left="1280" w:right="480" w:hanging="637"/>
        <w:spacing w:after="0" w:line="264" w:lineRule="auto"/>
        <w:tabs>
          <w:tab w:leader="none" w:pos="1260" w:val="left"/>
        </w:tabs>
        <w:rPr>
          <w:rFonts w:ascii="Arial" w:cs="Arial" w:eastAsia="Arial" w:hAnsi="Arial"/>
          <w:sz w:val="16"/>
          <w:szCs w:val="16"/>
          <w:u w:val="single" w:color="auto"/>
          <w:color w:val="0000FF"/>
        </w:rPr>
      </w:pPr>
      <w:hyperlink r:id="rId211">
        <w:r>
          <w:rPr>
            <w:rFonts w:ascii="Arial" w:cs="Arial" w:eastAsia="Arial" w:hAnsi="Arial"/>
            <w:sz w:val="18"/>
            <w:szCs w:val="18"/>
            <w:u w:val="single" w:color="auto"/>
            <w:color w:val="0000FF"/>
          </w:rPr>
          <w:t>10.65†</w:t>
        </w:r>
      </w:hyperlink>
      <w:r>
        <w:rPr>
          <w:rFonts w:ascii="Arial" w:cs="Arial" w:eastAsia="Arial" w:hAnsi="Arial"/>
          <w:sz w:val="18"/>
          <w:szCs w:val="18"/>
          <w:u w:val="single" w:color="auto"/>
          <w:color w:val="0000FF"/>
        </w:rPr>
        <w:tab/>
      </w:r>
      <w:hyperlink r:id="rId211">
        <w:r>
          <w:rPr>
            <w:rFonts w:ascii="Arial" w:cs="Arial" w:eastAsia="Arial" w:hAnsi="Arial"/>
            <w:sz w:val="16"/>
            <w:szCs w:val="16"/>
            <w:u w:val="single" w:color="auto"/>
            <w:color w:val="0000FF"/>
          </w:rPr>
          <w:t>Form of Non-Qualified Stock Option Award (Retirement Notice/2Y Vest) (incorporated by reference to Exhibit 10.75 to Aramark's</w:t>
        </w:r>
      </w:hyperlink>
      <w:r>
        <w:rPr>
          <w:rFonts w:ascii="Arial" w:cs="Arial" w:eastAsia="Arial" w:hAnsi="Arial"/>
          <w:sz w:val="16"/>
          <w:szCs w:val="16"/>
          <w:u w:val="single" w:color="auto"/>
          <w:color w:val="0000FF"/>
        </w:rPr>
        <w:t xml:space="preserve"> </w:t>
      </w:r>
      <w:hyperlink r:id="rId211">
        <w:r>
          <w:rPr>
            <w:rFonts w:ascii="Arial" w:cs="Arial" w:eastAsia="Arial" w:hAnsi="Arial"/>
            <w:sz w:val="16"/>
            <w:szCs w:val="16"/>
            <w:u w:val="single" w:color="auto"/>
            <w:color w:val="0000FF"/>
          </w:rPr>
          <w:t>Annual Report on 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20" w:hanging="637"/>
        <w:spacing w:after="0" w:line="248" w:lineRule="auto"/>
        <w:tabs>
          <w:tab w:leader="none" w:pos="1260" w:val="left"/>
        </w:tabs>
        <w:rPr>
          <w:rFonts w:ascii="Arial" w:cs="Arial" w:eastAsia="Arial" w:hAnsi="Arial"/>
          <w:sz w:val="17"/>
          <w:szCs w:val="17"/>
          <w:u w:val="single" w:color="auto"/>
          <w:color w:val="0000FF"/>
        </w:rPr>
      </w:pPr>
      <w:hyperlink r:id="rId212">
        <w:r>
          <w:rPr>
            <w:rFonts w:ascii="Arial" w:cs="Arial" w:eastAsia="Arial" w:hAnsi="Arial"/>
            <w:sz w:val="18"/>
            <w:szCs w:val="18"/>
            <w:u w:val="single" w:color="auto"/>
            <w:color w:val="0000FF"/>
          </w:rPr>
          <w:t>10.66†</w:t>
        </w:r>
      </w:hyperlink>
      <w:r>
        <w:rPr>
          <w:rFonts w:ascii="Arial" w:cs="Arial" w:eastAsia="Arial" w:hAnsi="Arial"/>
          <w:sz w:val="18"/>
          <w:szCs w:val="18"/>
          <w:u w:val="single" w:color="auto"/>
          <w:color w:val="0000FF"/>
        </w:rPr>
        <w:tab/>
      </w:r>
      <w:hyperlink r:id="rId212">
        <w:r>
          <w:rPr>
            <w:rFonts w:ascii="Arial" w:cs="Arial" w:eastAsia="Arial" w:hAnsi="Arial"/>
            <w:sz w:val="17"/>
            <w:szCs w:val="17"/>
            <w:u w:val="single" w:color="auto"/>
            <w:color w:val="0000FF"/>
          </w:rPr>
          <w:t>Form of Restricted Stock Unit Award (Relative TSR Vesting) (incorporated by reference to Exhibit 10.76 to Aramark's Annual Report on</w:t>
        </w:r>
      </w:hyperlink>
      <w:r>
        <w:rPr>
          <w:rFonts w:ascii="Arial" w:cs="Arial" w:eastAsia="Arial" w:hAnsi="Arial"/>
          <w:sz w:val="17"/>
          <w:szCs w:val="17"/>
          <w:u w:val="single" w:color="auto"/>
          <w:color w:val="0000FF"/>
        </w:rPr>
        <w:t xml:space="preserve"> </w:t>
      </w:r>
      <w:hyperlink r:id="rId212">
        <w:r>
          <w:rPr>
            <w:rFonts w:ascii="Arial" w:cs="Arial" w:eastAsia="Arial" w:hAnsi="Arial"/>
            <w:sz w:val="17"/>
            <w:szCs w:val="17"/>
            <w:u w:val="single" w:color="auto"/>
            <w:color w:val="0000FF"/>
          </w:rPr>
          <w:t>Form 10-K filed with the SEC on November 22, 2017 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60" w:hanging="637"/>
        <w:spacing w:after="0" w:line="257" w:lineRule="auto"/>
        <w:tabs>
          <w:tab w:leader="none" w:pos="1260" w:val="left"/>
        </w:tabs>
        <w:rPr>
          <w:rFonts w:ascii="Arial" w:cs="Arial" w:eastAsia="Arial" w:hAnsi="Arial"/>
          <w:sz w:val="17"/>
          <w:szCs w:val="17"/>
          <w:u w:val="single" w:color="auto"/>
          <w:color w:val="0000FF"/>
        </w:rPr>
      </w:pPr>
      <w:hyperlink r:id="rId213">
        <w:r>
          <w:rPr>
            <w:rFonts w:ascii="Arial" w:cs="Arial" w:eastAsia="Arial" w:hAnsi="Arial"/>
            <w:sz w:val="18"/>
            <w:szCs w:val="18"/>
            <w:u w:val="single" w:color="auto"/>
            <w:color w:val="0000FF"/>
          </w:rPr>
          <w:t>10.67†</w:t>
        </w:r>
      </w:hyperlink>
      <w:r>
        <w:rPr>
          <w:rFonts w:ascii="Arial" w:cs="Arial" w:eastAsia="Arial" w:hAnsi="Arial"/>
          <w:sz w:val="18"/>
          <w:szCs w:val="18"/>
          <w:u w:val="single" w:color="auto"/>
          <w:color w:val="0000FF"/>
        </w:rPr>
        <w:tab/>
      </w:r>
      <w:hyperlink r:id="rId213">
        <w:r>
          <w:rPr>
            <w:rFonts w:ascii="Arial" w:cs="Arial" w:eastAsia="Arial" w:hAnsi="Arial"/>
            <w:sz w:val="17"/>
            <w:szCs w:val="17"/>
            <w:u w:val="single" w:color="auto"/>
            <w:color w:val="0000FF"/>
          </w:rPr>
          <w:t>Form of Performance Stock Unit Award (Relative TSR Vesting) (incorporated by reference to Exhibit 10.77 to Aramark's Annual Report</w:t>
        </w:r>
      </w:hyperlink>
      <w:r>
        <w:rPr>
          <w:rFonts w:ascii="Arial" w:cs="Arial" w:eastAsia="Arial" w:hAnsi="Arial"/>
          <w:sz w:val="17"/>
          <w:szCs w:val="17"/>
          <w:u w:val="single" w:color="auto"/>
          <w:color w:val="0000FF"/>
        </w:rPr>
        <w:t xml:space="preserve"> </w:t>
      </w:r>
      <w:hyperlink r:id="rId213">
        <w:r>
          <w:rPr>
            <w:rFonts w:ascii="Arial" w:cs="Arial" w:eastAsia="Arial" w:hAnsi="Arial"/>
            <w:sz w:val="17"/>
            <w:szCs w:val="17"/>
            <w:u w:val="single" w:color="auto"/>
            <w:color w:val="0000FF"/>
          </w:rPr>
          <w:t>on Form 10-K filed with the SEC on November 22, 2017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7"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S-59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80" w:right="280" w:hanging="637"/>
        <w:spacing w:after="0" w:line="249" w:lineRule="auto"/>
        <w:tabs>
          <w:tab w:leader="none" w:pos="1260" w:val="left"/>
        </w:tabs>
        <w:rPr>
          <w:rFonts w:ascii="Arial" w:cs="Arial" w:eastAsia="Arial" w:hAnsi="Arial"/>
          <w:sz w:val="17"/>
          <w:szCs w:val="17"/>
          <w:u w:val="single" w:color="auto"/>
          <w:color w:val="0000FF"/>
        </w:rPr>
      </w:pPr>
      <w:hyperlink r:id="rId215">
        <w:r>
          <w:rPr>
            <w:rFonts w:ascii="Arial" w:cs="Arial" w:eastAsia="Arial" w:hAnsi="Arial"/>
            <w:sz w:val="18"/>
            <w:szCs w:val="18"/>
            <w:u w:val="single" w:color="auto"/>
            <w:color w:val="0000FF"/>
          </w:rPr>
          <w:t>10.68†</w:t>
        </w:r>
      </w:hyperlink>
      <w:r>
        <w:rPr>
          <w:rFonts w:ascii="Arial" w:cs="Arial" w:eastAsia="Arial" w:hAnsi="Arial"/>
          <w:sz w:val="18"/>
          <w:szCs w:val="18"/>
          <w:u w:val="single" w:color="auto"/>
          <w:color w:val="0000FF"/>
        </w:rPr>
        <w:tab/>
      </w:r>
      <w:hyperlink r:id="rId215">
        <w:r>
          <w:rPr>
            <w:rFonts w:ascii="Arial" w:cs="Arial" w:eastAsia="Arial" w:hAnsi="Arial"/>
            <w:sz w:val="17"/>
            <w:szCs w:val="17"/>
            <w:u w:val="single" w:color="auto"/>
            <w:color w:val="0000FF"/>
          </w:rPr>
          <w:t>Form of Non-Qualified Stock Option Award (Relative TSR Vesting) (incorporated by reference to Exhibit 10.78 to Aramark's Annual</w:t>
        </w:r>
      </w:hyperlink>
      <w:r>
        <w:rPr>
          <w:rFonts w:ascii="Arial" w:cs="Arial" w:eastAsia="Arial" w:hAnsi="Arial"/>
          <w:sz w:val="17"/>
          <w:szCs w:val="17"/>
          <w:u w:val="single" w:color="auto"/>
          <w:color w:val="0000FF"/>
        </w:rPr>
        <w:t xml:space="preserve"> </w:t>
      </w:r>
      <w:hyperlink r:id="rId215">
        <w:r>
          <w:rPr>
            <w:rFonts w:ascii="Arial" w:cs="Arial" w:eastAsia="Arial" w:hAnsi="Arial"/>
            <w:sz w:val="17"/>
            <w:szCs w:val="17"/>
            <w:u w:val="single" w:color="auto"/>
            <w:color w:val="0000FF"/>
          </w:rPr>
          <w:t>Report on Form 10-K filed with the SEC on November 22, 2017 pursuant to the Exchange Act (file number 001-36223).</w:t>
        </w:r>
      </w:hyperlink>
    </w:p>
    <w:p>
      <w:pPr>
        <w:ind w:left="1280" w:right="20" w:hanging="637"/>
        <w:spacing w:after="0" w:line="234" w:lineRule="auto"/>
        <w:tabs>
          <w:tab w:leader="none" w:pos="1260" w:val="left"/>
        </w:tabs>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10.69†</w:t>
        </w:r>
      </w:hyperlink>
      <w:r>
        <w:rPr>
          <w:rFonts w:ascii="Arial" w:cs="Arial" w:eastAsia="Arial" w:hAnsi="Arial"/>
          <w:sz w:val="18"/>
          <w:szCs w:val="18"/>
          <w:u w:val="single" w:color="auto"/>
          <w:color w:val="0000FF"/>
        </w:rPr>
        <w:tab/>
      </w:r>
      <w:hyperlink r:id="rId216">
        <w:r>
          <w:rPr>
            <w:rFonts w:ascii="Arial" w:cs="Arial" w:eastAsia="Arial" w:hAnsi="Arial"/>
            <w:sz w:val="18"/>
            <w:szCs w:val="18"/>
            <w:u w:val="single" w:color="auto"/>
            <w:color w:val="0000FF"/>
          </w:rPr>
          <w:t>Form of Non-Qualified Stock Option Award (incorporated by reference to Exhibit 10.93 to Aramark’s Annual Report on Form 10-K filed</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with the SEC on November 26, 2019, pursuant to the Exchange Act (file number 001-36223)).</w:t>
        </w:r>
      </w:hyperlink>
    </w:p>
    <w:p>
      <w:pPr>
        <w:ind w:left="640"/>
        <w:spacing w:after="0"/>
        <w:tabs>
          <w:tab w:leader="none" w:pos="1260" w:val="left"/>
        </w:tabs>
        <w:rPr>
          <w:rFonts w:ascii="Arial" w:cs="Arial" w:eastAsia="Arial" w:hAnsi="Arial"/>
          <w:sz w:val="16"/>
          <w:szCs w:val="16"/>
          <w:u w:val="single" w:color="auto"/>
          <w:color w:val="0000FF"/>
        </w:rPr>
      </w:pPr>
      <w:hyperlink r:id="rId217">
        <w:r>
          <w:rPr>
            <w:rFonts w:ascii="Arial" w:cs="Arial" w:eastAsia="Arial" w:hAnsi="Arial"/>
            <w:sz w:val="18"/>
            <w:szCs w:val="18"/>
            <w:u w:val="single" w:color="auto"/>
            <w:color w:val="0000FF"/>
          </w:rPr>
          <w:t>10.70†</w:t>
        </w:r>
      </w:hyperlink>
      <w:r>
        <w:rPr>
          <w:rFonts w:ascii="Arial" w:cs="Arial" w:eastAsia="Arial" w:hAnsi="Arial"/>
          <w:sz w:val="18"/>
          <w:szCs w:val="18"/>
          <w:u w:val="single" w:color="auto"/>
          <w:color w:val="0000FF"/>
        </w:rPr>
        <w:tab/>
      </w:r>
      <w:hyperlink r:id="rId217">
        <w:r>
          <w:rPr>
            <w:rFonts w:ascii="Arial" w:cs="Arial" w:eastAsia="Arial" w:hAnsi="Arial"/>
            <w:sz w:val="16"/>
            <w:szCs w:val="16"/>
            <w:u w:val="single" w:color="auto"/>
            <w:color w:val="0000FF"/>
          </w:rPr>
          <w:t>Form of Restricted Stock Unit Award (Time Vesting) (incorporated by reference to Exhibit 10.94 to Aramark’s Annual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217">
        <w:r>
          <w:rPr>
            <w:rFonts w:ascii="Arial" w:cs="Arial" w:eastAsia="Arial" w:hAnsi="Arial"/>
            <w:sz w:val="18"/>
            <w:szCs w:val="18"/>
            <w:u w:val="single" w:color="auto"/>
            <w:color w:val="0000FF"/>
          </w:rPr>
          <w:t>10-K filed with the SEC on November 26, 2019, pursuant to the Exchange Act (file number 001-36223)).</w:t>
        </w:r>
      </w:hyperlink>
    </w:p>
    <w:p>
      <w:pPr>
        <w:spacing w:after="0" w:line="7" w:lineRule="exact"/>
        <w:rPr>
          <w:sz w:val="20"/>
          <w:szCs w:val="20"/>
          <w:color w:val="auto"/>
        </w:rPr>
      </w:pPr>
    </w:p>
    <w:p>
      <w:pPr>
        <w:ind w:left="1280" w:right="320" w:hanging="637"/>
        <w:spacing w:after="0" w:line="234" w:lineRule="auto"/>
        <w:tabs>
          <w:tab w:leader="none" w:pos="1260" w:val="left"/>
        </w:tabs>
        <w:rPr>
          <w:rFonts w:ascii="Arial" w:cs="Arial" w:eastAsia="Arial" w:hAnsi="Arial"/>
          <w:sz w:val="18"/>
          <w:szCs w:val="18"/>
          <w:u w:val="single" w:color="auto"/>
          <w:color w:val="0000FF"/>
        </w:rPr>
      </w:pPr>
      <w:hyperlink r:id="rId218">
        <w:r>
          <w:rPr>
            <w:rFonts w:ascii="Arial" w:cs="Arial" w:eastAsia="Arial" w:hAnsi="Arial"/>
            <w:sz w:val="18"/>
            <w:szCs w:val="18"/>
            <w:u w:val="single" w:color="auto"/>
            <w:color w:val="0000FF"/>
          </w:rPr>
          <w:t>10.71†</w:t>
        </w:r>
      </w:hyperlink>
      <w:r>
        <w:rPr>
          <w:rFonts w:ascii="Arial" w:cs="Arial" w:eastAsia="Arial" w:hAnsi="Arial"/>
          <w:sz w:val="18"/>
          <w:szCs w:val="18"/>
          <w:u w:val="single" w:color="auto"/>
          <w:color w:val="0000FF"/>
        </w:rPr>
        <w:tab/>
      </w:r>
      <w:hyperlink r:id="rId218">
        <w:r>
          <w:rPr>
            <w:rFonts w:ascii="Arial" w:cs="Arial" w:eastAsia="Arial" w:hAnsi="Arial"/>
            <w:sz w:val="18"/>
            <w:szCs w:val="18"/>
            <w:u w:val="single" w:color="auto"/>
            <w:color w:val="0000FF"/>
          </w:rPr>
          <w:t>Form of Performance Stock Unit Award (incorporated by reference to Exhibit 10.95 to Aramark’s Annual Report on Form 10-K filed</w:t>
        </w:r>
      </w:hyperlink>
      <w:r>
        <w:rPr>
          <w:rFonts w:ascii="Arial" w:cs="Arial" w:eastAsia="Arial" w:hAnsi="Arial"/>
          <w:sz w:val="18"/>
          <w:szCs w:val="18"/>
          <w:u w:val="single" w:color="auto"/>
          <w:color w:val="0000FF"/>
        </w:rPr>
        <w:t xml:space="preserve"> </w:t>
      </w:r>
      <w:hyperlink r:id="rId218">
        <w:r>
          <w:rPr>
            <w:rFonts w:ascii="Arial" w:cs="Arial" w:eastAsia="Arial" w:hAnsi="Arial"/>
            <w:sz w:val="18"/>
            <w:szCs w:val="18"/>
            <w:u w:val="single" w:color="auto"/>
            <w:color w:val="0000FF"/>
          </w:rPr>
          <w:t>with the SEC on November 26, 2019, pursuant to the Exchange Act (file number 001-36223)).</w:t>
        </w:r>
      </w:hyperlink>
    </w:p>
    <w:p>
      <w:pPr>
        <w:ind w:left="640"/>
        <w:spacing w:after="0"/>
        <w:tabs>
          <w:tab w:leader="none" w:pos="1260" w:val="left"/>
        </w:tabs>
        <w:rPr>
          <w:rFonts w:ascii="Arial" w:cs="Arial" w:eastAsia="Arial" w:hAnsi="Arial"/>
          <w:sz w:val="16"/>
          <w:szCs w:val="16"/>
          <w:u w:val="single" w:color="auto"/>
          <w:color w:val="0000FF"/>
        </w:rPr>
      </w:pPr>
      <w:hyperlink r:id="rId219">
        <w:r>
          <w:rPr>
            <w:rFonts w:ascii="Arial" w:cs="Arial" w:eastAsia="Arial" w:hAnsi="Arial"/>
            <w:sz w:val="18"/>
            <w:szCs w:val="18"/>
            <w:u w:val="single" w:color="auto"/>
            <w:color w:val="0000FF"/>
          </w:rPr>
          <w:t>10.72†</w:t>
        </w:r>
      </w:hyperlink>
      <w:r>
        <w:rPr>
          <w:rFonts w:ascii="Arial" w:cs="Arial" w:eastAsia="Arial" w:hAnsi="Arial"/>
          <w:sz w:val="18"/>
          <w:szCs w:val="18"/>
          <w:u w:val="single" w:color="auto"/>
          <w:color w:val="0000FF"/>
        </w:rPr>
        <w:tab/>
      </w:r>
      <w:hyperlink r:id="rId219">
        <w:r>
          <w:rPr>
            <w:rFonts w:ascii="Arial" w:cs="Arial" w:eastAsia="Arial" w:hAnsi="Arial"/>
            <w:sz w:val="16"/>
            <w:szCs w:val="16"/>
            <w:u w:val="single" w:color="auto"/>
            <w:color w:val="0000FF"/>
          </w:rPr>
          <w:t>Form of Schedule I to Performance Stock Unit Award (incorporated by reference to Exhibit 10.96 to Aramark’s Annual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219">
        <w:r>
          <w:rPr>
            <w:rFonts w:ascii="Arial" w:cs="Arial" w:eastAsia="Arial" w:hAnsi="Arial"/>
            <w:sz w:val="18"/>
            <w:szCs w:val="18"/>
            <w:u w:val="single" w:color="auto"/>
            <w:color w:val="0000FF"/>
          </w:rPr>
          <w:t>10-K filed with the SEC on November 26, 2019, pursuant to the Exchange Act (file number 001-36223)).</w:t>
        </w:r>
      </w:hyperlink>
    </w:p>
    <w:p>
      <w:pPr>
        <w:spacing w:after="0" w:line="7" w:lineRule="exact"/>
        <w:rPr>
          <w:sz w:val="20"/>
          <w:szCs w:val="20"/>
          <w:color w:val="auto"/>
        </w:rPr>
      </w:pPr>
    </w:p>
    <w:p>
      <w:pPr>
        <w:ind w:left="1280" w:hanging="637"/>
        <w:spacing w:after="0" w:line="224" w:lineRule="auto"/>
        <w:tabs>
          <w:tab w:leader="none" w:pos="1260" w:val="left"/>
        </w:tabs>
        <w:rPr>
          <w:rFonts w:ascii="Arial" w:cs="Arial" w:eastAsia="Arial" w:hAnsi="Arial"/>
          <w:sz w:val="18"/>
          <w:szCs w:val="18"/>
          <w:u w:val="single" w:color="auto"/>
          <w:color w:val="0000FF"/>
        </w:rPr>
      </w:pPr>
      <w:hyperlink r:id="rId220">
        <w:r>
          <w:rPr>
            <w:rFonts w:ascii="Arial" w:cs="Arial" w:eastAsia="Arial" w:hAnsi="Arial"/>
            <w:sz w:val="18"/>
            <w:szCs w:val="18"/>
            <w:u w:val="single" w:color="auto"/>
            <w:color w:val="0000FF"/>
          </w:rPr>
          <w:t>10.73†</w:t>
        </w:r>
      </w:hyperlink>
      <w:r>
        <w:rPr>
          <w:rFonts w:ascii="Arial" w:cs="Arial" w:eastAsia="Arial" w:hAnsi="Arial"/>
          <w:sz w:val="18"/>
          <w:szCs w:val="18"/>
          <w:u w:val="single" w:color="auto"/>
          <w:color w:val="0000FF"/>
        </w:rPr>
        <w:tab/>
      </w:r>
      <w:hyperlink r:id="rId220">
        <w:r>
          <w:rPr>
            <w:rFonts w:ascii="Arial" w:cs="Arial" w:eastAsia="Arial" w:hAnsi="Arial"/>
            <w:sz w:val="18"/>
            <w:szCs w:val="18"/>
            <w:u w:val="single" w:color="auto"/>
            <w:color w:val="0000FF"/>
          </w:rPr>
          <w:t>Amended and Restated Form of Non-Qualified Stock Option Award dated July 16, 2020 between Aramark and John J. Zillmer</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(incorporated by reference to Exhibit 10.6 of Aramark’s Current Report on Form 8-K filed with the SEC on July 17, 2020, pursuant to the</w:t>
        </w:r>
      </w:hyperlink>
      <w:r>
        <w:rPr>
          <w:rFonts w:ascii="Arial" w:cs="Arial" w:eastAsia="Arial" w:hAnsi="Arial"/>
          <w:sz w:val="18"/>
          <w:szCs w:val="18"/>
          <w:u w:val="single" w:color="auto"/>
          <w:color w:val="0000FF"/>
        </w:rPr>
        <w:t xml:space="preserve"> </w:t>
      </w:r>
      <w:hyperlink r:id="rId220">
        <w:r>
          <w:rPr>
            <w:rFonts w:ascii="Arial" w:cs="Arial" w:eastAsia="Arial" w:hAnsi="Arial"/>
            <w:sz w:val="18"/>
            <w:szCs w:val="18"/>
            <w:u w:val="single" w:color="auto"/>
            <w:color w:val="0000FF"/>
          </w:rPr>
          <w:t>Exchange Act (file number 001-36223)).</w:t>
        </w:r>
      </w:hyperlink>
    </w:p>
    <w:p>
      <w:pPr>
        <w:spacing w:after="0" w:line="1" w:lineRule="exact"/>
        <w:rPr>
          <w:rFonts w:ascii="Arial" w:cs="Arial" w:eastAsia="Arial" w:hAnsi="Arial"/>
          <w:sz w:val="18"/>
          <w:szCs w:val="18"/>
          <w:u w:val="single" w:color="auto"/>
          <w:color w:val="0000FF"/>
        </w:rPr>
      </w:pPr>
    </w:p>
    <w:p>
      <w:pPr>
        <w:ind w:left="1280" w:hanging="637"/>
        <w:spacing w:after="0" w:line="224" w:lineRule="auto"/>
        <w:tabs>
          <w:tab w:leader="none" w:pos="1260" w:val="left"/>
        </w:tabs>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10.74†</w:t>
        </w:r>
      </w:hyperlink>
      <w:r>
        <w:rPr>
          <w:rFonts w:ascii="Arial" w:cs="Arial" w:eastAsia="Arial" w:hAnsi="Arial"/>
          <w:sz w:val="18"/>
          <w:szCs w:val="18"/>
          <w:u w:val="single" w:color="auto"/>
          <w:color w:val="0000FF"/>
        </w:rPr>
        <w:tab/>
      </w:r>
      <w:hyperlink r:id="rId221">
        <w:r>
          <w:rPr>
            <w:rFonts w:ascii="Arial" w:cs="Arial" w:eastAsia="Arial" w:hAnsi="Arial"/>
            <w:sz w:val="18"/>
            <w:szCs w:val="18"/>
            <w:u w:val="single" w:color="auto"/>
            <w:color w:val="0000FF"/>
          </w:rPr>
          <w:t>Amended and Restated Restricted Stock Unit Award (Time Vesting) dated July 16, 2020 between Aramark and John J. Zillmer</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(incorporated by reference to Exhibit 10.7 of Aramark’s Current Report on Form 8-K filed with the SEC on July 17, 2020, pursuant to the</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Exchange Act (file number 001-36223)).</w:t>
        </w:r>
      </w:hyperlink>
    </w:p>
    <w:p>
      <w:pPr>
        <w:spacing w:after="0" w:line="1" w:lineRule="exact"/>
        <w:rPr>
          <w:rFonts w:ascii="Arial" w:cs="Arial" w:eastAsia="Arial" w:hAnsi="Arial"/>
          <w:sz w:val="18"/>
          <w:szCs w:val="18"/>
          <w:u w:val="single" w:color="auto"/>
          <w:color w:val="0000FF"/>
        </w:rPr>
      </w:pPr>
    </w:p>
    <w:p>
      <w:pPr>
        <w:ind w:left="1280" w:right="80" w:hanging="637"/>
        <w:spacing w:after="0" w:line="224" w:lineRule="auto"/>
        <w:tabs>
          <w:tab w:leader="none" w:pos="1260" w:val="left"/>
        </w:tabs>
        <w:rPr>
          <w:rFonts w:ascii="Arial" w:cs="Arial" w:eastAsia="Arial" w:hAnsi="Arial"/>
          <w:sz w:val="18"/>
          <w:szCs w:val="18"/>
          <w:u w:val="single" w:color="auto"/>
          <w:color w:val="0000FF"/>
        </w:rPr>
      </w:pPr>
      <w:hyperlink r:id="rId222">
        <w:r>
          <w:rPr>
            <w:rFonts w:ascii="Arial" w:cs="Arial" w:eastAsia="Arial" w:hAnsi="Arial"/>
            <w:sz w:val="18"/>
            <w:szCs w:val="18"/>
            <w:u w:val="single" w:color="auto"/>
            <w:color w:val="0000FF"/>
          </w:rPr>
          <w:t>10.75†</w:t>
        </w:r>
      </w:hyperlink>
      <w:r>
        <w:rPr>
          <w:rFonts w:ascii="Arial" w:cs="Arial" w:eastAsia="Arial" w:hAnsi="Arial"/>
          <w:sz w:val="18"/>
          <w:szCs w:val="18"/>
          <w:u w:val="single" w:color="auto"/>
          <w:color w:val="0000FF"/>
        </w:rPr>
        <w:tab/>
      </w:r>
      <w:hyperlink r:id="rId222">
        <w:r>
          <w:rPr>
            <w:rFonts w:ascii="Arial" w:cs="Arial" w:eastAsia="Arial" w:hAnsi="Arial"/>
            <w:sz w:val="18"/>
            <w:szCs w:val="18"/>
            <w:u w:val="single" w:color="auto"/>
            <w:color w:val="0000FF"/>
          </w:rPr>
          <w:t>Amended and Restated Form of Performance Stock Unit Award dated July 16, 2020 between Aramark and John J. Zillmer (incorporated</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by reference to Exhibit 10.8 of Aramark’s Current Report on Form 8-K filed with the SEC on July 17, 2020, pursuant to the Exchange</w:t>
        </w:r>
      </w:hyperlink>
      <w:r>
        <w:rPr>
          <w:rFonts w:ascii="Arial" w:cs="Arial" w:eastAsia="Arial" w:hAnsi="Arial"/>
          <w:sz w:val="18"/>
          <w:szCs w:val="18"/>
          <w:u w:val="single" w:color="auto"/>
          <w:color w:val="0000FF"/>
        </w:rPr>
        <w:t xml:space="preserve"> </w:t>
      </w:r>
      <w:hyperlink r:id="rId222">
        <w:r>
          <w:rPr>
            <w:rFonts w:ascii="Arial" w:cs="Arial" w:eastAsia="Arial" w:hAnsi="Arial"/>
            <w:sz w:val="18"/>
            <w:szCs w:val="18"/>
            <w:u w:val="single" w:color="auto"/>
            <w:color w:val="0000FF"/>
          </w:rPr>
          <w:t>Act (file number 001-36223)).</w:t>
        </w:r>
      </w:hyperlink>
    </w:p>
    <w:p>
      <w:pPr>
        <w:spacing w:after="0" w:line="1" w:lineRule="exact"/>
        <w:rPr>
          <w:rFonts w:ascii="Arial" w:cs="Arial" w:eastAsia="Arial" w:hAnsi="Arial"/>
          <w:sz w:val="18"/>
          <w:szCs w:val="18"/>
          <w:u w:val="single" w:color="auto"/>
          <w:color w:val="0000FF"/>
        </w:rPr>
      </w:pPr>
    </w:p>
    <w:p>
      <w:pPr>
        <w:jc w:val="both"/>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10.76†</w:t>
        </w:r>
      </w:hyperlink>
      <w:r>
        <w:rPr>
          <w:rFonts w:ascii="Arial" w:cs="Arial" w:eastAsia="Arial" w:hAnsi="Arial"/>
          <w:sz w:val="18"/>
          <w:szCs w:val="18"/>
          <w:u w:val="single" w:color="auto"/>
          <w:color w:val="0000FF"/>
        </w:rPr>
        <w:tab/>
      </w:r>
      <w:hyperlink r:id="rId223">
        <w:r>
          <w:rPr>
            <w:rFonts w:ascii="Arial" w:cs="Arial" w:eastAsia="Arial" w:hAnsi="Arial"/>
            <w:sz w:val="18"/>
            <w:szCs w:val="18"/>
            <w:u w:val="single" w:color="auto"/>
            <w:color w:val="0000FF"/>
          </w:rPr>
          <w:t>Amended and Restated Form of Non-Qualified Stock Option Award dated September 4, 2020 between Aramark and John J. Zillmer</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(incorporated by reference to Exhibit 10.104 to Aramark’s Annual Report on Form 10-K filed with the SEC on November 24, 2020</w:t>
        </w:r>
      </w:hyperlink>
      <w:r>
        <w:rPr>
          <w:rFonts w:ascii="Arial" w:cs="Arial" w:eastAsia="Arial" w:hAnsi="Arial"/>
          <w:sz w:val="18"/>
          <w:szCs w:val="18"/>
          <w:u w:val="single" w:color="auto"/>
          <w:color w:val="0000FF"/>
        </w:rPr>
        <w:t xml:space="preserve"> </w:t>
      </w:r>
      <w:hyperlink r:id="rId223">
        <w:r>
          <w:rPr>
            <w:rFonts w:ascii="Arial" w:cs="Arial" w:eastAsia="Arial" w:hAnsi="Arial"/>
            <w:sz w:val="18"/>
            <w:szCs w:val="18"/>
            <w:u w:val="single" w:color="auto"/>
            <w:color w:val="0000FF"/>
          </w:rPr>
          <w:t>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300" w:hanging="637"/>
        <w:spacing w:after="0" w:line="234" w:lineRule="auto"/>
        <w:tabs>
          <w:tab w:leader="none" w:pos="1260" w:val="left"/>
        </w:tabs>
        <w:rPr>
          <w:rFonts w:ascii="Arial" w:cs="Arial" w:eastAsia="Arial" w:hAnsi="Arial"/>
          <w:sz w:val="18"/>
          <w:szCs w:val="18"/>
          <w:u w:val="single" w:color="auto"/>
          <w:color w:val="0000FF"/>
        </w:rPr>
      </w:pPr>
      <w:hyperlink r:id="rId224">
        <w:r>
          <w:rPr>
            <w:rFonts w:ascii="Arial" w:cs="Arial" w:eastAsia="Arial" w:hAnsi="Arial"/>
            <w:sz w:val="18"/>
            <w:szCs w:val="18"/>
            <w:u w:val="single" w:color="auto"/>
            <w:color w:val="0000FF"/>
          </w:rPr>
          <w:t>10.77†</w:t>
        </w:r>
      </w:hyperlink>
      <w:r>
        <w:rPr>
          <w:rFonts w:ascii="Arial" w:cs="Arial" w:eastAsia="Arial" w:hAnsi="Arial"/>
          <w:sz w:val="18"/>
          <w:szCs w:val="18"/>
          <w:u w:val="single" w:color="auto"/>
          <w:color w:val="0000FF"/>
        </w:rPr>
        <w:tab/>
      </w:r>
      <w:hyperlink r:id="rId224">
        <w:r>
          <w:rPr>
            <w:rFonts w:ascii="Arial" w:cs="Arial" w:eastAsia="Arial" w:hAnsi="Arial"/>
            <w:sz w:val="18"/>
            <w:szCs w:val="18"/>
            <w:u w:val="single" w:color="auto"/>
            <w:color w:val="0000FF"/>
          </w:rPr>
          <w:t>Form of Non-Qualified Stock Option Award (incorporated by reference to Exhibit 10.105 to Aramark’s Annual Report on Form 10-K</w:t>
        </w:r>
      </w:hyperlink>
      <w:r>
        <w:rPr>
          <w:rFonts w:ascii="Arial" w:cs="Arial" w:eastAsia="Arial" w:hAnsi="Arial"/>
          <w:sz w:val="18"/>
          <w:szCs w:val="18"/>
          <w:u w:val="single" w:color="auto"/>
          <w:color w:val="0000FF"/>
        </w:rPr>
        <w:t xml:space="preserve"> </w:t>
      </w:r>
      <w:hyperlink r:id="rId224">
        <w:r>
          <w:rPr>
            <w:rFonts w:ascii="Arial" w:cs="Arial" w:eastAsia="Arial" w:hAnsi="Arial"/>
            <w:sz w:val="18"/>
            <w:szCs w:val="18"/>
            <w:u w:val="single" w:color="auto"/>
            <w:color w:val="0000FF"/>
          </w:rPr>
          <w:t>filed with the SEC on November 24, 2020 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25">
        <w:r>
          <w:rPr>
            <w:rFonts w:ascii="Arial" w:cs="Arial" w:eastAsia="Arial" w:hAnsi="Arial"/>
            <w:sz w:val="18"/>
            <w:szCs w:val="18"/>
            <w:u w:val="single" w:color="auto"/>
            <w:color w:val="0000FF"/>
          </w:rPr>
          <w:t>10.78†</w:t>
        </w:r>
      </w:hyperlink>
      <w:r>
        <w:rPr>
          <w:rFonts w:ascii="Arial" w:cs="Arial" w:eastAsia="Arial" w:hAnsi="Arial"/>
          <w:sz w:val="18"/>
          <w:szCs w:val="18"/>
          <w:u w:val="single" w:color="auto"/>
          <w:color w:val="0000FF"/>
        </w:rPr>
        <w:tab/>
      </w:r>
      <w:hyperlink r:id="rId225">
        <w:r>
          <w:rPr>
            <w:rFonts w:ascii="Arial" w:cs="Arial" w:eastAsia="Arial" w:hAnsi="Arial"/>
            <w:sz w:val="18"/>
            <w:szCs w:val="18"/>
            <w:u w:val="single" w:color="auto"/>
            <w:color w:val="0000FF"/>
          </w:rPr>
          <w:t>Amended and Restated Form of Non-Qualified Stock Option Award dated September 4, 2020 between Aramark and John J. Zillmer</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(incorporated by reference to Exhibit 10.106 to Aramark’s Annual Report on Form 10-K filed with the SEC on November 24, 2020</w:t>
        </w:r>
      </w:hyperlink>
      <w:r>
        <w:rPr>
          <w:rFonts w:ascii="Arial" w:cs="Arial" w:eastAsia="Arial" w:hAnsi="Arial"/>
          <w:sz w:val="18"/>
          <w:szCs w:val="18"/>
          <w:u w:val="single" w:color="auto"/>
          <w:color w:val="0000FF"/>
        </w:rPr>
        <w:t xml:space="preserve"> </w:t>
      </w:r>
      <w:hyperlink r:id="rId225">
        <w:r>
          <w:rPr>
            <w:rFonts w:ascii="Arial" w:cs="Arial" w:eastAsia="Arial" w:hAnsi="Arial"/>
            <w:sz w:val="18"/>
            <w:szCs w:val="18"/>
            <w:u w:val="single" w:color="auto"/>
            <w:color w:val="0000FF"/>
          </w:rPr>
          <w:t>pursuant to the Exchange Act (file number 001-36223)).</w:t>
        </w:r>
      </w:hyperlink>
    </w:p>
    <w:p>
      <w:pPr>
        <w:spacing w:after="0" w:line="1" w:lineRule="exact"/>
        <w:rPr>
          <w:rFonts w:ascii="Arial" w:cs="Arial" w:eastAsia="Arial" w:hAnsi="Arial"/>
          <w:sz w:val="18"/>
          <w:szCs w:val="18"/>
          <w:u w:val="single" w:color="auto"/>
          <w:color w:val="0000FF"/>
        </w:rPr>
      </w:pPr>
    </w:p>
    <w:p>
      <w:pPr>
        <w:jc w:val="both"/>
        <w:ind w:left="1280" w:right="420" w:hanging="637"/>
        <w:spacing w:after="0" w:line="224" w:lineRule="auto"/>
        <w:tabs>
          <w:tab w:leader="none" w:pos="1260" w:val="left"/>
        </w:tabs>
        <w:rPr>
          <w:rFonts w:ascii="Arial" w:cs="Arial" w:eastAsia="Arial" w:hAnsi="Arial"/>
          <w:sz w:val="18"/>
          <w:szCs w:val="18"/>
          <w:u w:val="single" w:color="auto"/>
          <w:color w:val="0000FF"/>
        </w:rPr>
      </w:pPr>
      <w:hyperlink r:id="rId226">
        <w:r>
          <w:rPr>
            <w:rFonts w:ascii="Arial" w:cs="Arial" w:eastAsia="Arial" w:hAnsi="Arial"/>
            <w:sz w:val="18"/>
            <w:szCs w:val="18"/>
            <w:u w:val="single" w:color="auto"/>
            <w:color w:val="0000FF"/>
          </w:rPr>
          <w:t>10.79†</w:t>
        </w:r>
      </w:hyperlink>
      <w:r>
        <w:rPr>
          <w:rFonts w:ascii="Arial" w:cs="Arial" w:eastAsia="Arial" w:hAnsi="Arial"/>
          <w:sz w:val="18"/>
          <w:szCs w:val="18"/>
          <w:u w:val="single" w:color="auto"/>
          <w:color w:val="0000FF"/>
        </w:rPr>
        <w:tab/>
      </w:r>
      <w:hyperlink r:id="rId226">
        <w:r>
          <w:rPr>
            <w:rFonts w:ascii="Arial" w:cs="Arial" w:eastAsia="Arial" w:hAnsi="Arial"/>
            <w:sz w:val="18"/>
            <w:szCs w:val="18"/>
            <w:u w:val="single" w:color="auto"/>
            <w:color w:val="0000FF"/>
          </w:rPr>
          <w:t>Amended and Restated Restricted Stock Unit Award (Time Vesting) dated September 4, 2020 between Aramark and John J. Zillmer</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(incorporated by reference to Exhibit 10.107 to Aramark’s Annual Report on Form 10-K filed with the SEC on November 24, 2020</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pursuant to the Exchange Act (file number 001-36223)).</w:t>
        </w:r>
      </w:hyperlink>
    </w:p>
    <w:p>
      <w:pPr>
        <w:spacing w:after="0" w:line="1" w:lineRule="exact"/>
        <w:rPr>
          <w:rFonts w:ascii="Arial" w:cs="Arial" w:eastAsia="Arial" w:hAnsi="Arial"/>
          <w:sz w:val="18"/>
          <w:szCs w:val="18"/>
          <w:u w:val="single" w:color="auto"/>
          <w:color w:val="0000FF"/>
        </w:rPr>
      </w:pPr>
    </w:p>
    <w:p>
      <w:pPr>
        <w:ind w:left="1280" w:right="300" w:hanging="637"/>
        <w:spacing w:after="0" w:line="234" w:lineRule="auto"/>
        <w:tabs>
          <w:tab w:leader="none" w:pos="1260" w:val="left"/>
        </w:tabs>
        <w:rPr>
          <w:rFonts w:ascii="Arial" w:cs="Arial" w:eastAsia="Arial" w:hAnsi="Arial"/>
          <w:sz w:val="18"/>
          <w:szCs w:val="18"/>
          <w:u w:val="single" w:color="auto"/>
          <w:color w:val="0000FF"/>
        </w:rPr>
      </w:pPr>
      <w:hyperlink r:id="rId227">
        <w:r>
          <w:rPr>
            <w:rFonts w:ascii="Arial" w:cs="Arial" w:eastAsia="Arial" w:hAnsi="Arial"/>
            <w:sz w:val="18"/>
            <w:szCs w:val="18"/>
            <w:u w:val="single" w:color="auto"/>
            <w:color w:val="0000FF"/>
          </w:rPr>
          <w:t>10.80†</w:t>
        </w:r>
      </w:hyperlink>
      <w:r>
        <w:rPr>
          <w:rFonts w:ascii="Arial" w:cs="Arial" w:eastAsia="Arial" w:hAnsi="Arial"/>
          <w:sz w:val="18"/>
          <w:szCs w:val="18"/>
          <w:u w:val="single" w:color="auto"/>
          <w:color w:val="0000FF"/>
        </w:rPr>
        <w:tab/>
      </w:r>
      <w:hyperlink r:id="rId227">
        <w:r>
          <w:rPr>
            <w:rFonts w:ascii="Arial" w:cs="Arial" w:eastAsia="Arial" w:hAnsi="Arial"/>
            <w:sz w:val="18"/>
            <w:szCs w:val="18"/>
            <w:u w:val="single" w:color="auto"/>
            <w:color w:val="0000FF"/>
          </w:rPr>
          <w:t>Form of Non-Qualified Stock Option Award (incorporated by reference to Exhibit 10.108 to Aramark’s Annual Report on Form 10-K</w:t>
        </w:r>
      </w:hyperlink>
      <w:r>
        <w:rPr>
          <w:rFonts w:ascii="Arial" w:cs="Arial" w:eastAsia="Arial" w:hAnsi="Arial"/>
          <w:sz w:val="18"/>
          <w:szCs w:val="18"/>
          <w:u w:val="single" w:color="auto"/>
          <w:color w:val="0000FF"/>
        </w:rPr>
        <w:t xml:space="preserve"> </w:t>
      </w:r>
      <w:hyperlink r:id="rId227">
        <w:r>
          <w:rPr>
            <w:rFonts w:ascii="Arial" w:cs="Arial" w:eastAsia="Arial" w:hAnsi="Arial"/>
            <w:sz w:val="18"/>
            <w:szCs w:val="18"/>
            <w:u w:val="single" w:color="auto"/>
            <w:color w:val="0000FF"/>
          </w:rPr>
          <w:t>filed with the SEC on November 24, 2020 pursuant to the Exchange Act (file number 001-36223)).</w:t>
        </w:r>
      </w:hyperlink>
    </w:p>
    <w:p>
      <w:pPr>
        <w:ind w:left="640"/>
        <w:spacing w:after="0"/>
        <w:tabs>
          <w:tab w:leader="none" w:pos="1260" w:val="left"/>
        </w:tabs>
        <w:rPr>
          <w:rFonts w:ascii="Arial" w:cs="Arial" w:eastAsia="Arial" w:hAnsi="Arial"/>
          <w:sz w:val="16"/>
          <w:szCs w:val="16"/>
          <w:u w:val="single" w:color="auto"/>
          <w:color w:val="0000FF"/>
        </w:rPr>
      </w:pPr>
      <w:hyperlink r:id="rId228">
        <w:r>
          <w:rPr>
            <w:rFonts w:ascii="Arial" w:cs="Arial" w:eastAsia="Arial" w:hAnsi="Arial"/>
            <w:sz w:val="18"/>
            <w:szCs w:val="18"/>
            <w:u w:val="single" w:color="auto"/>
            <w:color w:val="0000FF"/>
          </w:rPr>
          <w:t>10.81†</w:t>
        </w:r>
      </w:hyperlink>
      <w:r>
        <w:rPr>
          <w:rFonts w:ascii="Arial" w:cs="Arial" w:eastAsia="Arial" w:hAnsi="Arial"/>
          <w:sz w:val="18"/>
          <w:szCs w:val="18"/>
          <w:u w:val="single" w:color="auto"/>
          <w:color w:val="0000FF"/>
        </w:rPr>
        <w:tab/>
      </w:r>
      <w:hyperlink r:id="rId228">
        <w:r>
          <w:rPr>
            <w:rFonts w:ascii="Arial" w:cs="Arial" w:eastAsia="Arial" w:hAnsi="Arial"/>
            <w:sz w:val="16"/>
            <w:szCs w:val="16"/>
            <w:u w:val="single" w:color="auto"/>
            <w:color w:val="0000FF"/>
          </w:rPr>
          <w:t>Form of Restricted Stock Unit Award (Time Vesting) (incorporated by reference to Exhibit 10.109 to Aramark’s Annual Report on Form</w:t>
        </w:r>
      </w:hyperlink>
    </w:p>
    <w:p>
      <w:pPr>
        <w:spacing w:after="0" w:line="1" w:lineRule="exact"/>
        <w:rPr>
          <w:sz w:val="20"/>
          <w:szCs w:val="20"/>
          <w:color w:val="auto"/>
        </w:rPr>
      </w:pPr>
    </w:p>
    <w:p>
      <w:pPr>
        <w:ind w:left="1280"/>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10-K filed with the SEC on November 24, 2020 pursuant to the Exchange Act (file number 001-36223)).</w:t>
        </w:r>
      </w:hyperlink>
    </w:p>
    <w:p>
      <w:pPr>
        <w:spacing w:after="0" w:line="7" w:lineRule="exact"/>
        <w:rPr>
          <w:sz w:val="20"/>
          <w:szCs w:val="20"/>
          <w:color w:val="auto"/>
        </w:rPr>
      </w:pPr>
    </w:p>
    <w:p>
      <w:pPr>
        <w:ind w:left="560"/>
        <w:spacing w:after="0"/>
        <w:tabs>
          <w:tab w:leader="none" w:pos="1260" w:val="left"/>
        </w:tabs>
        <w:rPr>
          <w:rFonts w:ascii="Arial" w:cs="Arial" w:eastAsia="Arial" w:hAnsi="Arial"/>
          <w:sz w:val="16"/>
          <w:szCs w:val="16"/>
          <w:u w:val="single" w:color="auto"/>
          <w:color w:val="0000FF"/>
        </w:rPr>
      </w:pPr>
      <w:hyperlink w:anchor="page120">
        <w:r>
          <w:rPr>
            <w:rFonts w:ascii="Arial" w:cs="Arial" w:eastAsia="Arial" w:hAnsi="Arial"/>
            <w:sz w:val="18"/>
            <w:szCs w:val="18"/>
            <w:u w:val="single" w:color="auto"/>
            <w:color w:val="0000FF"/>
          </w:rPr>
          <w:t>10.82*†</w:t>
        </w:r>
      </w:hyperlink>
      <w:r>
        <w:rPr>
          <w:rFonts w:ascii="Arial" w:cs="Arial" w:eastAsia="Arial" w:hAnsi="Arial"/>
          <w:sz w:val="18"/>
          <w:szCs w:val="18"/>
          <w:u w:val="single" w:color="auto"/>
          <w:color w:val="0000FF"/>
        </w:rPr>
        <w:tab/>
      </w:r>
      <w:hyperlink w:anchor="page120">
        <w:r>
          <w:rPr>
            <w:rFonts w:ascii="Arial" w:cs="Arial" w:eastAsia="Arial" w:hAnsi="Arial"/>
            <w:sz w:val="16"/>
            <w:szCs w:val="16"/>
            <w:u w:val="single" w:color="auto"/>
            <w:color w:val="0000FF"/>
          </w:rPr>
          <w:t>Form of Schedule I to Performance Stock Unit Award (ELC Grant)</w:t>
        </w:r>
      </w:hyperlink>
    </w:p>
    <w:p>
      <w:pPr>
        <w:spacing w:after="0" w:line="23" w:lineRule="exact"/>
        <w:rPr>
          <w:sz w:val="20"/>
          <w:szCs w:val="20"/>
          <w:color w:val="auto"/>
        </w:rPr>
      </w:pPr>
    </w:p>
    <w:p>
      <w:pPr>
        <w:ind w:left="560"/>
        <w:spacing w:after="0"/>
        <w:tabs>
          <w:tab w:leader="none" w:pos="1260" w:val="left"/>
        </w:tabs>
        <w:rPr>
          <w:rFonts w:ascii="Arial" w:cs="Arial" w:eastAsia="Arial" w:hAnsi="Arial"/>
          <w:sz w:val="16"/>
          <w:szCs w:val="16"/>
          <w:u w:val="single" w:color="auto"/>
          <w:color w:val="0000FF"/>
        </w:rPr>
      </w:pPr>
      <w:hyperlink w:anchor="page123">
        <w:r>
          <w:rPr>
            <w:rFonts w:ascii="Arial" w:cs="Arial" w:eastAsia="Arial" w:hAnsi="Arial"/>
            <w:sz w:val="18"/>
            <w:szCs w:val="18"/>
            <w:u w:val="single" w:color="auto"/>
            <w:color w:val="0000FF"/>
          </w:rPr>
          <w:t>10.83*†</w:t>
        </w:r>
      </w:hyperlink>
      <w:r>
        <w:rPr>
          <w:rFonts w:ascii="Arial" w:cs="Arial" w:eastAsia="Arial" w:hAnsi="Arial"/>
          <w:sz w:val="18"/>
          <w:szCs w:val="18"/>
          <w:u w:val="single" w:color="auto"/>
          <w:color w:val="0000FF"/>
        </w:rPr>
        <w:tab/>
      </w:r>
      <w:hyperlink w:anchor="page123">
        <w:r>
          <w:rPr>
            <w:rFonts w:ascii="Arial" w:cs="Arial" w:eastAsia="Arial" w:hAnsi="Arial"/>
            <w:sz w:val="16"/>
            <w:szCs w:val="16"/>
            <w:u w:val="single" w:color="auto"/>
            <w:color w:val="0000FF"/>
          </w:rPr>
          <w:t>Form of Schedule I to Performance Stock Unit Award (ELT Grant)</w:t>
        </w:r>
      </w:hyperlink>
    </w:p>
    <w:p>
      <w:pPr>
        <w:spacing w:after="0" w:line="23" w:lineRule="exact"/>
        <w:rPr>
          <w:sz w:val="20"/>
          <w:szCs w:val="20"/>
          <w:color w:val="auto"/>
        </w:rPr>
      </w:pPr>
    </w:p>
    <w:p>
      <w:pPr>
        <w:ind w:left="1280" w:right="40" w:hanging="637"/>
        <w:spacing w:after="0" w:line="224" w:lineRule="auto"/>
        <w:tabs>
          <w:tab w:leader="none" w:pos="1260" w:val="left"/>
        </w:tabs>
        <w:rPr>
          <w:rFonts w:ascii="Arial" w:cs="Arial" w:eastAsia="Arial" w:hAnsi="Arial"/>
          <w:sz w:val="18"/>
          <w:szCs w:val="18"/>
          <w:u w:val="single" w:color="auto"/>
          <w:color w:val="0000FF"/>
        </w:rPr>
      </w:pPr>
      <w:hyperlink r:id="rId229">
        <w:r>
          <w:rPr>
            <w:rFonts w:ascii="Arial" w:cs="Arial" w:eastAsia="Arial" w:hAnsi="Arial"/>
            <w:sz w:val="18"/>
            <w:szCs w:val="18"/>
            <w:u w:val="single" w:color="auto"/>
            <w:color w:val="0000FF"/>
          </w:rPr>
          <w:t>10.84†</w:t>
        </w:r>
      </w:hyperlink>
      <w:r>
        <w:rPr>
          <w:rFonts w:ascii="Arial" w:cs="Arial" w:eastAsia="Arial" w:hAnsi="Arial"/>
          <w:sz w:val="18"/>
          <w:szCs w:val="18"/>
          <w:u w:val="single" w:color="auto"/>
          <w:color w:val="0000FF"/>
        </w:rPr>
        <w:tab/>
      </w:r>
      <w:hyperlink r:id="rId229">
        <w:r>
          <w:rPr>
            <w:rFonts w:ascii="Arial" w:cs="Arial" w:eastAsia="Arial" w:hAnsi="Arial"/>
            <w:sz w:val="18"/>
            <w:szCs w:val="18"/>
            <w:u w:val="single" w:color="auto"/>
            <w:color w:val="0000FF"/>
          </w:rPr>
          <w:t>Form of Deferred Stock Unit Award Agreement under the Fifth Amended and Restated Aramark 2007 Management Stock Incentive Plan</w:t>
        </w:r>
      </w:hyperlink>
      <w:r>
        <w:rPr>
          <w:rFonts w:ascii="Arial" w:cs="Arial" w:eastAsia="Arial" w:hAnsi="Arial"/>
          <w:sz w:val="18"/>
          <w:szCs w:val="18"/>
          <w:u w:val="single" w:color="auto"/>
          <w:color w:val="0000FF"/>
        </w:rPr>
        <w:t xml:space="preserve"> </w:t>
      </w:r>
      <w:hyperlink r:id="rId229">
        <w:r>
          <w:rPr>
            <w:rFonts w:ascii="Arial" w:cs="Arial" w:eastAsia="Arial" w:hAnsi="Arial"/>
            <w:sz w:val="18"/>
            <w:szCs w:val="18"/>
            <w:u w:val="single" w:color="auto"/>
            <w:color w:val="0000FF"/>
          </w:rPr>
          <w:t>(incorporated by reference to Exhibit 10.46 to Aramark’s Form S-1/A filed with the SEC on November 19, 2013 (file number 333-</w:t>
        </w:r>
      </w:hyperlink>
      <w:hyperlink r:id="rId229">
        <w:r>
          <w:rPr>
            <w:rFonts w:ascii="Arial" w:cs="Arial" w:eastAsia="Arial" w:hAnsi="Arial"/>
            <w:sz w:val="18"/>
            <w:szCs w:val="18"/>
            <w:u w:val="single" w:color="auto"/>
            <w:color w:val="0000FF"/>
          </w:rPr>
          <w:t>191057)).</w:t>
        </w:r>
      </w:hyperlink>
    </w:p>
    <w:p>
      <w:pPr>
        <w:spacing w:after="0" w:line="1" w:lineRule="exact"/>
        <w:rPr>
          <w:rFonts w:ascii="Arial" w:cs="Arial" w:eastAsia="Arial" w:hAnsi="Arial"/>
          <w:sz w:val="18"/>
          <w:szCs w:val="18"/>
          <w:u w:val="single" w:color="auto"/>
          <w:color w:val="0000FF"/>
        </w:rPr>
      </w:pPr>
    </w:p>
    <w:p>
      <w:pPr>
        <w:ind w:left="1280" w:right="620" w:hanging="637"/>
        <w:spacing w:after="0" w:line="234" w:lineRule="auto"/>
        <w:tabs>
          <w:tab w:leader="none" w:pos="1260" w:val="left"/>
        </w:tabs>
        <w:rPr>
          <w:rFonts w:ascii="Arial" w:cs="Arial" w:eastAsia="Arial" w:hAnsi="Arial"/>
          <w:sz w:val="18"/>
          <w:szCs w:val="18"/>
          <w:u w:val="single" w:color="auto"/>
          <w:color w:val="0000FF"/>
        </w:rPr>
      </w:pPr>
      <w:hyperlink r:id="rId230">
        <w:r>
          <w:rPr>
            <w:rFonts w:ascii="Arial" w:cs="Arial" w:eastAsia="Arial" w:hAnsi="Arial"/>
            <w:sz w:val="18"/>
            <w:szCs w:val="18"/>
            <w:u w:val="single" w:color="auto"/>
            <w:color w:val="0000FF"/>
          </w:rPr>
          <w:t>10.85†</w:t>
        </w:r>
      </w:hyperlink>
      <w:r>
        <w:rPr>
          <w:rFonts w:ascii="Arial" w:cs="Arial" w:eastAsia="Arial" w:hAnsi="Arial"/>
          <w:sz w:val="18"/>
          <w:szCs w:val="18"/>
          <w:u w:val="single" w:color="auto"/>
          <w:color w:val="0000FF"/>
        </w:rPr>
        <w:tab/>
      </w:r>
      <w:hyperlink r:id="rId230">
        <w:r>
          <w:rPr>
            <w:rFonts w:ascii="Arial" w:cs="Arial" w:eastAsia="Arial" w:hAnsi="Arial"/>
            <w:sz w:val="18"/>
            <w:szCs w:val="18"/>
            <w:u w:val="single" w:color="auto"/>
            <w:color w:val="0000FF"/>
          </w:rPr>
          <w:t>Form of Deferred Stock Unit Award under the Aramark 2013 Stock Incentive Plan (incorporated by reference to Exhibit 10.73 to</w:t>
        </w:r>
      </w:hyperlink>
      <w:r>
        <w:rPr>
          <w:rFonts w:ascii="Arial" w:cs="Arial" w:eastAsia="Arial" w:hAnsi="Arial"/>
          <w:sz w:val="18"/>
          <w:szCs w:val="18"/>
          <w:u w:val="single" w:color="auto"/>
          <w:color w:val="0000FF"/>
        </w:rPr>
        <w:t xml:space="preserve"> </w:t>
      </w:r>
      <w:hyperlink r:id="rId230">
        <w:r>
          <w:rPr>
            <w:rFonts w:ascii="Arial" w:cs="Arial" w:eastAsia="Arial" w:hAnsi="Arial"/>
            <w:sz w:val="18"/>
            <w:szCs w:val="18"/>
            <w:u w:val="single" w:color="auto"/>
            <w:color w:val="0000FF"/>
          </w:rPr>
          <w:t>Aramark’s Form S-1/A filed with the SEC on November 19, 2013 (file number 333-191057)).</w:t>
        </w:r>
      </w:hyperlink>
    </w:p>
    <w:p>
      <w:pPr>
        <w:spacing w:after="0" w:line="1" w:lineRule="exact"/>
        <w:rPr>
          <w:rFonts w:ascii="Arial" w:cs="Arial" w:eastAsia="Arial" w:hAnsi="Arial"/>
          <w:sz w:val="18"/>
          <w:szCs w:val="18"/>
          <w:u w:val="single" w:color="auto"/>
          <w:color w:val="0000FF"/>
        </w:rPr>
      </w:pPr>
    </w:p>
    <w:p>
      <w:pPr>
        <w:jc w:val="both"/>
        <w:ind w:left="1280" w:right="220" w:hanging="637"/>
        <w:spacing w:after="0" w:line="224" w:lineRule="auto"/>
        <w:tabs>
          <w:tab w:leader="none" w:pos="1260" w:val="left"/>
        </w:tabs>
        <w:rPr>
          <w:rFonts w:ascii="Arial" w:cs="Arial" w:eastAsia="Arial" w:hAnsi="Arial"/>
          <w:sz w:val="18"/>
          <w:szCs w:val="18"/>
          <w:u w:val="single" w:color="auto"/>
          <w:color w:val="0000FF"/>
        </w:rPr>
      </w:pPr>
      <w:hyperlink r:id="rId231">
        <w:r>
          <w:rPr>
            <w:rFonts w:ascii="Arial" w:cs="Arial" w:eastAsia="Arial" w:hAnsi="Arial"/>
            <w:sz w:val="18"/>
            <w:szCs w:val="18"/>
            <w:u w:val="single" w:color="auto"/>
            <w:color w:val="0000FF"/>
          </w:rPr>
          <w:t>10.86†</w:t>
        </w:r>
      </w:hyperlink>
      <w:r>
        <w:rPr>
          <w:rFonts w:ascii="Arial" w:cs="Arial" w:eastAsia="Arial" w:hAnsi="Arial"/>
          <w:sz w:val="18"/>
          <w:szCs w:val="18"/>
          <w:u w:val="single" w:color="auto"/>
          <w:color w:val="0000FF"/>
        </w:rPr>
        <w:tab/>
      </w:r>
      <w:hyperlink r:id="rId232">
        <w:r>
          <w:rPr>
            <w:rFonts w:ascii="Arial" w:cs="Arial" w:eastAsia="Arial" w:hAnsi="Arial"/>
            <w:sz w:val="18"/>
            <w:szCs w:val="18"/>
            <w:u w:val="single" w:color="auto"/>
            <w:color w:val="0000FF"/>
          </w:rPr>
          <w:t>Form of Deferred Stock Unit Award Agreement under the Aramark 2013 Stock Incentive Plan (Revised) (incorporated by reference to</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Exhibit 10.77 to Aramark’s Annual Report on Form 10-K filed with the SEC on December 3, 2014, pursuant to the Exchange Act (file</w:t>
        </w:r>
      </w:hyperlink>
      <w:r>
        <w:rPr>
          <w:rFonts w:ascii="Arial" w:cs="Arial" w:eastAsia="Arial" w:hAnsi="Arial"/>
          <w:sz w:val="18"/>
          <w:szCs w:val="18"/>
          <w:u w:val="single" w:color="auto"/>
          <w:color w:val="0000FF"/>
        </w:rPr>
        <w:t xml:space="preserve"> </w:t>
      </w:r>
      <w:hyperlink r:id="rId232">
        <w:r>
          <w:rPr>
            <w:rFonts w:ascii="Arial" w:cs="Arial" w:eastAsia="Arial" w:hAnsi="Arial"/>
            <w:sz w:val="18"/>
            <w:szCs w:val="18"/>
            <w:u w:val="single" w:color="auto"/>
            <w:color w:val="0000FF"/>
          </w:rPr>
          <w:t>number 001-36223)).</w:t>
        </w:r>
      </w:hyperlink>
    </w:p>
    <w:p>
      <w:pPr>
        <w:spacing w:after="0" w:line="1" w:lineRule="exact"/>
        <w:rPr>
          <w:rFonts w:ascii="Arial" w:cs="Arial" w:eastAsia="Arial" w:hAnsi="Arial"/>
          <w:sz w:val="18"/>
          <w:szCs w:val="18"/>
          <w:u w:val="single" w:color="auto"/>
          <w:color w:val="0000FF"/>
        </w:rPr>
      </w:pPr>
    </w:p>
    <w:p>
      <w:pPr>
        <w:ind w:left="1280" w:right="20" w:hanging="637"/>
        <w:spacing w:after="0" w:line="264" w:lineRule="auto"/>
        <w:tabs>
          <w:tab w:leader="none" w:pos="1260" w:val="left"/>
        </w:tabs>
        <w:rPr>
          <w:rFonts w:ascii="Arial" w:cs="Arial" w:eastAsia="Arial" w:hAnsi="Arial"/>
          <w:sz w:val="16"/>
          <w:szCs w:val="16"/>
          <w:u w:val="single" w:color="auto"/>
          <w:color w:val="0000FF"/>
        </w:rPr>
      </w:pPr>
      <w:hyperlink r:id="rId233">
        <w:r>
          <w:rPr>
            <w:rFonts w:ascii="Arial" w:cs="Arial" w:eastAsia="Arial" w:hAnsi="Arial"/>
            <w:sz w:val="18"/>
            <w:szCs w:val="18"/>
            <w:u w:val="single" w:color="auto"/>
            <w:color w:val="0000FF"/>
          </w:rPr>
          <w:t>10.87†</w:t>
        </w:r>
      </w:hyperlink>
      <w:r>
        <w:rPr>
          <w:rFonts w:ascii="Arial" w:cs="Arial" w:eastAsia="Arial" w:hAnsi="Arial"/>
          <w:sz w:val="18"/>
          <w:szCs w:val="18"/>
          <w:u w:val="single" w:color="auto"/>
          <w:color w:val="0000FF"/>
        </w:rPr>
        <w:tab/>
      </w:r>
      <w:hyperlink r:id="rId233">
        <w:r>
          <w:rPr>
            <w:rFonts w:ascii="Arial" w:cs="Arial" w:eastAsia="Arial" w:hAnsi="Arial"/>
            <w:sz w:val="16"/>
            <w:szCs w:val="16"/>
            <w:u w:val="single" w:color="auto"/>
            <w:color w:val="0000FF"/>
          </w:rPr>
          <w:t>Form of Deferred Stock Unit Agreement under the Aramark 2013 Stock Incentive Plan (incorporated by reference to Exhibit 10.4 to</w:t>
        </w:r>
      </w:hyperlink>
      <w:r>
        <w:rPr>
          <w:rFonts w:ascii="Arial" w:cs="Arial" w:eastAsia="Arial" w:hAnsi="Arial"/>
          <w:sz w:val="16"/>
          <w:szCs w:val="16"/>
          <w:u w:val="single" w:color="auto"/>
          <w:color w:val="0000FF"/>
        </w:rPr>
        <w:t xml:space="preserve"> </w:t>
      </w:r>
      <w:hyperlink r:id="rId233">
        <w:r>
          <w:rPr>
            <w:rFonts w:ascii="Arial" w:cs="Arial" w:eastAsia="Arial" w:hAnsi="Arial"/>
            <w:sz w:val="16"/>
            <w:szCs w:val="16"/>
            <w:u w:val="single" w:color="auto"/>
            <w:color w:val="0000FF"/>
          </w:rPr>
          <w:t>Aramark’s Quarterly Report on Form 10-Q filed with the SEC on May 13, 2015, pursuant to the Exchange Act (file number 001-36223)).</w:t>
        </w:r>
      </w:hyperlink>
    </w:p>
    <w:p>
      <w:pPr>
        <w:ind w:left="1280" w:right="220" w:hanging="637"/>
        <w:spacing w:after="0" w:line="234" w:lineRule="auto"/>
        <w:tabs>
          <w:tab w:leader="none" w:pos="1260" w:val="left"/>
        </w:tabs>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10.88†</w:t>
        </w:r>
      </w:hyperlink>
      <w:r>
        <w:rPr>
          <w:rFonts w:ascii="Arial" w:cs="Arial" w:eastAsia="Arial" w:hAnsi="Arial"/>
          <w:sz w:val="18"/>
          <w:szCs w:val="18"/>
          <w:u w:val="single" w:color="auto"/>
          <w:color w:val="0000FF"/>
        </w:rPr>
        <w:tab/>
      </w:r>
      <w:hyperlink r:id="rId234">
        <w:r>
          <w:rPr>
            <w:rFonts w:ascii="Arial" w:cs="Arial" w:eastAsia="Arial" w:hAnsi="Arial"/>
            <w:sz w:val="18"/>
            <w:szCs w:val="18"/>
            <w:u w:val="single" w:color="auto"/>
            <w:color w:val="0000FF"/>
          </w:rPr>
          <w:t>Form of Aircraft Timesharing Agreement (incorporated by reference to Exhibit 10.69 to Aramark’s Annual Report on Form 10-K filed</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with the SEC on December 1, 2015, pursuant to the Exchange Act (file number 001-36223)).</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2"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S-60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9" w:right="37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60" w:type="dxa"/>
            <w:vAlign w:val="bottom"/>
            <w:gridSpan w:val="2"/>
          </w:tcPr>
          <w:p>
            <w:pPr>
              <w:jc w:val="right"/>
              <w:spacing w:after="0"/>
              <w:rPr>
                <w:rFonts w:ascii="Arial" w:cs="Arial" w:eastAsia="Arial" w:hAnsi="Arial"/>
                <w:sz w:val="18"/>
                <w:szCs w:val="18"/>
                <w:color w:val="0000FF"/>
              </w:rPr>
            </w:pPr>
            <w:hyperlink r:id="rId236">
              <w:r>
                <w:rPr>
                  <w:rFonts w:ascii="Arial" w:cs="Arial" w:eastAsia="Arial" w:hAnsi="Arial"/>
                  <w:sz w:val="18"/>
                  <w:szCs w:val="18"/>
                  <w:color w:val="0000FF"/>
                </w:rPr>
                <w:t>10.</w:t>
              </w:r>
              <w:r>
                <w:rPr>
                  <w:rFonts w:ascii="Arial" w:cs="Arial" w:eastAsia="Arial" w:hAnsi="Arial"/>
                  <w:sz w:val="18"/>
                  <w:szCs w:val="18"/>
                  <w:u w:val="single" w:color="auto"/>
                  <w:color w:val="0000FF"/>
                </w:rPr>
                <w:t>89</w:t>
              </w:r>
            </w:hyperlink>
          </w:p>
        </w:tc>
        <w:tc>
          <w:tcPr>
            <w:tcW w:w="140" w:type="dxa"/>
            <w:vAlign w:val="bottom"/>
          </w:tcPr>
          <w:p>
            <w:pPr>
              <w:spacing w:after="0"/>
              <w:rPr>
                <w:sz w:val="17"/>
                <w:szCs w:val="17"/>
                <w:color w:val="auto"/>
              </w:rPr>
            </w:pPr>
          </w:p>
        </w:tc>
        <w:tc>
          <w:tcPr>
            <w:tcW w:w="9960" w:type="dxa"/>
            <w:vAlign w:val="bottom"/>
            <w:gridSpan w:val="20"/>
          </w:tcPr>
          <w:p>
            <w:pPr>
              <w:spacing w:after="0"/>
              <w:rPr>
                <w:rFonts w:ascii="Arial" w:cs="Arial" w:eastAsia="Arial" w:hAnsi="Arial"/>
                <w:sz w:val="18"/>
                <w:szCs w:val="18"/>
                <w:color w:val="0000FF"/>
                <w:w w:val="95"/>
              </w:rPr>
            </w:pPr>
            <w:hyperlink r:id="rId236">
              <w:r>
                <w:rPr>
                  <w:rFonts w:ascii="Arial" w:cs="Arial" w:eastAsia="Arial" w:hAnsi="Arial"/>
                  <w:sz w:val="18"/>
                  <w:szCs w:val="18"/>
                  <w:color w:val="0000FF"/>
                  <w:w w:val="95"/>
                </w:rPr>
                <w:t>Stewardship Framework Agreement by and between Aramark and MR BridgeStone Advisor LLC, on behalf of itself and its affiliated</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2"/>
          </w:tcPr>
          <w:p>
            <w:pPr>
              <w:spacing w:after="0" w:line="156" w:lineRule="exact"/>
              <w:rPr>
                <w:rFonts w:ascii="Arial" w:cs="Arial" w:eastAsia="Arial" w:hAnsi="Arial"/>
                <w:sz w:val="18"/>
                <w:szCs w:val="18"/>
                <w:color w:val="0000FF"/>
                <w:w w:val="90"/>
              </w:rPr>
            </w:pPr>
            <w:hyperlink r:id="rId236">
              <w:r>
                <w:rPr>
                  <w:rFonts w:ascii="Arial" w:cs="Arial" w:eastAsia="Arial" w:hAnsi="Arial"/>
                  <w:sz w:val="18"/>
                  <w:szCs w:val="18"/>
                  <w:color w:val="0000FF"/>
                  <w:w w:val="90"/>
                </w:rPr>
                <w:t>funds, dated October 6, 2019. (incorporated by reference to Exhibit 10.1 to Aramark’s Current Report on Form 8-K filed with the SEC</w:t>
              </w:r>
            </w:hyperlink>
          </w:p>
        </w:tc>
        <w:tc>
          <w:tcPr>
            <w:tcW w:w="40" w:type="dxa"/>
            <w:vAlign w:val="bottom"/>
          </w:tcPr>
          <w:p>
            <w:pPr>
              <w:spacing w:after="0"/>
              <w:rPr>
                <w:sz w:val="13"/>
                <w:szCs w:val="13"/>
                <w:color w:val="auto"/>
              </w:rPr>
            </w:pPr>
          </w:p>
        </w:tc>
        <w:tc>
          <w:tcPr>
            <w:tcW w:w="300" w:type="dxa"/>
            <w:vAlign w:val="bottom"/>
            <w:gridSpan w:val="6"/>
          </w:tcPr>
          <w:p>
            <w:pPr>
              <w:jc w:val="right"/>
              <w:ind w:right="40"/>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on</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36">
              <w:r>
                <w:rPr>
                  <w:rFonts w:ascii="Arial" w:cs="Arial" w:eastAsia="Arial" w:hAnsi="Arial"/>
                  <w:sz w:val="18"/>
                  <w:szCs w:val="18"/>
                  <w:color w:val="0000FF"/>
                  <w:w w:val="90"/>
                </w:rPr>
                <w:t>October 7, 2019, pursuant to the Exchange Act (file number 001-36223)).</w:t>
              </w:r>
            </w:hyperlink>
          </w:p>
        </w:tc>
        <w:tc>
          <w:tcPr>
            <w:tcW w:w="46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60" w:type="dxa"/>
            <w:vAlign w:val="bottom"/>
            <w:gridSpan w:val="2"/>
          </w:tcPr>
          <w:p>
            <w:pPr>
              <w:jc w:val="right"/>
              <w:spacing w:after="0"/>
              <w:rPr>
                <w:rFonts w:ascii="Arial" w:cs="Arial" w:eastAsia="Arial" w:hAnsi="Arial"/>
                <w:sz w:val="18"/>
                <w:szCs w:val="18"/>
                <w:color w:val="0000FF"/>
              </w:rPr>
            </w:pPr>
            <w:hyperlink r:id="rId237">
              <w:r>
                <w:rPr>
                  <w:rFonts w:ascii="Arial" w:cs="Arial" w:eastAsia="Arial" w:hAnsi="Arial"/>
                  <w:sz w:val="18"/>
                  <w:szCs w:val="18"/>
                  <w:color w:val="0000FF"/>
                </w:rPr>
                <w:t>10.</w:t>
              </w:r>
              <w:r>
                <w:rPr>
                  <w:rFonts w:ascii="Arial" w:cs="Arial" w:eastAsia="Arial" w:hAnsi="Arial"/>
                  <w:sz w:val="18"/>
                  <w:szCs w:val="18"/>
                  <w:u w:val="single" w:color="auto"/>
                  <w:color w:val="0000FF"/>
                </w:rPr>
                <w:t>90</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w w:val="95"/>
              </w:rPr>
            </w:pPr>
            <w:hyperlink r:id="rId237">
              <w:r>
                <w:rPr>
                  <w:rFonts w:ascii="Arial" w:cs="Arial" w:eastAsia="Arial" w:hAnsi="Arial"/>
                  <w:sz w:val="18"/>
                  <w:szCs w:val="18"/>
                  <w:color w:val="0000FF"/>
                  <w:w w:val="95"/>
                </w:rPr>
                <w:t>Letter Amendment to Stewardship Framework Agreement by and between Aramark and MR BridgeStone Advisor LLC, on behalf of</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237">
              <w:r>
                <w:rPr>
                  <w:rFonts w:ascii="Arial" w:cs="Arial" w:eastAsia="Arial" w:hAnsi="Arial"/>
                  <w:sz w:val="18"/>
                  <w:szCs w:val="18"/>
                  <w:color w:val="0000FF"/>
                  <w:w w:val="92"/>
                </w:rPr>
                <w:t>itself and its affiliated funds, dated December 14, 2020 (incorporated by reference to Exhibit 10.3 to Aramark's Quarterly Report on</w:t>
              </w:r>
            </w:hyperlink>
          </w:p>
        </w:tc>
        <w:tc>
          <w:tcPr>
            <w:tcW w:w="360" w:type="dxa"/>
            <w:vAlign w:val="bottom"/>
            <w:gridSpan w:val="8"/>
          </w:tcPr>
          <w:p>
            <w:pPr>
              <w:jc w:val="right"/>
              <w:ind w:right="40"/>
              <w:spacing w:after="0" w:line="156" w:lineRule="exact"/>
              <w:rPr>
                <w:rFonts w:ascii="Arial" w:cs="Arial" w:eastAsia="Arial" w:hAnsi="Arial"/>
                <w:sz w:val="18"/>
                <w:szCs w:val="18"/>
                <w:color w:val="0000FF"/>
                <w:w w:val="71"/>
              </w:rPr>
            </w:pPr>
            <w:hyperlink r:id="rId237">
              <w:r>
                <w:rPr>
                  <w:rFonts w:ascii="Arial" w:cs="Arial" w:eastAsia="Arial" w:hAnsi="Arial"/>
                  <w:sz w:val="18"/>
                  <w:szCs w:val="18"/>
                  <w:color w:val="0000FF"/>
                  <w:w w:val="71"/>
                </w:rPr>
                <w:t>Form</w:t>
              </w:r>
            </w:hyperlink>
          </w:p>
        </w:tc>
        <w:tc>
          <w:tcPr>
            <w:tcW w:w="0" w:type="dxa"/>
            <w:vAlign w:val="bottom"/>
          </w:tcPr>
          <w:p>
            <w:pPr>
              <w:spacing w:after="0"/>
              <w:rPr>
                <w:sz w:val="1"/>
                <w:szCs w:val="1"/>
                <w:color w:val="auto"/>
              </w:rPr>
            </w:pPr>
          </w:p>
        </w:tc>
      </w:tr>
      <w:tr>
        <w:trPr>
          <w:trHeight w:val="155"/>
        </w:trPr>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37">
              <w:r>
                <w:rPr>
                  <w:rFonts w:ascii="Arial" w:cs="Arial" w:eastAsia="Arial" w:hAnsi="Arial"/>
                  <w:sz w:val="18"/>
                  <w:szCs w:val="18"/>
                  <w:color w:val="0000FF"/>
                </w:rPr>
                <w:t>10-Q filed with the SEC on February 9, 2021, pursuant to the Exchange Act (file number 001-36223)).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jc w:val="right"/>
              <w:spacing w:after="0"/>
              <w:rPr>
                <w:rFonts w:ascii="Arial" w:cs="Arial" w:eastAsia="Arial" w:hAnsi="Arial"/>
                <w:sz w:val="18"/>
                <w:szCs w:val="18"/>
                <w:color w:val="0000FF"/>
              </w:rPr>
            </w:pPr>
            <w:hyperlink r:id="rId238">
              <w:r>
                <w:rPr>
                  <w:rFonts w:ascii="Arial" w:cs="Arial" w:eastAsia="Arial" w:hAnsi="Arial"/>
                  <w:sz w:val="18"/>
                  <w:szCs w:val="18"/>
                  <w:color w:val="0000FF"/>
                </w:rPr>
                <w:t>10.</w:t>
              </w:r>
              <w:r>
                <w:rPr>
                  <w:rFonts w:ascii="Arial" w:cs="Arial" w:eastAsia="Arial" w:hAnsi="Arial"/>
                  <w:sz w:val="18"/>
                  <w:szCs w:val="18"/>
                  <w:u w:val="single" w:color="auto"/>
                  <w:color w:val="0000FF"/>
                </w:rPr>
                <w:t>91</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w w:val="93"/>
              </w:rPr>
            </w:pPr>
            <w:hyperlink r:id="rId238">
              <w:r>
                <w:rPr>
                  <w:rFonts w:ascii="Arial" w:cs="Arial" w:eastAsia="Arial" w:hAnsi="Arial"/>
                  <w:sz w:val="18"/>
                  <w:szCs w:val="18"/>
                  <w:color w:val="0000FF"/>
                  <w:w w:val="93"/>
                </w:rPr>
                <w:t>Registration Rights Agreement, dated as of December 14, 2020, by and between MR BridgeStone Advisor LLC, on behalf of itself and</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9940" w:type="dxa"/>
            <w:vAlign w:val="bottom"/>
            <w:gridSpan w:val="19"/>
          </w:tcPr>
          <w:p>
            <w:pPr>
              <w:spacing w:after="0" w:line="156" w:lineRule="exact"/>
              <w:rPr>
                <w:rFonts w:ascii="Arial" w:cs="Arial" w:eastAsia="Arial" w:hAnsi="Arial"/>
                <w:sz w:val="18"/>
                <w:szCs w:val="18"/>
                <w:color w:val="0000FF"/>
                <w:w w:val="92"/>
              </w:rPr>
            </w:pPr>
            <w:hyperlink r:id="rId238">
              <w:r>
                <w:rPr>
                  <w:rFonts w:ascii="Arial" w:cs="Arial" w:eastAsia="Arial" w:hAnsi="Arial"/>
                  <w:sz w:val="18"/>
                  <w:szCs w:val="18"/>
                  <w:color w:val="0000FF"/>
                  <w:w w:val="92"/>
                </w:rPr>
                <w:t>its affiliated funds, and Aramark (incorporated by reference to Exhibit 10.1 to Aramark’s Current Report on Form 8-K filed with the SEC</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38">
              <w:r>
                <w:rPr>
                  <w:rFonts w:ascii="Arial" w:cs="Arial" w:eastAsia="Arial" w:hAnsi="Arial"/>
                  <w:sz w:val="18"/>
                  <w:szCs w:val="18"/>
                  <w:color w:val="0000FF"/>
                </w:rPr>
                <w:t>on December 16, 2020, pursuant to the Exchange Act (file number 001-36223)).</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jc w:val="right"/>
              <w:spacing w:after="0"/>
              <w:rPr>
                <w:rFonts w:ascii="Arial" w:cs="Arial" w:eastAsia="Arial" w:hAnsi="Arial"/>
                <w:sz w:val="18"/>
                <w:szCs w:val="18"/>
                <w:color w:val="0000FF"/>
              </w:rPr>
            </w:pPr>
            <w:hyperlink r:id="rId239">
              <w:r>
                <w:rPr>
                  <w:rFonts w:ascii="Arial" w:cs="Arial" w:eastAsia="Arial" w:hAnsi="Arial"/>
                  <w:sz w:val="18"/>
                  <w:szCs w:val="18"/>
                  <w:color w:val="0000FF"/>
                </w:rPr>
                <w:t>10.</w:t>
              </w:r>
              <w:r>
                <w:rPr>
                  <w:rFonts w:ascii="Arial" w:cs="Arial" w:eastAsia="Arial" w:hAnsi="Arial"/>
                  <w:sz w:val="18"/>
                  <w:szCs w:val="18"/>
                  <w:u w:val="single" w:color="auto"/>
                  <w:color w:val="0000FF"/>
                </w:rPr>
                <w:t>92</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w w:val="93"/>
              </w:rPr>
            </w:pPr>
            <w:hyperlink r:id="rId239">
              <w:r>
                <w:rPr>
                  <w:rFonts w:ascii="Arial" w:cs="Arial" w:eastAsia="Arial" w:hAnsi="Arial"/>
                  <w:sz w:val="18"/>
                  <w:szCs w:val="18"/>
                  <w:color w:val="0000FF"/>
                  <w:w w:val="93"/>
                </w:rPr>
                <w:t>Aramark 2021 Employee Stock Purchase Plan (incorporated by reference to Appendix B to the Company's Proxy Statement filed with</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96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39">
              <w:r>
                <w:rPr>
                  <w:rFonts w:ascii="Arial" w:cs="Arial" w:eastAsia="Arial" w:hAnsi="Arial"/>
                  <w:sz w:val="18"/>
                  <w:szCs w:val="18"/>
                  <w:color w:val="0000FF"/>
                </w:rPr>
                <w:t>the SEC on December 23, 2020 (file number 001-36223)).</w:t>
              </w:r>
            </w:hyperlink>
          </w:p>
        </w:tc>
        <w:tc>
          <w:tcPr>
            <w:tcW w:w="1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jc w:val="right"/>
              <w:spacing w:after="0"/>
              <w:rPr>
                <w:rFonts w:ascii="Arial" w:cs="Arial" w:eastAsia="Arial" w:hAnsi="Arial"/>
                <w:sz w:val="18"/>
                <w:szCs w:val="18"/>
                <w:color w:val="0000FF"/>
              </w:rPr>
            </w:pPr>
            <w:hyperlink w:anchor="page124">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140" w:type="dxa"/>
            <w:vAlign w:val="bottom"/>
          </w:tcPr>
          <w:p>
            <w:pPr>
              <w:spacing w:after="0"/>
              <w:rPr>
                <w:sz w:val="18"/>
                <w:szCs w:val="18"/>
                <w:color w:val="auto"/>
              </w:rPr>
            </w:pPr>
          </w:p>
        </w:tc>
        <w:tc>
          <w:tcPr>
            <w:tcW w:w="4200" w:type="dxa"/>
            <w:vAlign w:val="bottom"/>
            <w:tcBorders>
              <w:top w:val="single" w:sz="8" w:color="0000FF"/>
            </w:tcBorders>
            <w:gridSpan w:val="4"/>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List of subsidiaries of Aramark.</w:t>
              </w:r>
            </w:hyperlink>
          </w:p>
        </w:tc>
        <w:tc>
          <w:tcPr>
            <w:tcW w:w="5760" w:type="dxa"/>
            <w:vAlign w:val="bottom"/>
            <w:gridSpan w:val="16"/>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jc w:val="right"/>
              <w:spacing w:after="0"/>
              <w:rPr>
                <w:rFonts w:ascii="Arial" w:cs="Arial" w:eastAsia="Arial" w:hAnsi="Arial"/>
                <w:sz w:val="18"/>
                <w:szCs w:val="18"/>
                <w:color w:val="0000FF"/>
              </w:rPr>
            </w:pPr>
            <w:hyperlink w:anchor="page131">
              <w:r>
                <w:rPr>
                  <w:rFonts w:ascii="Arial" w:cs="Arial" w:eastAsia="Arial" w:hAnsi="Arial"/>
                  <w:sz w:val="18"/>
                  <w:szCs w:val="18"/>
                  <w:color w:val="0000FF"/>
                </w:rPr>
                <w:t>23.</w:t>
              </w:r>
              <w:r>
                <w:rPr>
                  <w:rFonts w:ascii="Arial" w:cs="Arial" w:eastAsia="Arial" w:hAnsi="Arial"/>
                  <w:sz w:val="18"/>
                  <w:szCs w:val="18"/>
                  <w:u w:val="single" w:color="auto"/>
                  <w:color w:val="0000FF"/>
                </w:rPr>
                <w:t>1*</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Consent of Independent Registered Public Accounting Firm-KPMG LLP.</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jc w:val="right"/>
              <w:spacing w:after="0"/>
              <w:rPr>
                <w:rFonts w:ascii="Arial" w:cs="Arial" w:eastAsia="Arial" w:hAnsi="Arial"/>
                <w:sz w:val="18"/>
                <w:szCs w:val="18"/>
                <w:color w:val="0000FF"/>
              </w:rPr>
            </w:pPr>
            <w:hyperlink w:anchor="page132">
              <w:r>
                <w:rPr>
                  <w:rFonts w:ascii="Arial" w:cs="Arial" w:eastAsia="Arial" w:hAnsi="Arial"/>
                  <w:sz w:val="18"/>
                  <w:szCs w:val="18"/>
                  <w:color w:val="0000FF"/>
                </w:rPr>
                <w:t>23.</w:t>
              </w:r>
              <w:r>
                <w:rPr>
                  <w:rFonts w:ascii="Arial" w:cs="Arial" w:eastAsia="Arial" w:hAnsi="Arial"/>
                  <w:sz w:val="18"/>
                  <w:szCs w:val="18"/>
                  <w:u w:val="single" w:color="auto"/>
                  <w:color w:val="0000FF"/>
                </w:rPr>
                <w:t>2*</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Consent of Independent Registered Public Accounting Firm-Deloitte &amp; Touche LLP.</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000" w:type="dxa"/>
            <w:vAlign w:val="bottom"/>
            <w:gridSpan w:val="6"/>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jc w:val="right"/>
              <w:spacing w:after="0"/>
              <w:rPr>
                <w:rFonts w:ascii="Arial" w:cs="Arial" w:eastAsia="Arial" w:hAnsi="Arial"/>
                <w:sz w:val="18"/>
                <w:szCs w:val="18"/>
                <w:color w:val="0000FF"/>
              </w:rPr>
            </w:pPr>
            <w:hyperlink w:anchor="page133">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Certification of John J. Zillmer, Chief Executive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340" w:type="dxa"/>
            <w:vAlign w:val="bottom"/>
            <w:gridSpan w:val="8"/>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jc w:val="right"/>
              <w:spacing w:after="0"/>
              <w:rPr>
                <w:rFonts w:ascii="Arial" w:cs="Arial" w:eastAsia="Arial" w:hAnsi="Arial"/>
                <w:sz w:val="18"/>
                <w:szCs w:val="18"/>
                <w:color w:val="0000FF"/>
              </w:rPr>
            </w:pPr>
            <w:hyperlink w:anchor="page134">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rPr>
            </w:pPr>
            <w:hyperlink w:anchor="page134">
              <w:r>
                <w:rPr>
                  <w:rFonts w:ascii="Arial" w:cs="Arial" w:eastAsia="Arial" w:hAnsi="Arial"/>
                  <w:sz w:val="18"/>
                  <w:szCs w:val="18"/>
                  <w:color w:val="0000FF"/>
                </w:rPr>
                <w:t>Certification of Thomas G. Ondrof,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6580" w:type="dxa"/>
            <w:vAlign w:val="bottom"/>
            <w:gridSpan w:val="9"/>
            <w:shd w:val="clear" w:color="auto" w:fill="0000FF"/>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gridSpan w:val="2"/>
          </w:tcPr>
          <w:p>
            <w:pPr>
              <w:jc w:val="right"/>
              <w:spacing w:after="0"/>
              <w:rPr>
                <w:rFonts w:ascii="Arial" w:cs="Arial" w:eastAsia="Arial" w:hAnsi="Arial"/>
                <w:sz w:val="18"/>
                <w:szCs w:val="18"/>
                <w:color w:val="0000FF"/>
              </w:rPr>
            </w:pPr>
            <w:hyperlink w:anchor="page135">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40" w:type="dxa"/>
            <w:vAlign w:val="bottom"/>
          </w:tcPr>
          <w:p>
            <w:pPr>
              <w:spacing w:after="0"/>
              <w:rPr>
                <w:sz w:val="18"/>
                <w:szCs w:val="18"/>
                <w:color w:val="auto"/>
              </w:rPr>
            </w:pPr>
          </w:p>
        </w:tc>
        <w:tc>
          <w:tcPr>
            <w:tcW w:w="9960" w:type="dxa"/>
            <w:vAlign w:val="bottom"/>
            <w:gridSpan w:val="20"/>
          </w:tcPr>
          <w:p>
            <w:pPr>
              <w:spacing w:after="0"/>
              <w:rPr>
                <w:rFonts w:ascii="Arial" w:cs="Arial" w:eastAsia="Arial" w:hAnsi="Arial"/>
                <w:sz w:val="18"/>
                <w:szCs w:val="18"/>
                <w:color w:val="0000FF"/>
                <w:w w:val="93"/>
              </w:rPr>
            </w:pPr>
            <w:hyperlink w:anchor="page135">
              <w:r>
                <w:rPr>
                  <w:rFonts w:ascii="Arial" w:cs="Arial" w:eastAsia="Arial" w:hAnsi="Arial"/>
                  <w:sz w:val="18"/>
                  <w:szCs w:val="18"/>
                  <w:color w:val="0000FF"/>
                  <w:w w:val="93"/>
                </w:rPr>
                <w:t>Certification of John J. Zillmer, Chief Executive Officer, and Thomas G. Ondrof, Chief Financial Officer, pursuant to Section 906 of the</w:t>
              </w:r>
            </w:hyperlink>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w:anchor="page135">
              <w:r>
                <w:rPr>
                  <w:rFonts w:ascii="Arial" w:cs="Arial" w:eastAsia="Arial" w:hAnsi="Arial"/>
                  <w:sz w:val="18"/>
                  <w:szCs w:val="18"/>
                  <w:color w:val="0000FF"/>
                  <w:w w:val="90"/>
                </w:rPr>
                <w:t>Sarbanes-Oxley Act of 2002.</w:t>
              </w:r>
            </w:hyperlink>
          </w:p>
        </w:tc>
        <w:tc>
          <w:tcPr>
            <w:tcW w:w="7700" w:type="dxa"/>
            <w:vAlign w:val="bottom"/>
            <w:tcBorders>
              <w:top w:val="single" w:sz="8" w:color="0000FF"/>
            </w:tcBorders>
            <w:gridSpan w:val="14"/>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101.SCH*</w:t>
            </w:r>
          </w:p>
        </w:tc>
        <w:tc>
          <w:tcPr>
            <w:tcW w:w="996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101.CAL*</w:t>
            </w:r>
          </w:p>
        </w:tc>
        <w:tc>
          <w:tcPr>
            <w:tcW w:w="996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101.DEF*</w:t>
            </w:r>
          </w:p>
        </w:tc>
        <w:tc>
          <w:tcPr>
            <w:tcW w:w="996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101.LAB*</w:t>
            </w:r>
          </w:p>
        </w:tc>
        <w:tc>
          <w:tcPr>
            <w:tcW w:w="996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101.PRE*</w:t>
            </w:r>
          </w:p>
        </w:tc>
        <w:tc>
          <w:tcPr>
            <w:tcW w:w="996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960" w:type="dxa"/>
            <w:vAlign w:val="bottom"/>
            <w:gridSpan w:val="20"/>
          </w:tcPr>
          <w:p>
            <w:pPr>
              <w:spacing w:after="0"/>
              <w:rPr>
                <w:sz w:val="20"/>
                <w:szCs w:val="20"/>
                <w:color w:val="auto"/>
              </w:rPr>
            </w:pPr>
            <w:r>
              <w:rPr>
                <w:rFonts w:ascii="Arial" w:cs="Arial" w:eastAsia="Arial" w:hAnsi="Arial"/>
                <w:sz w:val="18"/>
                <w:szCs w:val="18"/>
                <w:color w:val="auto"/>
              </w:rPr>
              <w:t>Inline XBRL for the cover page of this Annual Report on Form 10-K; included in Exhibit 101 Inline XBRL document set.</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Identifies exhibits that consist of management contract or compensatory arrangement.</w:t>
      </w:r>
    </w:p>
    <w:p>
      <w:pPr>
        <w:spacing w:after="0" w:line="104" w:lineRule="exact"/>
        <w:rPr>
          <w:sz w:val="20"/>
          <w:szCs w:val="20"/>
          <w:color w:val="auto"/>
        </w:rPr>
      </w:pPr>
    </w:p>
    <w:p>
      <w:pPr>
        <w:ind w:left="500" w:right="20" w:hanging="492"/>
        <w:spacing w:after="0" w:line="282" w:lineRule="auto"/>
        <w:tabs>
          <w:tab w:leader="none" w:pos="392" w:val="left"/>
        </w:tabs>
        <w:numPr>
          <w:ilvl w:val="0"/>
          <w:numId w:val="73"/>
        </w:numPr>
        <w:rPr>
          <w:rFonts w:ascii="Arial" w:cs="Arial" w:eastAsia="Arial" w:hAnsi="Arial"/>
          <w:sz w:val="19"/>
          <w:szCs w:val="19"/>
          <w:color w:val="auto"/>
        </w:rPr>
      </w:pPr>
      <w:r>
        <w:rPr>
          <w:rFonts w:ascii="Arial" w:cs="Arial" w:eastAsia="Arial" w:hAnsi="Arial"/>
          <w:sz w:val="16"/>
          <w:szCs w:val="16"/>
          <w:color w:val="auto"/>
        </w:rPr>
        <w:t>These merger agreements are filed as exhibits to this Annual Report on Form 10-K to provide investors and security holders with information regarding their terms. They are not intended to provide any other factual or financial information about the Company, Avendra, AmeriPride or their respective subsidiaries and affiliates. The representations, warranties and covenants contained in each of the merger agreements were made only for purposes of that agreement and as of the date of such merger agreement or such other date as is specified in such merger agreement; were solely for the benefit of the parties to such merger agreement; have been qualified by confidential disclosures made for the purposes of allocating contractual risk between the parties to such merger agreement instead of establishing these matters as facts; and are subject to materiality qualifications contained in such merger agreement that may differ from what may be viewed as material by investors. Investors should not rely on the representations, warranties and covenants or any description thereof as characterizations of the actual state of facts or condition of the Company, Avendra, AmeriPride or any of their respective subsidiaries or affiliates. Moreover, information concerning the subject matter of the representations, warranties and covenants may change after the date of the merger agreements, which subsequent information may or may not be fully reflected in public disclosures by the Company. The merger agreements should not be read alone but should instead be read in conjunction with the other information that is or will be included in reports and other filings that the Company files with the Securities and Exchange Commission.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XBRL instance document does not appear in the interactive data file because the XBRL tags are embedded within the inline XBRL document.</w:t>
      </w:r>
    </w:p>
    <w:p>
      <w:pPr>
        <w:spacing w:after="0" w:line="7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200"/>
          </w:cols>
          <w:pgMar w:left="320" w:top="179" w:right="37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jc w:val="center"/>
        <w:spacing w:after="0"/>
        <w:rPr>
          <w:sz w:val="20"/>
          <w:szCs w:val="20"/>
          <w:color w:val="auto"/>
        </w:rPr>
      </w:pPr>
      <w:r>
        <w:rPr>
          <w:rFonts w:ascii="Arial" w:cs="Arial" w:eastAsia="Arial" w:hAnsi="Arial"/>
          <w:sz w:val="18"/>
          <w:szCs w:val="18"/>
          <w:b w:val="1"/>
          <w:bCs w:val="1"/>
          <w:color w:val="auto"/>
        </w:rPr>
        <w:t>MANAGEMENT INCENTIVE BONUS PLAN</w:t>
      </w:r>
    </w:p>
    <w:p>
      <w:pPr>
        <w:spacing w:after="0" w:line="192" w:lineRule="exact"/>
        <w:rPr>
          <w:sz w:val="20"/>
          <w:szCs w:val="20"/>
          <w:color w:val="auto"/>
        </w:rPr>
      </w:pPr>
    </w:p>
    <w:p>
      <w:pPr>
        <w:ind w:left="640" w:hanging="632"/>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80" w:lineRule="exact"/>
        <w:rPr>
          <w:rFonts w:ascii="Arial" w:cs="Arial" w:eastAsia="Arial" w:hAnsi="Arial"/>
          <w:sz w:val="18"/>
          <w:szCs w:val="18"/>
          <w:b w:val="1"/>
          <w:bCs w:val="1"/>
          <w:color w:val="auto"/>
        </w:rPr>
      </w:pPr>
    </w:p>
    <w:p>
      <w:pPr>
        <w:ind w:left="660" w:right="180"/>
        <w:spacing w:after="0" w:line="244" w:lineRule="auto"/>
        <w:rPr>
          <w:rFonts w:ascii="Arial" w:cs="Arial" w:eastAsia="Arial" w:hAnsi="Arial"/>
          <w:sz w:val="18"/>
          <w:szCs w:val="18"/>
          <w:b w:val="1"/>
          <w:bCs w:val="1"/>
          <w:color w:val="auto"/>
        </w:rPr>
      </w:pPr>
      <w:r>
        <w:rPr>
          <w:rFonts w:ascii="Arial" w:cs="Arial" w:eastAsia="Arial" w:hAnsi="Arial"/>
          <w:sz w:val="16"/>
          <w:szCs w:val="16"/>
          <w:color w:val="auto"/>
        </w:rPr>
        <w:t xml:space="preserve">This Management Incentive Bonus Plan (this “Plan”) provides an annual cash bonus award to each eligible employee for the achievement of explicit performance objectives. A bonus award under this Plan must include a </w:t>
      </w:r>
      <w:r>
        <w:rPr>
          <w:rFonts w:ascii="Arial" w:cs="Arial" w:eastAsia="Arial" w:hAnsi="Arial"/>
          <w:sz w:val="16"/>
          <w:szCs w:val="16"/>
          <w:u w:val="single" w:color="auto"/>
          <w:color w:val="auto"/>
        </w:rPr>
        <w:t>financial objective</w:t>
      </w:r>
      <w:r>
        <w:rPr>
          <w:rFonts w:ascii="Arial" w:cs="Arial" w:eastAsia="Arial" w:hAnsi="Arial"/>
          <w:sz w:val="16"/>
          <w:szCs w:val="16"/>
          <w:color w:val="auto"/>
        </w:rPr>
        <w:t xml:space="preserve"> generally representing 90-100% of the overall award (the “Financial Objective Target Bonus”), and may include an </w:t>
      </w:r>
      <w:r>
        <w:rPr>
          <w:rFonts w:ascii="Arial" w:cs="Arial" w:eastAsia="Arial" w:hAnsi="Arial"/>
          <w:sz w:val="16"/>
          <w:szCs w:val="16"/>
          <w:u w:val="single" w:color="auto"/>
          <w:color w:val="auto"/>
        </w:rPr>
        <w:t>individual objective</w:t>
      </w:r>
      <w:r>
        <w:rPr>
          <w:rFonts w:ascii="Arial" w:cs="Arial" w:eastAsia="Arial" w:hAnsi="Arial"/>
          <w:sz w:val="16"/>
          <w:szCs w:val="16"/>
          <w:color w:val="auto"/>
        </w:rPr>
        <w:t xml:space="preserve"> generally representing 10% of the overall award when used (the “Individual Objective Target Bonus”), subject to potential adjustment as described herein. The Administrator shall have flexibility to alter the percentage allocations described in the preceding sentence. Certain defined terms used in the Plan are set forth in Section XI below.</w:t>
      </w:r>
    </w:p>
    <w:p>
      <w:pPr>
        <w:spacing w:after="0" w:line="289"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80" w:lineRule="exact"/>
        <w:rPr>
          <w:rFonts w:ascii="Arial" w:cs="Arial" w:eastAsia="Arial" w:hAnsi="Arial"/>
          <w:sz w:val="18"/>
          <w:szCs w:val="18"/>
          <w:b w:val="1"/>
          <w:bCs w:val="1"/>
          <w:color w:val="auto"/>
        </w:rPr>
      </w:pPr>
    </w:p>
    <w:p>
      <w:pPr>
        <w:ind w:left="660" w:right="40"/>
        <w:spacing w:after="0" w:line="224" w:lineRule="auto"/>
        <w:rPr>
          <w:rFonts w:ascii="Arial" w:cs="Arial" w:eastAsia="Arial" w:hAnsi="Arial"/>
          <w:sz w:val="18"/>
          <w:szCs w:val="18"/>
          <w:b w:val="1"/>
          <w:bCs w:val="1"/>
          <w:color w:val="auto"/>
        </w:rPr>
      </w:pPr>
      <w:r>
        <w:rPr>
          <w:rFonts w:ascii="Arial" w:cs="Arial" w:eastAsia="Arial" w:hAnsi="Arial"/>
          <w:sz w:val="18"/>
          <w:szCs w:val="18"/>
          <w:color w:val="auto"/>
        </w:rPr>
        <w:t>The Chief Executive Officer, all executives in career bands 1 through 3 and any other Employee designated by the Administrator are eligible to participate in this Plan. Generally, an individual is eligible for a potential award under this Plan if they were employed for at least 6 months during the relevant fiscal year.</w:t>
      </w:r>
    </w:p>
    <w:p>
      <w:pPr>
        <w:spacing w:after="0" w:line="294"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Overall Structure</w:t>
      </w:r>
    </w:p>
    <w:p>
      <w:pPr>
        <w:spacing w:after="0" w:line="8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A Plan participant’s target bonus award will be based upon the “guideline” or percentage of base salary for each eligible participant.</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Unless otherwise determined by the Administrator, bonus awards will be determined by the attainment of the financial and individual performance measures established by the Administrator.</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Determination of Bonus Targets — Financial Objective</w:t>
      </w:r>
    </w:p>
    <w:p>
      <w:pPr>
        <w:spacing w:after="0" w:line="81"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For purposes of determining Financial Objective Target Bonuses, financial measures will be based on Performance Measures as determined by the Administrator.</w:t>
      </w:r>
    </w:p>
    <w:p>
      <w:pPr>
        <w:spacing w:after="0" w:line="185" w:lineRule="exact"/>
        <w:rPr>
          <w:sz w:val="20"/>
          <w:szCs w:val="20"/>
          <w:color w:val="auto"/>
        </w:rPr>
      </w:pPr>
    </w:p>
    <w:p>
      <w:pPr>
        <w:ind w:left="640" w:hanging="632"/>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Bonus Awards — Financial Objective</w:t>
      </w:r>
    </w:p>
    <w:p>
      <w:pPr>
        <w:spacing w:after="0" w:line="80" w:lineRule="exact"/>
        <w:rPr>
          <w:rFonts w:ascii="Arial" w:cs="Arial" w:eastAsia="Arial" w:hAnsi="Arial"/>
          <w:sz w:val="18"/>
          <w:szCs w:val="18"/>
          <w:b w:val="1"/>
          <w:bCs w:val="1"/>
          <w:color w:val="auto"/>
        </w:rPr>
      </w:pPr>
    </w:p>
    <w:p>
      <w:pPr>
        <w:ind w:left="660" w:right="40" w:hanging="328"/>
        <w:spacing w:after="0" w:line="225" w:lineRule="auto"/>
        <w:tabs>
          <w:tab w:leader="none" w:pos="659"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For all financial measures, bonus awards under the financial objective component of this Plan (the “Financial Objective Bonus Award”) vary as financial measure targets are over or under achieved. The minimum bonus award, generally equal to 25% of the Financial Objective Target Bonus, unless otherwise determined by the Administrator, is awarded provided a minimally acceptable "threshold" level of performance of financial measures is achieved (i.e., no bonus will be awarded for performance below the threshold for that metric.). Financial Objective Bonus Awards may increase from the minimum financial objective bonus award to the Financial Objective Target Bonus amount if financial measure targets are achieved </w:t>
      </w:r>
      <w:r>
        <w:rPr>
          <w:rFonts w:ascii="Arial" w:cs="Arial" w:eastAsia="Arial" w:hAnsi="Arial"/>
          <w:sz w:val="17"/>
          <w:szCs w:val="17"/>
          <w:u w:val="single" w:color="auto"/>
          <w:color w:val="auto"/>
        </w:rPr>
        <w:t>fully</w:t>
      </w:r>
      <w:r>
        <w:rPr>
          <w:rFonts w:ascii="Arial" w:cs="Arial" w:eastAsia="Arial" w:hAnsi="Arial"/>
          <w:sz w:val="17"/>
          <w:szCs w:val="17"/>
          <w:color w:val="auto"/>
        </w:rPr>
        <w:t xml:space="preserve"> and may increase up to a maximum ("ceiling") of 150% to 200% of the Financial Objective Bonus Target, as determined by the Administrator, if performance increasingly exceeds the target levels.</w:t>
      </w:r>
    </w:p>
    <w:p>
      <w:pPr>
        <w:spacing w:after="0" w:line="53" w:lineRule="exact"/>
        <w:rPr>
          <w:rFonts w:ascii="Arial" w:cs="Arial" w:eastAsia="Arial" w:hAnsi="Arial"/>
          <w:sz w:val="17"/>
          <w:szCs w:val="17"/>
          <w:color w:val="auto"/>
        </w:rPr>
      </w:pPr>
    </w:p>
    <w:p>
      <w:pPr>
        <w:ind w:left="660" w:right="520" w:hanging="328"/>
        <w:spacing w:after="0" w:line="235" w:lineRule="auto"/>
        <w:tabs>
          <w:tab w:leader="none" w:pos="649" w:val="left"/>
        </w:tabs>
        <w:numPr>
          <w:ilvl w:val="1"/>
          <w:numId w:val="77"/>
        </w:numPr>
        <w:rPr>
          <w:rFonts w:ascii="Arial" w:cs="Arial" w:eastAsia="Arial" w:hAnsi="Arial"/>
          <w:sz w:val="18"/>
          <w:szCs w:val="18"/>
          <w:color w:val="auto"/>
        </w:rPr>
      </w:pPr>
      <w:r>
        <w:rPr>
          <w:rFonts w:ascii="Arial" w:cs="Arial" w:eastAsia="Arial" w:hAnsi="Arial"/>
          <w:sz w:val="18"/>
          <w:szCs w:val="18"/>
          <w:color w:val="auto"/>
        </w:rPr>
        <w:t>Financial Objective Bonus Awards for performance between threshold and ceiling will be computed by interpolating between either: (1) the threshold and target awards, or (2) the target and ceiling awards, as appropriate.</w:t>
      </w:r>
    </w:p>
    <w:p>
      <w:pPr>
        <w:spacing w:after="0" w:line="53" w:lineRule="exact"/>
        <w:rPr>
          <w:rFonts w:ascii="Arial" w:cs="Arial" w:eastAsia="Arial" w:hAnsi="Arial"/>
          <w:sz w:val="18"/>
          <w:szCs w:val="18"/>
          <w:color w:val="auto"/>
        </w:rPr>
      </w:pPr>
    </w:p>
    <w:p>
      <w:pPr>
        <w:ind w:left="660" w:right="120" w:hanging="328"/>
        <w:spacing w:after="0" w:line="258" w:lineRule="auto"/>
        <w:tabs>
          <w:tab w:leader="none" w:pos="649"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levels for threshold and maximum Financial Objective Bonus Awards (referred to as the "leverage curve"), may vary among organizations as determined by the Administrator, reflecting financial volatility resulting from the magnitude of the unit's business plan.</w:t>
      </w:r>
    </w:p>
    <w:p>
      <w:pPr>
        <w:spacing w:after="0" w:line="27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Determination of Individual Objective and Related Bonus Awards</w:t>
      </w:r>
    </w:p>
    <w:p>
      <w:pPr>
        <w:spacing w:after="0" w:line="81" w:lineRule="exact"/>
        <w:rPr>
          <w:sz w:val="20"/>
          <w:szCs w:val="20"/>
          <w:color w:val="auto"/>
        </w:rPr>
      </w:pPr>
    </w:p>
    <w:p>
      <w:pPr>
        <w:ind w:left="660" w:right="40" w:hanging="328"/>
        <w:spacing w:after="0" w:line="244" w:lineRule="auto"/>
        <w:tabs>
          <w:tab w:leader="none" w:pos="6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Generally, individual measures will be established for each participant whose bonus includes an Individual Objective Target Bonus at the start of the fiscal year. The individual measures will not duplicate the measures of annual financial performance addressed under the financial objective of this Plan. Rather, they will address those concerns which most contribute to the business gaining a sustainable competitive advantage. Attainment of these individual measures is measured for and during the fiscal year for which they are set. Unplanned objectives that emerge during the fiscal year and which take priority over the planned objectives may be added (or substituted) as appropriate.</w:t>
      </w:r>
    </w:p>
    <w:p>
      <w:pPr>
        <w:spacing w:after="0" w:line="50" w:lineRule="exact"/>
        <w:rPr>
          <w:rFonts w:ascii="Arial" w:cs="Arial" w:eastAsia="Arial" w:hAnsi="Arial"/>
          <w:sz w:val="16"/>
          <w:szCs w:val="16"/>
          <w:color w:val="auto"/>
        </w:rPr>
      </w:pPr>
    </w:p>
    <w:p>
      <w:pPr>
        <w:ind w:left="660" w:right="120" w:hanging="328"/>
        <w:spacing w:after="0" w:line="219" w:lineRule="auto"/>
        <w:tabs>
          <w:tab w:leader="none" w:pos="6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Bonus awards under the individual objective component of this Plan (the “Individual Objective Bonus Award”) will be awarded at target if performance </w:t>
      </w:r>
      <w:r>
        <w:rPr>
          <w:rFonts w:ascii="Arial" w:cs="Arial" w:eastAsia="Arial" w:hAnsi="Arial"/>
          <w:sz w:val="18"/>
          <w:szCs w:val="18"/>
          <w:u w:val="single" w:color="auto"/>
          <w:color w:val="auto"/>
        </w:rPr>
        <w:t>fully</w:t>
      </w:r>
      <w:r>
        <w:rPr>
          <w:rFonts w:ascii="Arial" w:cs="Arial" w:eastAsia="Arial" w:hAnsi="Arial"/>
          <w:sz w:val="18"/>
          <w:szCs w:val="18"/>
          <w:color w:val="auto"/>
        </w:rPr>
        <w:t xml:space="preserve"> meets the target individual measures defined in the individual objective. If performance differs from these target measures, the Individual Objective Bonus Award will vary proportionally with performance, from 0% to a ceiling of 150% to 200% of the Individual Objective Target Bonus, as determined by the Administrator.</w:t>
      </w:r>
    </w:p>
    <w:p>
      <w:pPr>
        <w:sectPr>
          <w:pgSz w:w="11900" w:h="16838" w:orient="portrait"/>
          <w:cols w:equalWidth="0" w:num="1">
            <w:col w:w="11240"/>
          </w:cols>
          <w:pgMar w:left="320" w:top="108"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Total Plan Bonus Award.</w:t>
      </w:r>
    </w:p>
    <w:p>
      <w:pPr>
        <w:spacing w:after="0" w:line="81" w:lineRule="exact"/>
        <w:rPr>
          <w:sz w:val="20"/>
          <w:szCs w:val="20"/>
          <w:color w:val="auto"/>
        </w:rPr>
      </w:pPr>
    </w:p>
    <w:p>
      <w:pPr>
        <w:ind w:left="660" w:right="40"/>
        <w:spacing w:after="0" w:line="216" w:lineRule="auto"/>
        <w:rPr>
          <w:sz w:val="20"/>
          <w:szCs w:val="20"/>
          <w:color w:val="auto"/>
        </w:rPr>
      </w:pPr>
      <w:r>
        <w:rPr>
          <w:rFonts w:ascii="Arial" w:cs="Arial" w:eastAsia="Arial" w:hAnsi="Arial"/>
          <w:sz w:val="18"/>
          <w:szCs w:val="18"/>
          <w:color w:val="auto"/>
        </w:rPr>
        <w:t>The total Plan bonus award to be paid to each Plan participant (the “Final Bonus Award”) will generally be equal to the sum of the Financial Objective Bonus Award and, if applicable, the Individual Objective Bonus Award. Notwithstanding the foregoing, the Administrator shall be authorized to exercise “negative discretion” to reduce the Final Bonus Award amount that would otherwise be payable to any Plan participant, taking into account such factors relating to Aramark’s and the participant’s performance during the relevant fiscal year as the Administrator deems appropriate in the Administrator’s sole discretion.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VIII.</w:t>
        <w:tab/>
        <w:t>Payment of Bonus Awards</w:t>
      </w:r>
    </w:p>
    <w:p>
      <w:pPr>
        <w:spacing w:after="0" w:line="81" w:lineRule="exact"/>
        <w:rPr>
          <w:sz w:val="20"/>
          <w:szCs w:val="20"/>
          <w:color w:val="auto"/>
        </w:rPr>
      </w:pPr>
    </w:p>
    <w:p>
      <w:pPr>
        <w:jc w:val="both"/>
        <w:ind w:left="660" w:right="120" w:hanging="328"/>
        <w:spacing w:after="0" w:line="224" w:lineRule="auto"/>
        <w:tabs>
          <w:tab w:leader="none" w:pos="6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Final Bonus Awards are paid (minus appropriate tax withholdings), and after taking into account any adjustments pursuant to the Plan, as soon as practicable after receipt of the audited fiscal year-end financial reports, but in no event more than 2.5 months after the end of the calendar year in which it was earned.</w:t>
      </w:r>
    </w:p>
    <w:p>
      <w:pPr>
        <w:spacing w:after="0" w:line="54" w:lineRule="exact"/>
        <w:rPr>
          <w:rFonts w:ascii="Arial" w:cs="Arial" w:eastAsia="Arial" w:hAnsi="Arial"/>
          <w:sz w:val="18"/>
          <w:szCs w:val="18"/>
          <w:color w:val="auto"/>
        </w:rPr>
      </w:pPr>
    </w:p>
    <w:p>
      <w:pPr>
        <w:ind w:left="640" w:hanging="308"/>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Except in cases of voluntary or involuntary termination (discussed in 2 below), the following provisions apply:</w:t>
      </w:r>
    </w:p>
    <w:p>
      <w:pPr>
        <w:spacing w:after="0" w:line="76" w:lineRule="exact"/>
        <w:rPr>
          <w:rFonts w:ascii="Arial" w:cs="Arial" w:eastAsia="Arial" w:hAnsi="Arial"/>
          <w:sz w:val="18"/>
          <w:szCs w:val="18"/>
          <w:color w:val="auto"/>
        </w:rPr>
      </w:pPr>
    </w:p>
    <w:p>
      <w:pPr>
        <w:ind w:left="980" w:right="180" w:hanging="324"/>
        <w:spacing w:after="0" w:line="224"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a participant has worked at least 6 months, but less than the entire relevant fiscal year and is still employed at the end of the bonus (fiscal) year, the participant will receive a pro-rata share of the Final Bonus Award (e.g., if the participant has worked for 9 months in the relevant fiscal year, 75% of the Final Bonus Award will be payable).</w:t>
      </w:r>
    </w:p>
    <w:p>
      <w:pPr>
        <w:spacing w:after="0" w:line="54" w:lineRule="exact"/>
        <w:rPr>
          <w:rFonts w:ascii="Arial" w:cs="Arial" w:eastAsia="Arial" w:hAnsi="Arial"/>
          <w:sz w:val="18"/>
          <w:szCs w:val="18"/>
          <w:color w:val="auto"/>
        </w:rPr>
      </w:pPr>
    </w:p>
    <w:p>
      <w:pPr>
        <w:ind w:left="980" w:right="260" w:hanging="324"/>
        <w:spacing w:after="0" w:line="289" w:lineRule="auto"/>
        <w:tabs>
          <w:tab w:leader="none" w:pos="98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the participant has served in two or more components or units covered by this plan, the Financial Objective Bonus Award and Individual Objective Bonus Award, if applicable, will be calculated on full year results for the portion of the year served in each component or unit.</w:t>
      </w:r>
    </w:p>
    <w:p>
      <w:pPr>
        <w:spacing w:after="0" w:line="15" w:lineRule="exact"/>
        <w:rPr>
          <w:rFonts w:ascii="Arial" w:cs="Arial" w:eastAsia="Arial" w:hAnsi="Arial"/>
          <w:sz w:val="16"/>
          <w:szCs w:val="16"/>
          <w:color w:val="auto"/>
        </w:rPr>
      </w:pPr>
    </w:p>
    <w:p>
      <w:pPr>
        <w:ind w:left="980" w:right="340" w:hanging="324"/>
        <w:spacing w:after="0" w:line="216" w:lineRule="auto"/>
        <w:tabs>
          <w:tab w:leader="none" w:pos="9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participant was promoted during the year and his or her guideline bonus amount changed, the Financial Objective Target Bonus and Individual Objective Target Bonus, if applicable, for such participant will be prorated. However, if the participant remains in the same position with essentially the same duties and responsibilities, and the participant's guideline amount changed during the fiscal year, the guideline amount at year end will be used in determining the Financial Objective Target Bonus and Individual Objective Target Bonus, if applicable, for the entire year.</w:t>
      </w:r>
    </w:p>
    <w:p>
      <w:pPr>
        <w:spacing w:after="0" w:line="54" w:lineRule="exact"/>
        <w:rPr>
          <w:rFonts w:ascii="Arial" w:cs="Arial" w:eastAsia="Arial" w:hAnsi="Arial"/>
          <w:sz w:val="18"/>
          <w:szCs w:val="18"/>
          <w:color w:val="auto"/>
        </w:rPr>
      </w:pPr>
    </w:p>
    <w:p>
      <w:pPr>
        <w:ind w:left="660" w:right="60" w:hanging="328"/>
        <w:spacing w:after="0" w:line="214" w:lineRule="auto"/>
        <w:tabs>
          <w:tab w:leader="none" w:pos="6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Final Bonus Award is payable to a participant whose employment terminates, voluntarily or involuntarily, prior to completion of the bonus (fiscal) year except in the event that the participant becomes permanently disabled, retires having reached the age of 60 with at least five years of service or dies while employed. Exceptions in certain cases of involuntary termination may be granted with prior approval of the Administrator. If a participant becomes permanently disabled, retires having reached the age of 60 with at least five years of service, or dies while employed, he or she will be entitled to receive a pro-rata share of his or her Final Bonus Award at the same time as Final Bonus Awards are otherwise payable to active employees.</w:t>
      </w:r>
    </w:p>
    <w:p>
      <w:pPr>
        <w:spacing w:after="0" w:line="53" w:lineRule="exact"/>
        <w:rPr>
          <w:rFonts w:ascii="Arial" w:cs="Arial" w:eastAsia="Arial" w:hAnsi="Arial"/>
          <w:sz w:val="18"/>
          <w:szCs w:val="18"/>
          <w:color w:val="auto"/>
        </w:rPr>
      </w:pPr>
    </w:p>
    <w:p>
      <w:pPr>
        <w:ind w:left="660" w:right="240" w:hanging="328"/>
        <w:spacing w:after="0" w:line="224" w:lineRule="auto"/>
        <w:tabs>
          <w:tab w:leader="none" w:pos="6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participant whose employment terminates after the close of the bonus year but before awards are paid will be eligible to receive the Financial Objective Bonus Award. Any Individual Objective Bonus Award in the case of such terminations may be payable at the discretion of the Administrator.</w:t>
      </w:r>
    </w:p>
    <w:p>
      <w:pPr>
        <w:spacing w:after="0" w:line="54" w:lineRule="exact"/>
        <w:rPr>
          <w:rFonts w:ascii="Arial" w:cs="Arial" w:eastAsia="Arial" w:hAnsi="Arial"/>
          <w:sz w:val="18"/>
          <w:szCs w:val="18"/>
          <w:color w:val="auto"/>
        </w:rPr>
      </w:pPr>
    </w:p>
    <w:p>
      <w:pPr>
        <w:ind w:left="660" w:right="260" w:hanging="328"/>
        <w:spacing w:after="0" w:line="224" w:lineRule="auto"/>
        <w:tabs>
          <w:tab w:leader="none" w:pos="65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no case, however, will a Final Bonus Award be made to an individual whose employment is terminated at any time for “cause," as defined in the plan participant’s Agreement Relating to Employment and Post Employment Competition or if the participant is not party to such an agreement, as defined in Aramark’s Amended and Restated Stock Incentive Plan.</w:t>
      </w:r>
    </w:p>
    <w:p>
      <w:pPr>
        <w:spacing w:after="0" w:line="2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18"/>
          <w:szCs w:val="18"/>
          <w:b w:val="1"/>
          <w:bCs w:val="1"/>
          <w:color w:val="auto"/>
        </w:rPr>
        <w:t>Deferral</w:t>
      </w:r>
    </w:p>
    <w:p>
      <w:pPr>
        <w:spacing w:after="0" w:line="81"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Payment of all or part of a Financial Objective Bonus Award may be deferred in accordance with procedures established by Aramark and amended from time to time, in accordance with the applicable deferral provisions of Section 409A of the Internal Revenue Code (“Section 409A”).</w:t>
      </w:r>
    </w:p>
    <w:p>
      <w:pPr>
        <w:spacing w:after="0" w:line="255" w:lineRule="exact"/>
        <w:rPr>
          <w:sz w:val="20"/>
          <w:szCs w:val="20"/>
          <w:color w:val="auto"/>
        </w:rPr>
      </w:pPr>
    </w:p>
    <w:p>
      <w:pPr>
        <w:ind w:left="660" w:hanging="652"/>
        <w:spacing w:after="0"/>
        <w:tabs>
          <w:tab w:leader="none" w:pos="6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80" w:lineRule="exact"/>
        <w:rPr>
          <w:rFonts w:ascii="Arial" w:cs="Arial" w:eastAsia="Arial" w:hAnsi="Arial"/>
          <w:sz w:val="18"/>
          <w:szCs w:val="18"/>
          <w:b w:val="1"/>
          <w:bCs w:val="1"/>
          <w:color w:val="auto"/>
        </w:rPr>
      </w:pPr>
    </w:p>
    <w:p>
      <w:pPr>
        <w:ind w:left="660" w:right="180" w:hanging="328"/>
        <w:spacing w:after="0" w:line="224" w:lineRule="auto"/>
        <w:tabs>
          <w:tab w:leader="none" w:pos="659"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Plan is intended to be provide for compensation that is exempt from the requirements of Section 409A. The Administrator is the sole interpreter and arbiter of the provisions of this Plan and has the right to amend, withdraw, or revoke them before the beginning of any fiscal year or to grant specific exceptions with respect to participants.</w:t>
      </w:r>
    </w:p>
    <w:p>
      <w:pPr>
        <w:sectPr>
          <w:pgSz w:w="11900" w:h="16838" w:orient="portrait"/>
          <w:cols w:equalWidth="0" w:num="1">
            <w:col w:w="11240"/>
          </w:cols>
          <w:pgMar w:left="320" w:top="10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right="160" w:hanging="328"/>
        <w:spacing w:after="0" w:line="224" w:lineRule="auto"/>
        <w:tabs>
          <w:tab w:leader="none" w:pos="6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administering this Plan, the Administrator has the final authority to adjust financial performance standards or actual results for unusual non-recurring income, expense or balance sheet items (e.g., non-operating gains/losses, acquisitions, divestitures) so that comparisons between actual and planned performance are consistent.</w:t>
      </w:r>
    </w:p>
    <w:p>
      <w:pPr>
        <w:spacing w:after="0" w:line="54" w:lineRule="exact"/>
        <w:rPr>
          <w:rFonts w:ascii="Arial" w:cs="Arial" w:eastAsia="Arial" w:hAnsi="Arial"/>
          <w:sz w:val="18"/>
          <w:szCs w:val="18"/>
          <w:color w:val="auto"/>
        </w:rPr>
      </w:pPr>
    </w:p>
    <w:p>
      <w:pPr>
        <w:ind w:left="660" w:right="460" w:hanging="328"/>
        <w:spacing w:after="0" w:line="235" w:lineRule="auto"/>
        <w:tabs>
          <w:tab w:leader="none" w:pos="649" w:val="left"/>
        </w:tabs>
        <w:numPr>
          <w:ilvl w:val="0"/>
          <w:numId w:val="81"/>
        </w:numPr>
        <w:rPr>
          <w:rFonts w:ascii="Arial" w:cs="Arial" w:eastAsia="Arial" w:hAnsi="Arial"/>
          <w:sz w:val="18"/>
          <w:szCs w:val="18"/>
          <w:color w:val="auto"/>
        </w:rPr>
      </w:pPr>
      <w:r>
        <w:rPr>
          <w:rFonts w:ascii="Arial" w:cs="Arial" w:eastAsia="Arial" w:hAnsi="Arial"/>
          <w:sz w:val="18"/>
          <w:szCs w:val="18"/>
          <w:color w:val="auto"/>
        </w:rPr>
        <w:t>Objectives and formulas for all portions of this Plan must be approved by the Administrator. The Administrator must approve any unplanned objectives or other Performance Measures added during the year.</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Final Bonus Awards are reviewed and approved by the Administrator.</w:t>
      </w:r>
    </w:p>
    <w:p>
      <w:pPr>
        <w:spacing w:after="0" w:line="31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16"/>
          <w:szCs w:val="16"/>
          <w:b w:val="1"/>
          <w:bCs w:val="1"/>
          <w:color w:val="auto"/>
        </w:rPr>
        <w:t>Certain Defined Terms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Plan, the terms listed below have the following meanings:</w:t>
      </w:r>
    </w:p>
    <w:p>
      <w:pPr>
        <w:spacing w:after="0" w:line="316" w:lineRule="exact"/>
        <w:rPr>
          <w:sz w:val="20"/>
          <w:szCs w:val="20"/>
          <w:color w:val="auto"/>
        </w:rPr>
      </w:pPr>
    </w:p>
    <w:p>
      <w:pPr>
        <w:ind w:left="660" w:right="200" w:hanging="328"/>
        <w:spacing w:after="0" w:line="220" w:lineRule="auto"/>
        <w:tabs>
          <w:tab w:leader="none" w:pos="659"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(i) the Compensation Committee, with respect to actions under this Plan related to the Chief Executive Officer or his direct reports, (ii) the Chief Executive Officer, with respect to actions under this Plan related to Plan participants in career bands 2 and 3, or (iii) the Executive Vice President, Human Resources (or any equivalent successor position) with respect to actions under this Plan related to all other Plan Participants.</w:t>
      </w:r>
    </w:p>
    <w:p>
      <w:pPr>
        <w:spacing w:after="0" w:line="51" w:lineRule="exact"/>
        <w:rPr>
          <w:rFonts w:ascii="Arial" w:cs="Arial" w:eastAsia="Arial" w:hAnsi="Arial"/>
          <w:sz w:val="18"/>
          <w:szCs w:val="18"/>
          <w:color w:val="auto"/>
        </w:rPr>
      </w:pPr>
    </w:p>
    <w:p>
      <w:pPr>
        <w:ind w:left="660" w:right="100" w:hanging="328"/>
        <w:spacing w:after="0" w:line="234" w:lineRule="auto"/>
        <w:tabs>
          <w:tab w:leader="none" w:pos="649" w:val="left"/>
        </w:tabs>
        <w:numPr>
          <w:ilvl w:val="0"/>
          <w:numId w:val="8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Performance Measures</w:t>
      </w:r>
      <w:r>
        <w:rPr>
          <w:rFonts w:ascii="Arial" w:cs="Arial" w:eastAsia="Arial" w:hAnsi="Arial"/>
          <w:sz w:val="16"/>
          <w:szCs w:val="16"/>
          <w:color w:val="auto"/>
        </w:rPr>
        <w:t>” means the achievement of, one or more of the following measures or any similar or related measures approved by the Administrator (all capitalized terms not defined herein shall have the meanings contained in Aramark’s audited financial statements as such terms and definitions may be expressly modified and established by the Administrator with respect to the relevant performance period): (1) Earnings Before Interest and Taxes (“</w:t>
      </w:r>
      <w:r>
        <w:rPr>
          <w:rFonts w:ascii="Arial" w:cs="Arial" w:eastAsia="Arial" w:hAnsi="Arial"/>
          <w:sz w:val="16"/>
          <w:szCs w:val="16"/>
          <w:b w:val="1"/>
          <w:bCs w:val="1"/>
          <w:color w:val="auto"/>
        </w:rPr>
        <w:t>EBIT</w:t>
      </w:r>
      <w:r>
        <w:rPr>
          <w:rFonts w:ascii="Arial" w:cs="Arial" w:eastAsia="Arial" w:hAnsi="Arial"/>
          <w:sz w:val="16"/>
          <w:szCs w:val="16"/>
          <w:color w:val="auto"/>
        </w:rPr>
        <w:t>”), (2) Return on Net Assets (“</w:t>
      </w:r>
      <w:r>
        <w:rPr>
          <w:rFonts w:ascii="Arial" w:cs="Arial" w:eastAsia="Arial" w:hAnsi="Arial"/>
          <w:sz w:val="16"/>
          <w:szCs w:val="16"/>
          <w:b w:val="1"/>
          <w:bCs w:val="1"/>
          <w:color w:val="auto"/>
        </w:rPr>
        <w:t>RONA</w:t>
      </w:r>
      <w:r>
        <w:rPr>
          <w:rFonts w:ascii="Arial" w:cs="Arial" w:eastAsia="Arial" w:hAnsi="Arial"/>
          <w:sz w:val="16"/>
          <w:szCs w:val="16"/>
          <w:color w:val="auto"/>
        </w:rPr>
        <w:t>”), (3) Net Income, (4) After Tax Return on Investment (“</w:t>
      </w:r>
      <w:r>
        <w:rPr>
          <w:rFonts w:ascii="Arial" w:cs="Arial" w:eastAsia="Arial" w:hAnsi="Arial"/>
          <w:sz w:val="16"/>
          <w:szCs w:val="16"/>
          <w:b w:val="1"/>
          <w:bCs w:val="1"/>
          <w:color w:val="auto"/>
        </w:rPr>
        <w:t>ATROI</w:t>
      </w:r>
      <w:r>
        <w:rPr>
          <w:rFonts w:ascii="Arial" w:cs="Arial" w:eastAsia="Arial" w:hAnsi="Arial"/>
          <w:sz w:val="16"/>
          <w:szCs w:val="16"/>
          <w:color w:val="auto"/>
        </w:rPr>
        <w:t>”), (5) Sales, (6) Revenues, (7) Earnings Per Share, (8) Total Shareholder Return, (9) Return on Equity (“</w:t>
      </w:r>
      <w:r>
        <w:rPr>
          <w:rFonts w:ascii="Arial" w:cs="Arial" w:eastAsia="Arial" w:hAnsi="Arial"/>
          <w:sz w:val="16"/>
          <w:szCs w:val="16"/>
          <w:b w:val="1"/>
          <w:bCs w:val="1"/>
          <w:color w:val="auto"/>
        </w:rPr>
        <w:t>ROE</w:t>
      </w:r>
      <w:r>
        <w:rPr>
          <w:rFonts w:ascii="Arial" w:cs="Arial" w:eastAsia="Arial" w:hAnsi="Arial"/>
          <w:sz w:val="16"/>
          <w:szCs w:val="16"/>
          <w:color w:val="auto"/>
        </w:rPr>
        <w:t>”), (10) Return on Investment (“</w:t>
      </w:r>
      <w:r>
        <w:rPr>
          <w:rFonts w:ascii="Arial" w:cs="Arial" w:eastAsia="Arial" w:hAnsi="Arial"/>
          <w:sz w:val="16"/>
          <w:szCs w:val="16"/>
          <w:b w:val="1"/>
          <w:bCs w:val="1"/>
          <w:color w:val="auto"/>
        </w:rPr>
        <w:t>ROI</w:t>
      </w:r>
      <w:r>
        <w:rPr>
          <w:rFonts w:ascii="Arial" w:cs="Arial" w:eastAsia="Arial" w:hAnsi="Arial"/>
          <w:sz w:val="16"/>
          <w:szCs w:val="16"/>
          <w:color w:val="auto"/>
        </w:rPr>
        <w:t>”),</w:t>
      </w:r>
    </w:p>
    <w:p>
      <w:pPr>
        <w:ind w:left="1000" w:hanging="344"/>
        <w:spacing w:after="0" w:line="228" w:lineRule="auto"/>
        <w:tabs>
          <w:tab w:leader="none" w:pos="10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Total Business Return, (12) Return on Gross Investment (“</w:t>
      </w:r>
      <w:r>
        <w:rPr>
          <w:rFonts w:ascii="Arial" w:cs="Arial" w:eastAsia="Arial" w:hAnsi="Arial"/>
          <w:sz w:val="16"/>
          <w:szCs w:val="16"/>
          <w:b w:val="1"/>
          <w:bCs w:val="1"/>
          <w:color w:val="auto"/>
        </w:rPr>
        <w:t>ROGI</w:t>
      </w:r>
      <w:r>
        <w:rPr>
          <w:rFonts w:ascii="Arial" w:cs="Arial" w:eastAsia="Arial" w:hAnsi="Arial"/>
          <w:sz w:val="16"/>
          <w:szCs w:val="16"/>
          <w:color w:val="auto"/>
        </w:rPr>
        <w:t>”), (13) Operating Cash Flow, (14) Free Cash Flow, (15) Operating Income,</w:t>
      </w:r>
    </w:p>
    <w:p>
      <w:pPr>
        <w:ind w:left="660" w:right="120" w:hanging="4"/>
        <w:spacing w:after="0" w:line="242" w:lineRule="auto"/>
        <w:tabs>
          <w:tab w:leader="none" w:pos="10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Pretax Income, (17) stock price appreciation, (18) Earnings Before Interest, Taxes, Depreciation and Amortization (“</w:t>
      </w:r>
      <w:r>
        <w:rPr>
          <w:rFonts w:ascii="Arial" w:cs="Arial" w:eastAsia="Arial" w:hAnsi="Arial"/>
          <w:sz w:val="16"/>
          <w:szCs w:val="16"/>
          <w:b w:val="1"/>
          <w:bCs w:val="1"/>
          <w:color w:val="auto"/>
        </w:rPr>
        <w:t>EBITDA</w:t>
      </w:r>
      <w:r>
        <w:rPr>
          <w:rFonts w:ascii="Arial" w:cs="Arial" w:eastAsia="Arial" w:hAnsi="Arial"/>
          <w:sz w:val="16"/>
          <w:szCs w:val="16"/>
          <w:color w:val="auto"/>
        </w:rPr>
        <w:t>”) or (19) Margin based upon any of EBIT, Operating Income, Pretax Income, EBITDA or any other profit measure. The Performance Measures may be based on absolute Aramark performance, absolute performance of any member of the Aramark Group, or any combination of the members of the Aramark Group, or any of the foregoing’s performance relative to a peer group or other external measure of selected performance.</w:t>
      </w:r>
    </w:p>
    <w:p>
      <w:pPr>
        <w:sectPr>
          <w:pgSz w:w="11900" w:h="16838" w:orient="portrait"/>
          <w:cols w:equalWidth="0" w:num="1">
            <w:col w:w="11240"/>
          </w:cols>
          <w:pgMar w:left="320" w:top="108" w:right="339" w:bottom="1440" w:gutter="0" w:footer="0" w:header="0"/>
        </w:sectPr>
      </w:pPr>
    </w:p>
    <w:bookmarkStart w:id="119" w:name="page120"/>
    <w:bookmarkEnd w:id="119"/>
    <w:p>
      <w:pPr>
        <w:jc w:val="right"/>
        <w:ind w:right="20"/>
        <w:spacing w:after="0"/>
        <w:rPr>
          <w:sz w:val="20"/>
          <w:szCs w:val="20"/>
          <w:color w:val="auto"/>
        </w:rPr>
      </w:pPr>
      <w:r>
        <w:rPr>
          <w:rFonts w:ascii="Arial" w:cs="Arial" w:eastAsia="Arial" w:hAnsi="Arial"/>
          <w:sz w:val="18"/>
          <w:szCs w:val="18"/>
          <w:b w:val="1"/>
          <w:bCs w:val="1"/>
          <w:color w:val="auto"/>
        </w:rPr>
        <w:t>Exhibit 10.82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jc w:val="center"/>
        <w:ind w:right="20"/>
        <w:spacing w:after="0"/>
        <w:rPr>
          <w:sz w:val="20"/>
          <w:szCs w:val="20"/>
          <w:color w:val="auto"/>
        </w:rPr>
      </w:pPr>
      <w:r>
        <w:rPr>
          <w:rFonts w:ascii="Arial" w:cs="Arial" w:eastAsia="Arial" w:hAnsi="Arial"/>
          <w:sz w:val="18"/>
          <w:szCs w:val="18"/>
          <w:b w:val="1"/>
          <w:bCs w:val="1"/>
          <w:color w:val="auto"/>
        </w:rPr>
        <w:t>Performance Condition (ELC PSU Grant)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Years [ ] ([ ] through [ ])</w:t>
      </w:r>
    </w:p>
    <w:p>
      <w:pPr>
        <w:spacing w:after="0" w:line="189"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A number of PSUs equal to a percentage of the Target Number of PSUs set forth on the Certificate of Grant will become Earned PSUs on the Determination Date based on the level of achievement of actual Adjusted Revenue Growth, actual Adjusted Operating Income Growth, and actual Relative TSR Percentile during the Performance Period as set forth in the tables below with [ ]% of the Target Number of PSUs to be determined by achievement of actual Adjusted Revenue Growth and [ ]% to be determined by achievement of actual Adjusted Operating Income Growth subject, in each case, to the TSR Multiplier as described below. Achievement of actual Adjusted Revenue Growth, actual Adjusted Operating Income growth and/or actual Relative TSR Percentile in between the performance levels set forth in the tables below will be pro-rated based on linear interpolation. The total number of Earned PSUs hereunder, if any, will be the product of (x) the TSR Multiplier and (y) the sum of (i) the applicable percentage of the Target Number of PSUs earned based on actual Adjusted Revenue Growth and (ii) the applicable percentage of the Target Number of PSUs earned based on actual Adjusted Operating Income Growth, in each case, as set forth on the tables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Compound Annual Target - Adjusted Revenue Growth</w:t>
      </w:r>
      <w:r>
        <w:rPr>
          <w:rFonts w:ascii="Arial" w:cs="Arial" w:eastAsia="Arial" w:hAnsi="Arial"/>
          <w:sz w:val="18"/>
          <w:szCs w:val="18"/>
          <w:color w:val="auto"/>
        </w:rPr>
        <w:t>:</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640" w:type="dxa"/>
            <w:vAlign w:val="bottom"/>
            <w:tcBorders>
              <w:top w:val="single" w:sz="8" w:color="auto"/>
              <w:left w:val="single" w:sz="8" w:color="auto"/>
              <w:right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92"/>
              </w:rPr>
              <w:t>Actual Annual Adjusted</w:t>
            </w:r>
          </w:p>
        </w:tc>
        <w:tc>
          <w:tcPr>
            <w:tcW w:w="56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Percentage of [ ]% of</w:t>
            </w:r>
          </w:p>
        </w:tc>
      </w:tr>
      <w:tr>
        <w:trPr>
          <w:trHeight w:val="176"/>
        </w:trPr>
        <w:tc>
          <w:tcPr>
            <w:tcW w:w="564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8"/>
                <w:szCs w:val="18"/>
                <w:b w:val="1"/>
                <w:bCs w:val="1"/>
                <w:color w:val="auto"/>
                <w:w w:val="90"/>
              </w:rPr>
              <w:t>Revenue Growth</w:t>
            </w:r>
          </w:p>
        </w:tc>
        <w:tc>
          <w:tcPr>
            <w:tcW w:w="5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Target Number of PSUs Earned</w:t>
            </w:r>
          </w:p>
        </w:tc>
      </w:tr>
      <w:tr>
        <w:trPr>
          <w:trHeight w:val="229"/>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(Adjusted Revenue Component), Subject to TSR Multiplier</w:t>
            </w:r>
          </w:p>
        </w:tc>
      </w:tr>
      <w:tr>
        <w:trPr>
          <w:trHeight w:val="22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4980" w:type="dxa"/>
            <w:vAlign w:val="bottom"/>
            <w:tcBorders>
              <w:left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23"/>
        </w:trPr>
        <w:tc>
          <w:tcPr>
            <w:tcW w:w="4980" w:type="dxa"/>
            <w:vAlign w:val="bottom"/>
            <w:tcBorders>
              <w:left w:val="single" w:sz="8" w:color="auto"/>
              <w:bottom w:val="single" w:sz="8" w:color="auto"/>
            </w:tcBorders>
          </w:tcPr>
          <w:p>
            <w:pPr>
              <w:jc w:val="center"/>
              <w:ind w:left="570"/>
              <w:spacing w:after="0"/>
              <w:rPr>
                <w:sz w:val="20"/>
                <w:szCs w:val="20"/>
                <w:color w:val="auto"/>
              </w:rPr>
            </w:pPr>
            <w:r>
              <w:rPr>
                <w:rFonts w:ascii="Arial" w:cs="Arial" w:eastAsia="Arial" w:hAnsi="Arial"/>
                <w:sz w:val="18"/>
                <w:szCs w:val="18"/>
                <w:color w:val="auto"/>
              </w:rPr>
              <w:t>[ ]%</w:t>
            </w:r>
          </w:p>
        </w:tc>
        <w:tc>
          <w:tcPr>
            <w:tcW w:w="66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56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r>
        <w:trPr>
          <w:trHeight w:val="493"/>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Compound Annual Target - Adjusted Operating Income Growth</w:t>
            </w:r>
            <w:r>
              <w:rPr>
                <w:rFonts w:ascii="Arial" w:cs="Arial" w:eastAsia="Arial" w:hAnsi="Arial"/>
                <w:sz w:val="18"/>
                <w:szCs w:val="18"/>
                <w:color w:val="auto"/>
              </w:rPr>
              <w:t>:</w:t>
            </w:r>
          </w:p>
        </w:tc>
        <w:tc>
          <w:tcPr>
            <w:tcW w:w="5620" w:type="dxa"/>
            <w:vAlign w:val="bottom"/>
          </w:tcPr>
          <w:p>
            <w:pPr>
              <w:spacing w:after="0"/>
              <w:rPr>
                <w:sz w:val="24"/>
                <w:szCs w:val="24"/>
                <w:color w:val="auto"/>
              </w:rPr>
            </w:pPr>
          </w:p>
        </w:tc>
      </w:tr>
      <w:tr>
        <w:trPr>
          <w:trHeight w:val="20"/>
        </w:trPr>
        <w:tc>
          <w:tcPr>
            <w:tcW w:w="498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bl>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64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Actual Annual Adjusted</w:t>
            </w:r>
          </w:p>
        </w:tc>
        <w:tc>
          <w:tcPr>
            <w:tcW w:w="56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Percentage of [ ]% of</w:t>
            </w:r>
          </w:p>
        </w:tc>
      </w:tr>
      <w:tr>
        <w:trPr>
          <w:trHeight w:val="175"/>
        </w:trPr>
        <w:tc>
          <w:tcPr>
            <w:tcW w:w="564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2"/>
              </w:rPr>
              <w:t>Operating Income Growth</w:t>
            </w:r>
          </w:p>
        </w:tc>
        <w:tc>
          <w:tcPr>
            <w:tcW w:w="56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Target Number of PSUs Earned</w:t>
            </w:r>
          </w:p>
        </w:tc>
      </w:tr>
      <w:tr>
        <w:trPr>
          <w:trHeight w:val="230"/>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 Level</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(Adjusted Operating Income Component), Subject to TSR Multiplier</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200%</w:t>
            </w:r>
          </w:p>
        </w:tc>
      </w:tr>
    </w:tbl>
    <w:p>
      <w:pPr>
        <w:sectPr>
          <w:pgSz w:w="11900" w:h="16838" w:orient="portrait"/>
          <w:cols w:equalWidth="0" w:num="1">
            <w:col w:w="11260"/>
          </w:cols>
          <w:pgMar w:left="320" w:top="108" w:right="319" w:bottom="1440" w:gutter="0" w:footer="0" w:header="0"/>
        </w:sectPr>
      </w:pPr>
    </w:p>
    <w:bookmarkStart w:id="120" w:name="page121"/>
    <w:bookmarkEnd w:id="120"/>
    <w:p>
      <w:pPr>
        <w:jc w:val="right"/>
        <w:ind w:right="20"/>
        <w:spacing w:after="0"/>
        <w:rPr>
          <w:sz w:val="20"/>
          <w:szCs w:val="20"/>
          <w:color w:val="auto"/>
        </w:rPr>
      </w:pPr>
      <w:r>
        <w:rPr>
          <w:rFonts w:ascii="Arial" w:cs="Arial" w:eastAsia="Arial" w:hAnsi="Arial"/>
          <w:sz w:val="18"/>
          <w:szCs w:val="18"/>
          <w:b w:val="1"/>
          <w:bCs w:val="1"/>
          <w:color w:val="auto"/>
        </w:rPr>
        <w:t>Exhibit 10.82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TSR Multiplier:</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900" w:type="dxa"/>
            <w:vAlign w:val="bottom"/>
            <w:tcBorders>
              <w:top w:val="single" w:sz="8" w:color="auto"/>
              <w:left w:val="single" w:sz="8" w:color="auto"/>
            </w:tcBorders>
          </w:tcPr>
          <w:p>
            <w:pPr>
              <w:spacing w:after="0"/>
              <w:rPr>
                <w:sz w:val="17"/>
                <w:szCs w:val="17"/>
                <w:color w:val="auto"/>
              </w:rPr>
            </w:pPr>
          </w:p>
        </w:tc>
        <w:tc>
          <w:tcPr>
            <w:tcW w:w="3740" w:type="dxa"/>
            <w:vAlign w:val="bottom"/>
            <w:tcBorders>
              <w:top w:val="single" w:sz="8" w:color="auto"/>
              <w:right w:val="single" w:sz="8" w:color="auto"/>
            </w:tcBorders>
            <w:gridSpan w:val="8"/>
          </w:tcPr>
          <w:p>
            <w:pPr>
              <w:jc w:val="center"/>
              <w:ind w:right="1900"/>
              <w:spacing w:after="0" w:line="202" w:lineRule="exact"/>
              <w:rPr>
                <w:sz w:val="20"/>
                <w:szCs w:val="20"/>
                <w:color w:val="auto"/>
              </w:rPr>
            </w:pPr>
            <w:r>
              <w:rPr>
                <w:rFonts w:ascii="Arial" w:cs="Arial" w:eastAsia="Arial" w:hAnsi="Arial"/>
                <w:sz w:val="18"/>
                <w:szCs w:val="18"/>
                <w:b w:val="1"/>
                <w:bCs w:val="1"/>
                <w:color w:val="auto"/>
                <w:w w:val="91"/>
              </w:rPr>
              <w:t>Relative TSR Percentile</w:t>
            </w:r>
          </w:p>
        </w:tc>
        <w:tc>
          <w:tcPr>
            <w:tcW w:w="5620" w:type="dxa"/>
            <w:vAlign w:val="bottom"/>
            <w:tcBorders>
              <w:top w:val="single" w:sz="8" w:color="auto"/>
              <w:right w:val="single" w:sz="8" w:color="auto"/>
            </w:tcBorders>
            <w:gridSpan w:val="7"/>
          </w:tcPr>
          <w:p>
            <w:pPr>
              <w:jc w:val="center"/>
              <w:ind w:right="20"/>
              <w:spacing w:after="0" w:line="202" w:lineRule="exact"/>
              <w:rPr>
                <w:sz w:val="20"/>
                <w:szCs w:val="20"/>
                <w:color w:val="auto"/>
              </w:rPr>
            </w:pPr>
            <w:r>
              <w:rPr>
                <w:rFonts w:ascii="Arial" w:cs="Arial" w:eastAsia="Arial" w:hAnsi="Arial"/>
                <w:sz w:val="18"/>
                <w:szCs w:val="18"/>
                <w:b w:val="1"/>
                <w:bCs w:val="1"/>
                <w:color w:val="auto"/>
                <w:w w:val="99"/>
              </w:rPr>
              <w:t>TSR Multiplier</w:t>
            </w:r>
          </w:p>
        </w:tc>
      </w:tr>
      <w:tr>
        <w:trPr>
          <w:trHeight w:val="21"/>
        </w:trPr>
        <w:tc>
          <w:tcPr>
            <w:tcW w:w="190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900" w:type="dxa"/>
            <w:vAlign w:val="bottom"/>
            <w:tcBorders>
              <w:left w:val="single" w:sz="8" w:color="auto"/>
            </w:tcBorders>
          </w:tcPr>
          <w:p>
            <w:pPr>
              <w:spacing w:after="0"/>
              <w:rPr>
                <w:sz w:val="15"/>
                <w:szCs w:val="15"/>
                <w:color w:val="auto"/>
              </w:rPr>
            </w:pPr>
          </w:p>
        </w:tc>
        <w:tc>
          <w:tcPr>
            <w:tcW w:w="3740" w:type="dxa"/>
            <w:vAlign w:val="bottom"/>
            <w:tcBorders>
              <w:right w:val="single" w:sz="8" w:color="auto"/>
            </w:tcBorders>
            <w:gridSpan w:val="8"/>
          </w:tcPr>
          <w:p>
            <w:pPr>
              <w:jc w:val="center"/>
              <w:ind w:right="1900"/>
              <w:spacing w:after="0" w:line="182" w:lineRule="exact"/>
              <w:rPr>
                <w:sz w:val="20"/>
                <w:szCs w:val="20"/>
                <w:color w:val="auto"/>
              </w:rPr>
            </w:pPr>
            <w:r>
              <w:rPr>
                <w:rFonts w:ascii="Arial" w:cs="Arial" w:eastAsia="Arial" w:hAnsi="Arial"/>
                <w:sz w:val="18"/>
                <w:szCs w:val="18"/>
                <w:color w:val="auto"/>
                <w:w w:val="92"/>
              </w:rPr>
              <w:t>[ ] Percentile or Above</w:t>
            </w:r>
          </w:p>
        </w:tc>
        <w:tc>
          <w:tcPr>
            <w:tcW w:w="3000" w:type="dxa"/>
            <w:vAlign w:val="bottom"/>
            <w:gridSpan w:val="5"/>
          </w:tcPr>
          <w:p>
            <w:pPr>
              <w:jc w:val="center"/>
              <w:ind w:left="2490"/>
              <w:spacing w:after="0" w:line="182" w:lineRule="exact"/>
              <w:rPr>
                <w:sz w:val="20"/>
                <w:szCs w:val="20"/>
                <w:color w:val="auto"/>
              </w:rPr>
            </w:pPr>
            <w:r>
              <w:rPr>
                <w:rFonts w:ascii="Arial" w:cs="Arial" w:eastAsia="Arial" w:hAnsi="Arial"/>
                <w:sz w:val="18"/>
                <w:szCs w:val="18"/>
                <w:color w:val="auto"/>
                <w:w w:val="91"/>
              </w:rPr>
              <w:t>125%</w:t>
            </w:r>
          </w:p>
        </w:tc>
        <w:tc>
          <w:tcPr>
            <w:tcW w:w="400" w:type="dxa"/>
            <w:vAlign w:val="bottom"/>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r>
      <w:tr>
        <w:trPr>
          <w:trHeight w:val="20"/>
        </w:trPr>
        <w:tc>
          <w:tcPr>
            <w:tcW w:w="190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9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tcBorders>
              <w:right w:val="single" w:sz="8" w:color="auto"/>
            </w:tcBorders>
            <w:gridSpan w:val="6"/>
          </w:tcPr>
          <w:p>
            <w:pPr>
              <w:jc w:val="center"/>
              <w:ind w:right="2020"/>
              <w:spacing w:after="0" w:line="182" w:lineRule="exact"/>
              <w:rPr>
                <w:sz w:val="20"/>
                <w:szCs w:val="20"/>
                <w:color w:val="auto"/>
              </w:rPr>
            </w:pPr>
            <w:r>
              <w:rPr>
                <w:rFonts w:ascii="Arial" w:cs="Arial" w:eastAsia="Arial" w:hAnsi="Arial"/>
                <w:sz w:val="18"/>
                <w:szCs w:val="18"/>
                <w:color w:val="auto"/>
                <w:w w:val="91"/>
              </w:rPr>
              <w:t>[ ] Percentile</w:t>
            </w:r>
          </w:p>
        </w:tc>
        <w:tc>
          <w:tcPr>
            <w:tcW w:w="3000" w:type="dxa"/>
            <w:vAlign w:val="bottom"/>
            <w:gridSpan w:val="5"/>
          </w:tcPr>
          <w:p>
            <w:pPr>
              <w:jc w:val="center"/>
              <w:ind w:left="2490"/>
              <w:spacing w:after="0" w:line="182" w:lineRule="exact"/>
              <w:rPr>
                <w:sz w:val="20"/>
                <w:szCs w:val="20"/>
                <w:color w:val="auto"/>
              </w:rPr>
            </w:pPr>
            <w:r>
              <w:rPr>
                <w:rFonts w:ascii="Arial" w:cs="Arial" w:eastAsia="Arial" w:hAnsi="Arial"/>
                <w:sz w:val="18"/>
                <w:szCs w:val="18"/>
                <w:color w:val="auto"/>
                <w:w w:val="91"/>
              </w:rPr>
              <w:t>100%</w:t>
            </w:r>
          </w:p>
        </w:tc>
        <w:tc>
          <w:tcPr>
            <w:tcW w:w="400" w:type="dxa"/>
            <w:vAlign w:val="bottom"/>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r>
      <w:tr>
        <w:trPr>
          <w:trHeight w:val="21"/>
        </w:trPr>
        <w:tc>
          <w:tcPr>
            <w:tcW w:w="190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90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40" w:type="dxa"/>
            <w:vAlign w:val="bottom"/>
            <w:tcBorders>
              <w:right w:val="single" w:sz="8" w:color="auto"/>
            </w:tcBorders>
            <w:gridSpan w:val="7"/>
          </w:tcPr>
          <w:p>
            <w:pPr>
              <w:jc w:val="center"/>
              <w:ind w:right="2000"/>
              <w:spacing w:after="0" w:line="182" w:lineRule="exact"/>
              <w:rPr>
                <w:sz w:val="20"/>
                <w:szCs w:val="20"/>
                <w:color w:val="auto"/>
              </w:rPr>
            </w:pPr>
            <w:r>
              <w:rPr>
                <w:rFonts w:ascii="Arial" w:cs="Arial" w:eastAsia="Arial" w:hAnsi="Arial"/>
                <w:sz w:val="18"/>
                <w:szCs w:val="18"/>
                <w:color w:val="auto"/>
                <w:w w:val="92"/>
              </w:rPr>
              <w:t>[ ] Percentile or below</w:t>
            </w:r>
          </w:p>
        </w:tc>
        <w:tc>
          <w:tcPr>
            <w:tcW w:w="3000" w:type="dxa"/>
            <w:vAlign w:val="bottom"/>
            <w:gridSpan w:val="5"/>
          </w:tcPr>
          <w:p>
            <w:pPr>
              <w:jc w:val="center"/>
              <w:ind w:left="2510"/>
              <w:spacing w:after="0" w:line="182" w:lineRule="exact"/>
              <w:rPr>
                <w:sz w:val="20"/>
                <w:szCs w:val="20"/>
                <w:color w:val="auto"/>
              </w:rPr>
            </w:pPr>
            <w:r>
              <w:rPr>
                <w:rFonts w:ascii="Arial" w:cs="Arial" w:eastAsia="Arial" w:hAnsi="Arial"/>
                <w:sz w:val="18"/>
                <w:szCs w:val="18"/>
                <w:color w:val="auto"/>
                <w:w w:val="88"/>
              </w:rPr>
              <w:t>75%</w:t>
            </w:r>
          </w:p>
        </w:tc>
        <w:tc>
          <w:tcPr>
            <w:tcW w:w="400" w:type="dxa"/>
            <w:vAlign w:val="bottom"/>
          </w:tcPr>
          <w:p>
            <w:pPr>
              <w:spacing w:after="0"/>
              <w:rPr>
                <w:sz w:val="15"/>
                <w:szCs w:val="15"/>
                <w:color w:val="auto"/>
              </w:rPr>
            </w:pPr>
          </w:p>
        </w:tc>
        <w:tc>
          <w:tcPr>
            <w:tcW w:w="2220" w:type="dxa"/>
            <w:vAlign w:val="bottom"/>
            <w:tcBorders>
              <w:right w:val="single" w:sz="8" w:color="auto"/>
            </w:tcBorders>
          </w:tcPr>
          <w:p>
            <w:pPr>
              <w:spacing w:after="0"/>
              <w:rPr>
                <w:sz w:val="15"/>
                <w:szCs w:val="15"/>
                <w:color w:val="auto"/>
              </w:rPr>
            </w:pPr>
          </w:p>
        </w:tc>
      </w:tr>
      <w:tr>
        <w:trPr>
          <w:trHeight w:val="20"/>
        </w:trPr>
        <w:tc>
          <w:tcPr>
            <w:tcW w:w="1900" w:type="dxa"/>
            <w:vAlign w:val="bottom"/>
            <w:tcBorders>
              <w:left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right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b w:val="1"/>
          <w:bCs w:val="1"/>
          <w:u w:val="single" w:color="auto"/>
          <w:color w:val="auto"/>
        </w:rPr>
        <w:t>Adjusted Operating Income</w:t>
      </w:r>
      <w:r>
        <w:rPr>
          <w:rFonts w:ascii="Arial" w:cs="Arial" w:eastAsia="Arial" w:hAnsi="Arial"/>
          <w:sz w:val="16"/>
          <w:szCs w:val="16"/>
          <w:u w:val="single" w:color="auto"/>
          <w:color w:val="auto"/>
        </w:rPr>
        <w:t>”</w:t>
      </w:r>
      <w:r>
        <w:rPr>
          <w:rFonts w:ascii="Arial" w:cs="Arial" w:eastAsia="Arial" w:hAnsi="Arial"/>
          <w:sz w:val="16"/>
          <w:szCs w:val="16"/>
          <w:color w:val="auto"/>
        </w:rPr>
        <w:t xml:space="preserve"> means operating income adjusted to eliminate: (a) the change in amortization of acquisition-related intangible assets; (b) the impact of the change in fair value related to certain gasoline and diesel agreements; (c) severance and other charges; (d) the effect of material acquisitions and divestitures; (e) merger and integration related charges related to material acquisitions; and (f) other items impacting comparability.</w:t>
      </w:r>
    </w:p>
    <w:p>
      <w:pPr>
        <w:spacing w:after="0" w:line="169" w:lineRule="exact"/>
        <w:rPr>
          <w:sz w:val="20"/>
          <w:szCs w:val="20"/>
          <w:color w:val="auto"/>
        </w:rPr>
      </w:pPr>
    </w:p>
    <w:p>
      <w:pPr>
        <w:ind w:right="120"/>
        <w:spacing w:after="0" w:line="220" w:lineRule="auto"/>
        <w:rPr>
          <w:sz w:val="20"/>
          <w:szCs w:val="20"/>
          <w:color w:val="auto"/>
        </w:rPr>
      </w:pPr>
      <w:r>
        <w:rPr>
          <w:rFonts w:ascii="Arial" w:cs="Arial" w:eastAsia="Arial" w:hAnsi="Arial"/>
          <w:sz w:val="18"/>
          <w:szCs w:val="18"/>
          <w:b w:val="1"/>
          <w:bCs w:val="1"/>
          <w:u w:val="single" w:color="auto"/>
          <w:color w:val="auto"/>
        </w:rPr>
        <w:t>“Adjusted Operating Income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means operating income growth adjusted to eliminate: (a) the change in amortization of acquisition-related</w:t>
      </w:r>
      <w:r>
        <w:rPr>
          <w:rFonts w:ascii="Arial" w:cs="Arial" w:eastAsia="Arial" w:hAnsi="Arial"/>
          <w:sz w:val="18"/>
          <w:szCs w:val="18"/>
          <w:b w:val="1"/>
          <w:bCs w:val="1"/>
          <w:color w:val="auto"/>
        </w:rPr>
        <w:t xml:space="preserve"> </w:t>
      </w:r>
      <w:r>
        <w:rPr>
          <w:rFonts w:ascii="Arial" w:cs="Arial" w:eastAsia="Arial" w:hAnsi="Arial"/>
          <w:sz w:val="18"/>
          <w:szCs w:val="18"/>
          <w:color w:val="auto"/>
        </w:rPr>
        <w:t>intangible assets; (b) the impact of the change in fair value related to certain gasoline and diesel agreements; (c) severance and other charges; (d) the effect of material acquisitions and divestitures; (e) merger and integration related charges related to material acquisitions; and (f) other items impacting comparability.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means revenue, adjusted to eliminate the impact of currency translation and material acquisitions and divestitures.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“Adjusted Revenue Growth”</w:t>
      </w:r>
      <w:r>
        <w:rPr>
          <w:rFonts w:ascii="Arial" w:cs="Arial" w:eastAsia="Arial" w:hAnsi="Arial"/>
          <w:sz w:val="16"/>
          <w:szCs w:val="16"/>
          <w:b w:val="1"/>
          <w:bCs w:val="1"/>
          <w:color w:val="auto"/>
        </w:rPr>
        <w:t xml:space="preserve"> </w:t>
      </w:r>
      <w:r>
        <w:rPr>
          <w:rFonts w:ascii="Arial" w:cs="Arial" w:eastAsia="Arial" w:hAnsi="Arial"/>
          <w:sz w:val="16"/>
          <w:szCs w:val="16"/>
          <w:color w:val="auto"/>
        </w:rPr>
        <w:t>means revenue growth, adjusted to eliminate the impact of currency translation and material acquisitions and divestitures.</w:t>
      </w:r>
    </w:p>
    <w:p>
      <w:pPr>
        <w:spacing w:after="0" w:line="208"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Relative TSR Percentile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TSR Measurement Period</w:t>
      </w:r>
      <w:r>
        <w:rPr>
          <w:rFonts w:ascii="Arial" w:cs="Arial" w:eastAsia="Arial" w:hAnsi="Arial"/>
          <w:sz w:val="17"/>
          <w:szCs w:val="17"/>
          <w:color w:val="auto"/>
        </w:rPr>
        <w:t>: The period commencing on [ ] and ending on the earlier of (i) [ ] and (ii) the date upon which a Change of Control occurs.</w:t>
      </w:r>
    </w:p>
    <w:p>
      <w:pPr>
        <w:spacing w:after="0" w:line="223"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b w:val="1"/>
          <w:bCs w:val="1"/>
          <w:color w:val="auto"/>
        </w:rPr>
        <w:t xml:space="preserve">TSR Multiplier: </w:t>
      </w:r>
      <w:r>
        <w:rPr>
          <w:rFonts w:ascii="Arial" w:cs="Arial" w:eastAsia="Arial" w:hAnsi="Arial"/>
          <w:sz w:val="18"/>
          <w:szCs w:val="18"/>
          <w:color w:val="auto"/>
        </w:rPr>
        <w:t>The applicable multiplier percentage for purposes of determining the number of Earned PSUs based on the Company’s actual Relative</w:t>
      </w:r>
      <w:r>
        <w:rPr>
          <w:rFonts w:ascii="Arial" w:cs="Arial" w:eastAsia="Arial" w:hAnsi="Arial"/>
          <w:sz w:val="18"/>
          <w:szCs w:val="18"/>
          <w:b w:val="1"/>
          <w:bCs w:val="1"/>
          <w:color w:val="auto"/>
        </w:rPr>
        <w:t xml:space="preserve"> </w:t>
      </w:r>
      <w:r>
        <w:rPr>
          <w:rFonts w:ascii="Arial" w:cs="Arial" w:eastAsia="Arial" w:hAnsi="Arial"/>
          <w:sz w:val="18"/>
          <w:szCs w:val="18"/>
          <w:color w:val="auto"/>
        </w:rPr>
        <w:t>TSR Percentile, as set forth on the table set forth above.</w:t>
      </w:r>
    </w:p>
    <w:p>
      <w:pPr>
        <w:spacing w:after="0" w:line="185" w:lineRule="exact"/>
        <w:rPr>
          <w:sz w:val="20"/>
          <w:szCs w:val="20"/>
          <w:color w:val="auto"/>
        </w:rPr>
      </w:pPr>
    </w:p>
    <w:p>
      <w:pPr>
        <w:ind w:right="940"/>
        <w:spacing w:after="0" w:line="294" w:lineRule="auto"/>
        <w:rPr>
          <w:sz w:val="20"/>
          <w:szCs w:val="20"/>
          <w:color w:val="auto"/>
        </w:rPr>
      </w:pPr>
      <w:r>
        <w:rPr>
          <w:rFonts w:ascii="Arial" w:cs="Arial" w:eastAsia="Arial" w:hAnsi="Arial"/>
          <w:sz w:val="16"/>
          <w:szCs w:val="16"/>
          <w:b w:val="1"/>
          <w:bCs w:val="1"/>
          <w:u w:val="single" w:color="auto"/>
          <w:color w:val="auto"/>
        </w:rPr>
        <w:t>Relative TSR Percentile</w:t>
      </w:r>
      <w:r>
        <w:rPr>
          <w:rFonts w:ascii="Arial" w:cs="Arial" w:eastAsia="Arial" w:hAnsi="Arial"/>
          <w:sz w:val="16"/>
          <w:szCs w:val="16"/>
          <w:color w:val="auto"/>
        </w:rPr>
        <w:t>: The Relative TSR Percentile shall be the Company’s Total Shareholder Return (as calculated below) during the TSR</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Period, ranked as a percentile as compared to the Total Shareholder Return of the other companies within the Peer Group.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Total Shareholder Return</w:t>
      </w:r>
      <w:r>
        <w:rPr>
          <w:rFonts w:ascii="Arial" w:cs="Arial" w:eastAsia="Arial" w:hAnsi="Arial"/>
          <w:sz w:val="18"/>
          <w:szCs w:val="18"/>
          <w:color w:val="auto"/>
        </w:rPr>
        <w:t>” means, with respect to any company, an amount (expressed as a percentage return) equal to:</w:t>
      </w:r>
    </w:p>
    <w:p>
      <w:pPr>
        <w:spacing w:after="0" w:line="216" w:lineRule="exact"/>
        <w:rPr>
          <w:sz w:val="20"/>
          <w:szCs w:val="20"/>
          <w:color w:val="auto"/>
        </w:rPr>
      </w:pPr>
    </w:p>
    <w:p>
      <w:pPr>
        <w:ind w:left="660" w:right="300" w:hanging="4"/>
        <w:spacing w:after="0" w:line="224" w:lineRule="auto"/>
        <w:tabs>
          <w:tab w:leader="none" w:pos="8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sum of (x) the Ending Stock Price minus the Beginning Stock Price,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(y) the amount of any dividends and distributions paid on a per share basis (calculated as if such dividends had been reinvested in the applicable company’s common stock on the applicable dividend date) cumulatively over the performance period,</w:t>
      </w:r>
    </w:p>
    <w:p>
      <w:pPr>
        <w:sectPr>
          <w:pgSz w:w="11900" w:h="16838" w:orient="portrait"/>
          <w:cols w:equalWidth="0" w:num="1">
            <w:col w:w="11260"/>
          </w:cols>
          <w:pgMar w:left="320" w:top="108" w:right="3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divided by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(ii) the Beginning Stock Price.</w:t>
      </w:r>
    </w:p>
    <w:p>
      <w:pPr>
        <w:spacing w:after="0" w:line="208"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Beginning Stock Price</w:t>
      </w:r>
      <w:r>
        <w:rPr>
          <w:rFonts w:ascii="Arial" w:cs="Arial" w:eastAsia="Arial" w:hAnsi="Arial"/>
          <w:sz w:val="18"/>
          <w:szCs w:val="18"/>
          <w:color w:val="auto"/>
        </w:rPr>
        <w:t>” means, with respect to any company, the average closing price per share of common stock for the twenty (20) trading days immediately prior to the first trading day of the TSR Measurement Period.</w:t>
      </w:r>
    </w:p>
    <w:p>
      <w:pPr>
        <w:spacing w:after="0" w:line="185" w:lineRule="exact"/>
        <w:rPr>
          <w:sz w:val="20"/>
          <w:szCs w:val="20"/>
          <w:color w:val="auto"/>
        </w:rPr>
      </w:pPr>
    </w:p>
    <w:p>
      <w:pPr>
        <w:ind w:right="740"/>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Ending Stock Price</w:t>
      </w:r>
      <w:r>
        <w:rPr>
          <w:rFonts w:ascii="Arial" w:cs="Arial" w:eastAsia="Arial" w:hAnsi="Arial"/>
          <w:sz w:val="18"/>
          <w:szCs w:val="18"/>
          <w:color w:val="auto"/>
        </w:rPr>
        <w:t>” means, with respect to any company, the average closing price per share of common stock for the twenty (20) trading days immediately prior to the last day of the TSR Measurement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Peer Group</w:t>
      </w:r>
      <w:r>
        <w:rPr>
          <w:rFonts w:ascii="Arial" w:cs="Arial" w:eastAsia="Arial" w:hAnsi="Arial"/>
          <w:sz w:val="18"/>
          <w:szCs w:val="18"/>
          <w:color w:val="auto"/>
        </w:rPr>
        <w:t>” means the following companies: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Any company in the Peer Group that ceases to be publicly held during the TSR Measurement Period (i) due to bankruptcy, liquidation or reorganization, shall remain in the Peer Group for purposes of calculation of the Relative TSR Percentile (with such company deemed to have a Total Shareholder Return of -100% and ranked at the bottom of the Peer Group) or (ii) due to a merger, sale, acquisition, business combination or other similar event, shall be excluded from the Peer Group for purposes of calculation of the Relative TSR Percentile.</w:t>
      </w:r>
    </w:p>
    <w:p>
      <w:pPr>
        <w:sectPr>
          <w:pgSz w:w="11900" w:h="16838" w:orient="portrait"/>
          <w:cols w:equalWidth="0" w:num="1">
            <w:col w:w="11240"/>
          </w:cols>
          <w:pgMar w:left="320" w:top="108" w:right="339" w:bottom="1440" w:gutter="0" w:footer="0" w:header="0"/>
        </w:sectPr>
      </w:pPr>
    </w:p>
    <w:bookmarkStart w:id="122" w:name="page123"/>
    <w:bookmarkEnd w:id="122"/>
    <w:p>
      <w:pPr>
        <w:jc w:val="right"/>
        <w:ind w:right="20"/>
        <w:spacing w:after="0"/>
        <w:rPr>
          <w:sz w:val="20"/>
          <w:szCs w:val="20"/>
          <w:color w:val="auto"/>
        </w:rPr>
      </w:pPr>
      <w:r>
        <w:rPr>
          <w:rFonts w:ascii="Arial" w:cs="Arial" w:eastAsia="Arial" w:hAnsi="Arial"/>
          <w:sz w:val="18"/>
          <w:szCs w:val="18"/>
          <w:b w:val="1"/>
          <w:bCs w:val="1"/>
          <w:color w:val="auto"/>
        </w:rPr>
        <w:t>Exhibit 10.83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I</w:t>
      </w:r>
    </w:p>
    <w:p>
      <w:pPr>
        <w:jc w:val="center"/>
        <w:ind w:right="20"/>
        <w:spacing w:after="0"/>
        <w:rPr>
          <w:sz w:val="20"/>
          <w:szCs w:val="20"/>
          <w:color w:val="auto"/>
        </w:rPr>
      </w:pPr>
      <w:r>
        <w:rPr>
          <w:rFonts w:ascii="Arial" w:cs="Arial" w:eastAsia="Arial" w:hAnsi="Arial"/>
          <w:sz w:val="18"/>
          <w:szCs w:val="18"/>
          <w:b w:val="1"/>
          <w:bCs w:val="1"/>
          <w:color w:val="auto"/>
        </w:rPr>
        <w:t>Performance Condition (ELT PSU Grant)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Years [ ] ([ ] through [ ])</w:t>
      </w:r>
    </w:p>
    <w:p>
      <w:pPr>
        <w:spacing w:after="0" w:line="18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A number of PSUs equal to a percentage of the Target Number of PSUs set forth on the Certificate of Grant will become Earned PSUs on the Determination Date based on the level of achievement of actual ROIC as set forth in the tables below with 100% of the Target Number of PSUs to be determined by achievement of actual ROIC. Achievement of actual ROIC in between the performance levels set forth in the tables below will be pro-rated based on linear interpolation.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Target – ROIC During Last Fiscal Year of Performance Period</w:t>
      </w:r>
      <w:r>
        <w:rPr>
          <w:rFonts w:ascii="Arial" w:cs="Arial" w:eastAsia="Arial" w:hAnsi="Arial"/>
          <w:sz w:val="18"/>
          <w:szCs w:val="18"/>
          <w:color w:val="auto"/>
        </w:rPr>
        <w:t>:</w:t>
      </w:r>
    </w:p>
    <w:p>
      <w:pPr>
        <w:spacing w:after="0" w:line="3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640" w:type="dxa"/>
            <w:vAlign w:val="bottom"/>
            <w:tcBorders>
              <w:top w:val="single" w:sz="8" w:color="auto"/>
              <w:left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Actual ROIC During Last Fiscal Year of the Performance Period</w:t>
            </w:r>
          </w:p>
        </w:tc>
        <w:tc>
          <w:tcPr>
            <w:tcW w:w="5620" w:type="dxa"/>
            <w:vAlign w:val="bottom"/>
            <w:tcBorders>
              <w:top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9"/>
              </w:rPr>
              <w:t>Percentage of 100% of</w:t>
            </w:r>
          </w:p>
        </w:tc>
      </w:tr>
      <w:tr>
        <w:trPr>
          <w:trHeight w:val="229"/>
        </w:trPr>
        <w:tc>
          <w:tcPr>
            <w:tcW w:w="5640" w:type="dxa"/>
            <w:vAlign w:val="bottom"/>
            <w:tcBorders>
              <w:left w:val="single" w:sz="8" w:color="auto"/>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Target Number of PSUs Earned</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Less than [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80%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2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 or greater</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120%</w:t>
            </w:r>
          </w:p>
        </w:tc>
      </w:tr>
    </w:tbl>
    <w:p>
      <w:pPr>
        <w:spacing w:after="0" w:line="306"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u w:val="single" w:color="auto"/>
          <w:color w:val="auto"/>
        </w:rPr>
        <w:t>“Average Invested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simple average of: (a) the total outstanding debt; plus (b) stockholders equity; minus (c) the change in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acquisition-related intangible assets or change in net intangibles and goodwill resulting from the application of purchase accounting to the 2007 going-private transaction, as reported for the second and third fiscal year-ends of the Performance Period.</w:t>
      </w:r>
    </w:p>
    <w:p>
      <w:pPr>
        <w:spacing w:after="0" w:line="15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b w:val="1"/>
          <w:bCs w:val="1"/>
          <w:u w:val="single" w:color="auto"/>
          <w:color w:val="auto"/>
        </w:rPr>
        <w:t>“ROIC</w:t>
      </w:r>
      <w:r>
        <w:rPr>
          <w:rFonts w:ascii="Arial" w:cs="Arial" w:eastAsia="Arial" w:hAnsi="Arial"/>
          <w:sz w:val="16"/>
          <w:szCs w:val="16"/>
          <w:color w:val="auto"/>
        </w:rPr>
        <w:t>” means: (x) operating income for the fiscal year ending [ ] excluding (a) the cumulative effect of a change in accounting principle, income or loss</w:t>
      </w:r>
      <w:r>
        <w:rPr>
          <w:rFonts w:ascii="Arial" w:cs="Arial" w:eastAsia="Arial" w:hAnsi="Arial"/>
          <w:sz w:val="16"/>
          <w:szCs w:val="16"/>
          <w:b w:val="1"/>
          <w:bCs w:val="1"/>
          <w:color w:val="auto"/>
        </w:rPr>
        <w:t xml:space="preserve"> </w:t>
      </w:r>
      <w:r>
        <w:rPr>
          <w:rFonts w:ascii="Arial" w:cs="Arial" w:eastAsia="Arial" w:hAnsi="Arial"/>
          <w:sz w:val="16"/>
          <w:szCs w:val="16"/>
          <w:color w:val="auto"/>
        </w:rPr>
        <w:t>from disposed or discontinued operations and any gains or losses on disposed or discontinued operations, all as determined in accordance with United States GAAP; (b) any severance or other costs related to the Company’s major restructuring efforts; (c) any significant gains, losses or settlements that impact comparability between years; (d) any changes in the fair value of gas and diesel fuel derivatives; (e) the effects of changes in foreign currency translation rates from such rates used in the calculation of the ROIC target; (f) the impact of material acquisitions and divestitures that impact the comparability with the target and (g) the impact of any changes to tax rates or deductions or other changes to the Internal Revenue Code (the “Code”) from the Code as it existed during [ ], in any case that have a material impact on net income; divided by (y) Average Invested Capital.</w:t>
      </w:r>
    </w:p>
    <w:p>
      <w:pPr>
        <w:sectPr>
          <w:pgSz w:w="11900" w:h="16838" w:orient="portrait"/>
          <w:cols w:equalWidth="0" w:num="1">
            <w:col w:w="11260"/>
          </w:cols>
          <w:pgMar w:left="320" w:top="108" w:right="3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29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22"/>
        </w:trPr>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United States:</w:t>
            </w:r>
          </w:p>
        </w:tc>
        <w:tc>
          <w:tcPr>
            <w:tcW w:w="240" w:type="dxa"/>
            <w:vAlign w:val="bottom"/>
          </w:tcPr>
          <w:p>
            <w:pPr>
              <w:spacing w:after="0"/>
              <w:rPr>
                <w:sz w:val="19"/>
                <w:szCs w:val="19"/>
                <w:color w:val="auto"/>
              </w:rPr>
            </w:pPr>
          </w:p>
        </w:tc>
        <w:tc>
          <w:tcPr>
            <w:tcW w:w="2960" w:type="dxa"/>
            <w:vAlign w:val="bottom"/>
            <w:tcBorders>
              <w:top w:val="single" w:sz="8" w:color="auto"/>
            </w:tcBorders>
          </w:tcPr>
          <w:p>
            <w:pPr>
              <w:spacing w:after="0"/>
              <w:rPr>
                <w:sz w:val="19"/>
                <w:szCs w:val="19"/>
                <w:color w:val="auto"/>
              </w:rPr>
            </w:pP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Intermediate HoldCo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1st &amp; Fresh,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Active Industrial Uniform Co.,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American Snack &amp; Beverage, LLC</w:t>
            </w:r>
          </w:p>
        </w:tc>
        <w:tc>
          <w:tcPr>
            <w:tcW w:w="2960" w:type="dxa"/>
            <w:vAlign w:val="bottom"/>
          </w:tcPr>
          <w:p>
            <w:pPr>
              <w:ind w:left="20"/>
              <w:spacing w:after="0"/>
              <w:rPr>
                <w:sz w:val="20"/>
                <w:szCs w:val="20"/>
                <w:color w:val="auto"/>
              </w:rPr>
            </w:pPr>
            <w:r>
              <w:rPr>
                <w:rFonts w:ascii="Arial" w:cs="Arial" w:eastAsia="Arial" w:hAnsi="Arial"/>
                <w:sz w:val="18"/>
                <w:szCs w:val="18"/>
                <w:color w:val="auto"/>
              </w:rPr>
              <w:t>Florida</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AmeriPride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American Food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Asia Management,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Aviation Services Limited Partnership</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&amp; Industry,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Center,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Dining Services of Texas, LLC</w:t>
            </w:r>
          </w:p>
        </w:tc>
        <w:tc>
          <w:tcPr>
            <w:tcW w:w="29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Business Facilities,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Campus,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Cleanroom Services (Puerto Rico),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Concession Services Joint Venture</w:t>
            </w:r>
          </w:p>
        </w:tc>
        <w:tc>
          <w:tcPr>
            <w:tcW w:w="29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Confection,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Construction and Energy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700"/>
              <w:spacing w:after="0"/>
              <w:rPr>
                <w:sz w:val="20"/>
                <w:szCs w:val="20"/>
                <w:color w:val="auto"/>
              </w:rPr>
            </w:pPr>
            <w:r>
              <w:rPr>
                <w:rFonts w:ascii="Arial" w:cs="Arial" w:eastAsia="Arial" w:hAnsi="Arial"/>
                <w:sz w:val="18"/>
                <w:szCs w:val="18"/>
                <w:color w:val="auto"/>
              </w:rPr>
              <w:t>Alt. Name: Aramark Asset Solutions</w:t>
            </w:r>
          </w:p>
        </w:tc>
        <w:tc>
          <w:tcPr>
            <w:tcW w:w="2960" w:type="dxa"/>
            <w:vAlign w:val="bottom"/>
          </w:tcPr>
          <w:p>
            <w:pPr>
              <w:spacing w:after="0"/>
              <w:rPr>
                <w:sz w:val="19"/>
                <w:szCs w:val="19"/>
                <w:color w:val="auto"/>
              </w:rPr>
            </w:pP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Construction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Consumer Discount Company</w:t>
            </w:r>
          </w:p>
        </w:tc>
        <w:tc>
          <w:tcPr>
            <w:tcW w:w="2960" w:type="dxa"/>
            <w:vAlign w:val="bottom"/>
          </w:tcPr>
          <w:p>
            <w:pPr>
              <w:ind w:left="20"/>
              <w:spacing w:after="0"/>
              <w:rPr>
                <w:sz w:val="20"/>
                <w:szCs w:val="20"/>
                <w:color w:val="auto"/>
              </w:rPr>
            </w:pPr>
            <w:r>
              <w:rPr>
                <w:rFonts w:ascii="Arial" w:cs="Arial" w:eastAsia="Arial" w:hAnsi="Arial"/>
                <w:sz w:val="18"/>
                <w:szCs w:val="18"/>
                <w:color w:val="auto"/>
              </w:rPr>
              <w:t>Pennsylvania</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Correctional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Distribution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Group,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Services of Texas, LLC</w:t>
            </w:r>
          </w:p>
        </w:tc>
        <w:tc>
          <w:tcPr>
            <w:tcW w:w="2960" w:type="dxa"/>
            <w:vAlign w:val="bottom"/>
          </w:tcPr>
          <w:p>
            <w:pPr>
              <w:ind w:left="20"/>
              <w:spacing w:after="0"/>
              <w:rPr>
                <w:sz w:val="20"/>
                <w:szCs w:val="20"/>
                <w:color w:val="auto"/>
              </w:rPr>
            </w:pPr>
            <w:r>
              <w:rPr>
                <w:rFonts w:ascii="Arial" w:cs="Arial" w:eastAsia="Arial" w:hAnsi="Arial"/>
                <w:sz w:val="18"/>
                <w:szCs w:val="18"/>
                <w:color w:val="auto"/>
              </w:rPr>
              <w:t>Texas</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Services of Vermont, Inc.</w:t>
            </w:r>
          </w:p>
        </w:tc>
        <w:tc>
          <w:tcPr>
            <w:tcW w:w="2960" w:type="dxa"/>
            <w:vAlign w:val="bottom"/>
          </w:tcPr>
          <w:p>
            <w:pPr>
              <w:ind w:left="20"/>
              <w:spacing w:after="0"/>
              <w:rPr>
                <w:sz w:val="20"/>
                <w:szCs w:val="20"/>
                <w:color w:val="auto"/>
              </w:rPr>
            </w:pPr>
            <w:r>
              <w:rPr>
                <w:rFonts w:ascii="Arial" w:cs="Arial" w:eastAsia="Arial" w:hAnsi="Arial"/>
                <w:sz w:val="18"/>
                <w:szCs w:val="18"/>
                <w:color w:val="auto"/>
              </w:rPr>
              <w:t>Vermont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Educational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Entertainment,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Equipment,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Facility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Business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Campus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Correctional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Healthcare Support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Kansas, Inc.</w:t>
            </w:r>
          </w:p>
        </w:tc>
        <w:tc>
          <w:tcPr>
            <w:tcW w:w="2960" w:type="dxa"/>
            <w:vAlign w:val="bottom"/>
          </w:tcPr>
          <w:p>
            <w:pPr>
              <w:ind w:left="20"/>
              <w:spacing w:after="0"/>
              <w:rPr>
                <w:sz w:val="20"/>
                <w:szCs w:val="20"/>
                <w:color w:val="auto"/>
              </w:rPr>
            </w:pPr>
            <w:r>
              <w:rPr>
                <w:rFonts w:ascii="Arial" w:cs="Arial" w:eastAsia="Arial" w:hAnsi="Arial"/>
                <w:sz w:val="18"/>
                <w:szCs w:val="18"/>
                <w:color w:val="auto"/>
              </w:rPr>
              <w:t>Kansas</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Refreshment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School Support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Sports and Entertainment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FHC,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Aramark Food and Support Services Group,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Aramark Food Service of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Food Service,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FSM,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Global,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 Healthcare Support Services of the Virgin Islands,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Healthcare Support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Industrial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Japan,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Lakewood Associates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Management Services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Mexico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Organizational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Personnel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Processing,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Qualified Opportunity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Rail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RBI,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Receivables,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Refreshment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Refreshment Services of Tampa,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Refreshment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S&amp;E/QCF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Schools Facilities,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Schools,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SCM,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Senior Living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Services of Kansas,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Services of Puerto Rico,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SMMS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SMMS Real Estate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and Entertainment Group, LLC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Aramark Sports and Entertainment Services of Texas, LLC</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and Entertainment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Facilities,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Sports,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Technical Services North Carolina,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Technical Services of New York,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Togwotee,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Trademark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U.S. Offshore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&amp; Career Apparel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&amp; Career Apparel,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600" w:space="720"/>
            <w:col w:w="3900"/>
          </w:cols>
          <w:pgMar w:left="340" w:top="121" w:right="339" w:bottom="1440" w:gutter="0" w:footer="0" w:header="0"/>
          <w:type w:val="continuous"/>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Alt. Name: Aramark Uniform Services; Wearguard-Crest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Manufacturing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(Matchpoint)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(Rochester)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(Supply Chain),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(Syracuse)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(West Adams)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Venue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WTC,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Aramark/Giacometti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Aramark/Globetrotters,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Aramark/GM Concessions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Aramark/Gourmet HE-1,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Aramark/Gourmet HE-2,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Aramark/Hart Lyman Entertainment,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Aramark/HF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Aramark/HMS,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Aramark/Martin's Stadium Concession Services OPACY Joint Venture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Aramark/QHC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Aramark/SFS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Aramark-Chugach Alaska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Aramark-Clarksville Club,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Aramark-FINCO of Texas,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Aramark-Gourmet DPS,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Aramark-KWAME of St. Louis,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Aramark-SFS Healthcare JV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Gaming,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Replenishment,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Brand Coffee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BuyEfficient,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Canyonlands Rafting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House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Coffee Systems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Crater Lake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D.G. Maren II,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Delicious on West Street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Delsac VIII,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Doyon/Aramark Denali National Park Concession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EverSafe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Filterfresh Coffee Service,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Filterfresh Franchise Group,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Arkansas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600" w:space="720"/>
            <w:col w:w="3900"/>
          </w:cols>
          <w:pgMar w:left="340" w:top="121"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Fine Host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Freedom Ferry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Glacier Bay National Park and Preserve Concessions,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Glen Canyon Rafting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 Uncle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Gourmet Aramark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Guaranty Energy Group 1981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Harrison Conference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Harrison Conference Services of North Carolina,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M. Stevens, Inc. of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M. Stevens, Inc. of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Harry M. Stevens,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HPSI Purchasing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Institutional Processing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L&amp;N Uniform Supply,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Lake Tahoe Cruises,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Landy Textile Rental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Islands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Lifeworks Restaurant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Muir Woods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MyAssistant,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National Mall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Next Level Hospitality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NLAL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NLPA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NLNC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NLSD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Next Level PEO,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Niagara Falls State Park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Rim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Old Time Coffee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Olympic Peninsula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Overall Laundry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Paradise Hornblower,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Ballpark Concession Joint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Restaura,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Rushmore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Rim Hospitality,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Office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Tarrant County Concessions,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Aramark Foundation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Travel Systems,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Wilderness River Adventures,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North Carolina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6600" w:space="720"/>
            <w:col w:w="3900"/>
          </w:cols>
          <w:pgMar w:left="340" w:top="121" w:right="339" w:bottom="1440" w:gutter="0" w:footer="0" w:header="0"/>
          <w:type w:val="continuous"/>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300" w:val="left"/>
        </w:tabs>
        <w:rPr>
          <w:sz w:val="20"/>
          <w:szCs w:val="20"/>
          <w:color w:val="auto"/>
        </w:rPr>
      </w:pPr>
      <w:r>
        <w:rPr>
          <w:rFonts w:ascii="Arial" w:cs="Arial" w:eastAsia="Arial" w:hAnsi="Arial"/>
          <w:sz w:val="18"/>
          <w:szCs w:val="18"/>
          <w:color w:val="auto"/>
        </w:rPr>
        <w:t>Yosemite Hospitality, LLC</w:t>
      </w:r>
      <w:r>
        <w:rPr>
          <w:sz w:val="20"/>
          <w:szCs w:val="20"/>
          <w:color w:val="auto"/>
        </w:rPr>
        <w:tab/>
      </w:r>
      <w:r>
        <w:rPr>
          <w:rFonts w:ascii="Arial" w:cs="Arial" w:eastAsia="Arial" w:hAnsi="Arial"/>
          <w:sz w:val="16"/>
          <w:szCs w:val="16"/>
          <w:color w:val="auto"/>
        </w:rPr>
        <w:t>Delaware</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AIM Services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(BVI)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Canada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CCT Trustees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China Dining Services (Shanghai)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China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Cleaning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Defence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Denmark ApS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Entertainment Services (Canada)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Global Group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Gulf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Gulf Limited Catering Services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Holding Deutschland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International Finance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International Holdings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Inversiones Latinoamericanas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Investments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Ireland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Japan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Kazakhstan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KSA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Mexico, S.A. de C.V.</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Aramark Monclova Manufacturing de Mexico, S.A. de C.V.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Aramark Monclova Support,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Norway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Offshore Mexico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Property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Quebec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Regional Treasury Europe, DAC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Remote Workplace Services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Restaurations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S.A. de C.V.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ectPr>
          <w:pgSz w:w="11900" w:h="16838" w:orient="portrait"/>
          <w:cols w:equalWidth="0" w:num="2">
            <w:col w:w="6600" w:space="720"/>
            <w:col w:w="3900"/>
          </w:cols>
          <w:pgMar w:left="340" w:top="121" w:right="3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Aramark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School Catering Facility,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 Industries (China)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Services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de Catering, S.L.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Industriales,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Integrales,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Mineros y Remotos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Servicios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Servicos Alimenticios e Participacoes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Trustees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Holding de Mexico, S.A.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Uniform Services Japan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Workplace Solutions (UK)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 S.R.O.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Aramark/Dasko Restaurant and Catering Services S.A.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ARAMONT Company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Avendra Canada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Designs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NI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Shops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Avoca Handweavers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Golden Collar Dining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Boompjes Hotel BV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(N.I.)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Campbell Catering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Canadian Linen and Uniform Service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CDR Mantenimiento Integral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de Abastecimiento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de Restaurantes Aramark Limitada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Central de Restaurantes Aramark Multiservicios Limitada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Central de Restaurantes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Central Multiservicios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Centrapal S.R.L.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Centro de Innovacion y Servicio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Comertel Educa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Comertel Residencias SLU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Comertel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Complete Purchasing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Distributor JV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Czech Republic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ectPr>
          <w:pgSz w:w="11900" w:h="16838" w:orient="portrait"/>
          <w:cols w:equalWidth="0" w:num="2">
            <w:col w:w="6600" w:space="720"/>
            <w:col w:w="3900"/>
          </w:cols>
          <w:pgMar w:left="340" w:top="121" w:right="339" w:bottom="1440" w:gutter="0" w:footer="0" w:header="0"/>
          <w:type w:val="continuous"/>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21.1</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Dongguan Best Property Management Co.,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Food JV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GA-BE-SHI-WIN GP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GA-BE-SHI-WIN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Gestion de Alimentacion y Limpieza Colectividades SLU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Glenrye Properties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GTB Gastro Team Bremen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Instituto ICS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Inversiones Aramark Chile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Inversiones Centralcorp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Inversiones en Aseo y Mantenimiento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Irish Estates (Facilities Management)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 Mount Weavers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Nissho Linen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NNL Aramark Hospitality Services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Pelican Procurement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 Hospitality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Premgroup Franchise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Premier Management Company (Dublin)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Restaurationsbetriebe Stockheim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Spokesoft Technologies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Trinity Hospitality Services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Trinity Hospitality Services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Trinity Purchasing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Vector Environmental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Vector Workplace and Facility Management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Veris UK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British Virgin Islands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Belgium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ectPr>
          <w:pgSz w:w="11900" w:h="16838" w:orient="portrait"/>
          <w:cols w:equalWidth="0" w:num="2">
            <w:col w:w="6600" w:space="720"/>
            <w:col w:w="3900"/>
          </w:cols>
          <w:pgMar w:left="340" w:top="121" w:right="339" w:bottom="1440"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Aramark:</w:t>
      </w:r>
    </w:p>
    <w:p>
      <w:pPr>
        <w:spacing w:after="0" w:line="15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We consent to the incorporation by reference in the registration statements (No. 333-253208) on Form S-3 and (Nos. 333-253211, 333-192775, 333-192776 and 333-236255) on Forms S-8 of Aramark of our report dated November 24, 2020, with respect to the consolidated balance sheet of Aramark as of October 2, 2020, and the related consolidated statements of (loss) income, comprehensive income (loss), cash flows, and stockholders’ equity for each of the fiscal years ended October 2, 2020 and September 27, 2019, and the related notes and financial statement schedule II (collectively the consolidated financial statements), which report appears in the October 1, 2021 annual report on Form 10-K of Aramark.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report on the consolidated financial statements refers to a change in the method of accounting for leases.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3" w:lineRule="auto"/>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November 23, 2021</w:t>
      </w:r>
    </w:p>
    <w:p>
      <w:pPr>
        <w:sectPr>
          <w:pgSz w:w="11900" w:h="16838" w:orient="portrait"/>
          <w:cols w:equalWidth="0" w:num="1">
            <w:col w:w="11240"/>
          </w:cols>
          <w:pgMar w:left="320" w:top="12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We consent to the incorporation by reference in Registration Statement No. 333-253208 on Form S-3 and Registration Statement Nos. 333-192775, 333-192776, 333-236255 and 333-253211 on Forms S-8 of our reports dated November 23, 2021, relating to the financial statements of Aramark and the effectiveness of Aramark's internal control over financial reporting appearing in this Annual Report on Form 10-K for the year ended October 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9" w:lineRule="auto"/>
        <w:rPr>
          <w:sz w:val="20"/>
          <w:szCs w:val="20"/>
          <w:color w:val="auto"/>
        </w:rPr>
      </w:pPr>
      <w:r>
        <w:rPr>
          <w:rFonts w:ascii="Arial" w:cs="Arial" w:eastAsia="Arial" w:hAnsi="Arial"/>
          <w:sz w:val="18"/>
          <w:szCs w:val="18"/>
          <w:color w:val="auto"/>
        </w:rPr>
        <w:t>Philadelphia, PA</w:t>
      </w:r>
    </w:p>
    <w:p>
      <w:pPr>
        <w:spacing w:after="0"/>
        <w:rPr>
          <w:sz w:val="20"/>
          <w:szCs w:val="20"/>
          <w:color w:val="auto"/>
        </w:rPr>
      </w:pPr>
      <w:r>
        <w:rPr>
          <w:rFonts w:ascii="Arial" w:cs="Arial" w:eastAsia="Arial" w:hAnsi="Arial"/>
          <w:sz w:val="18"/>
          <w:szCs w:val="18"/>
          <w:color w:val="auto"/>
        </w:rPr>
        <w:t>November 23, 2021</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85" w:lineRule="exact"/>
        <w:rPr>
          <w:sz w:val="20"/>
          <w:szCs w:val="20"/>
          <w:color w:val="auto"/>
        </w:rPr>
      </w:pP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Aramark for the fiscal year ended October 1, 2021;</w:t>
      </w:r>
    </w:p>
    <w:p>
      <w:pPr>
        <w:spacing w:after="0" w:line="198" w:lineRule="exact"/>
        <w:rPr>
          <w:rFonts w:ascii="Arial" w:cs="Arial" w:eastAsia="Arial" w:hAnsi="Arial"/>
          <w:sz w:val="18"/>
          <w:szCs w:val="18"/>
          <w:color w:val="auto"/>
        </w:rPr>
      </w:pPr>
    </w:p>
    <w:p>
      <w:pPr>
        <w:ind w:right="260" w:firstLine="8"/>
        <w:spacing w:after="0" w:line="342" w:lineRule="auto"/>
        <w:tabs>
          <w:tab w:leader="none" w:pos="3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20" w:firstLine="8"/>
        <w:spacing w:after="0" w:line="277" w:lineRule="auto"/>
        <w:tabs>
          <w:tab w:leader="none" w:pos="3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80" w:firstLine="8"/>
        <w:spacing w:after="0" w:line="263" w:lineRule="auto"/>
        <w:tabs>
          <w:tab w:leader="none" w:pos="3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00" w:right="80" w:hanging="644"/>
        <w:spacing w:after="0" w:line="263" w:lineRule="auto"/>
        <w:tabs>
          <w:tab w:leader="none" w:pos="9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96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957"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1300" w:right="100" w:hanging="644"/>
        <w:spacing w:after="0" w:line="263" w:lineRule="auto"/>
        <w:tabs>
          <w:tab w:leader="none" w:pos="967"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160" w:firstLine="8"/>
        <w:spacing w:after="0" w:line="308" w:lineRule="auto"/>
        <w:tabs>
          <w:tab w:leader="none" w:pos="31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jc w:val="right"/>
        <w:ind w:left="1300" w:right="800" w:hanging="644"/>
        <w:spacing w:after="0" w:line="342" w:lineRule="auto"/>
        <w:tabs>
          <w:tab w:leader="none" w:pos="947" w:val="left"/>
        </w:tabs>
        <w:numPr>
          <w:ilvl w:val="1"/>
          <w:numId w:val="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300" w:right="500" w:hanging="644"/>
        <w:spacing w:after="0" w:line="277" w:lineRule="auto"/>
        <w:tabs>
          <w:tab w:leader="none" w:pos="957"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5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right"/>
        <w:ind w:right="4900"/>
        <w:spacing w:after="0"/>
        <w:rPr>
          <w:sz w:val="20"/>
          <w:szCs w:val="20"/>
          <w:color w:val="auto"/>
        </w:rPr>
      </w:pPr>
      <w:r>
        <w:rPr>
          <w:rFonts w:ascii="Arial" w:cs="Arial" w:eastAsia="Arial" w:hAnsi="Arial"/>
          <w:sz w:val="18"/>
          <w:szCs w:val="18"/>
          <w:color w:val="auto"/>
        </w:rPr>
        <w:t>CERTIFICATIONS</w:t>
      </w:r>
    </w:p>
    <w:p>
      <w:pPr>
        <w:spacing w:after="0" w:line="170" w:lineRule="exact"/>
        <w:rPr>
          <w:sz w:val="20"/>
          <w:szCs w:val="20"/>
          <w:color w:val="auto"/>
        </w:rPr>
      </w:pPr>
    </w:p>
    <w:p>
      <w:pPr>
        <w:jc w:val="right"/>
        <w:ind w:right="4880"/>
        <w:spacing w:after="0"/>
        <w:rPr>
          <w:sz w:val="20"/>
          <w:szCs w:val="20"/>
          <w:color w:val="auto"/>
        </w:rPr>
      </w:pPr>
      <w:r>
        <w:rPr>
          <w:rFonts w:ascii="Arial" w:cs="Arial" w:eastAsia="Arial" w:hAnsi="Arial"/>
          <w:sz w:val="16"/>
          <w:szCs w:val="16"/>
          <w:color w:val="auto"/>
        </w:rPr>
        <w:t>I, Thomas G. Ondrof, Executive Vice President and Chief Financial Officer, certify that:</w:t>
      </w:r>
    </w:p>
    <w:p>
      <w:pPr>
        <w:spacing w:after="0" w:line="221"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Aramark for the fiscal year ended October 1, 2021;</w:t>
      </w:r>
    </w:p>
    <w:p>
      <w:pPr>
        <w:spacing w:after="0" w:line="184" w:lineRule="exact"/>
        <w:rPr>
          <w:rFonts w:ascii="Arial" w:cs="Arial" w:eastAsia="Arial" w:hAnsi="Arial"/>
          <w:sz w:val="18"/>
          <w:szCs w:val="18"/>
          <w:color w:val="auto"/>
        </w:rPr>
      </w:pPr>
    </w:p>
    <w:p>
      <w:pPr>
        <w:ind w:right="260" w:firstLine="8"/>
        <w:spacing w:after="0" w:line="342" w:lineRule="auto"/>
        <w:tabs>
          <w:tab w:leader="none" w:pos="315"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420" w:firstLine="8"/>
        <w:spacing w:after="0" w:line="277" w:lineRule="auto"/>
        <w:tabs>
          <w:tab w:leader="none" w:pos="3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right="80" w:firstLine="8"/>
        <w:spacing w:after="0" w:line="263" w:lineRule="auto"/>
        <w:tabs>
          <w:tab w:leader="none" w:pos="3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1300" w:right="80" w:hanging="644"/>
        <w:spacing w:after="0" w:line="263" w:lineRule="auto"/>
        <w:tabs>
          <w:tab w:leader="none" w:pos="95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1300" w:right="40" w:hanging="644"/>
        <w:spacing w:after="0" w:line="263" w:lineRule="auto"/>
        <w:tabs>
          <w:tab w:leader="none" w:pos="96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957"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100" w:hanging="644"/>
        <w:spacing w:after="0" w:line="263" w:lineRule="auto"/>
        <w:tabs>
          <w:tab w:leader="none" w:pos="96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160" w:firstLine="8"/>
        <w:spacing w:after="0" w:line="308" w:lineRule="auto"/>
        <w:tabs>
          <w:tab w:leader="none" w:pos="312"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jc w:val="right"/>
        <w:ind w:left="1300" w:right="800" w:hanging="644"/>
        <w:spacing w:after="0" w:line="342" w:lineRule="auto"/>
        <w:tabs>
          <w:tab w:leader="none" w:pos="947"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500" w:hanging="644"/>
        <w:spacing w:after="0" w:line="277" w:lineRule="auto"/>
        <w:tabs>
          <w:tab w:leader="none" w:pos="957"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Aramark (the “Company”) on Form 10-K for the fiscal year ended October 1, 2021,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160"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right="400" w:firstLine="8"/>
        <w:spacing w:after="0" w:line="481" w:lineRule="auto"/>
        <w:tabs>
          <w:tab w:leader="none" w:pos="3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23,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3">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1)"/>
      <w:numFmt w:val="lowerLetter"/>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lowerLetter"/>
      <w:start w:val="1"/>
    </w:lvl>
  </w:abstractNum>
  <w:abstractNum w:abstractNumId="36">
    <w:nsid w:val="61574095"/>
    <w:multiLevelType w:val="hybridMultilevel"/>
    <w:lvl w:ilvl="0">
      <w:lvlJc w:val="left"/>
      <w:lvlText w:val="(%1)"/>
      <w:numFmt w:val="lowerLetter"/>
      <w:start w:val="2"/>
    </w:lvl>
  </w:abstractNum>
  <w:abstractNum w:abstractNumId="37">
    <w:nsid w:val="7E0C57B1"/>
    <w:multiLevelType w:val="hybridMultilevel"/>
    <w:lvl w:ilvl="0">
      <w:lvlJc w:val="left"/>
      <w:lvlText w:val="(%1)"/>
      <w:numFmt w:val="lowerLetter"/>
      <w:start w:val="3"/>
    </w:lvl>
  </w:abstractNum>
  <w:abstractNum w:abstractNumId="38">
    <w:nsid w:val="77AE35EB"/>
    <w:multiLevelType w:val="hybridMultilevel"/>
    <w:lvl w:ilvl="0">
      <w:lvlJc w:val="left"/>
      <w:lvlText w:val="•"/>
      <w:numFmt w:val="bullet"/>
      <w:start w:val="1"/>
    </w:lvl>
    <w:lvl w:ilvl="1">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1)"/>
      <w:numFmt w:val="decimal"/>
      <w:start w:val="1"/>
    </w:lvl>
  </w:abstractNum>
  <w:abstractNum w:abstractNumId="41">
    <w:nsid w:val="5FF87E05"/>
    <w:multiLevelType w:val="hybridMultilevel"/>
    <w:lvl w:ilvl="0">
      <w:lvlJc w:val="left"/>
      <w:lvlText w:val="(%1)"/>
      <w:numFmt w:val="decimal"/>
      <w:start w:val="1"/>
    </w:lvl>
  </w:abstractNum>
  <w:abstractNum w:abstractNumId="42">
    <w:nsid w:val="2F305DEF"/>
    <w:multiLevelType w:val="hybridMultilevel"/>
    <w:lvl w:ilvl="0">
      <w:lvlJc w:val="left"/>
      <w:lvlText w:val="(%1)"/>
      <w:numFmt w:val="decimal"/>
      <w:start w:val="1"/>
    </w:lvl>
  </w:abstractNum>
  <w:abstractNum w:abstractNumId="43">
    <w:nsid w:val="25A70BF7"/>
    <w:multiLevelType w:val="hybridMultilevel"/>
    <w:lvl w:ilvl="0">
      <w:lvlJc w:val="left"/>
      <w:lvlText w:val="(%1)"/>
      <w:numFmt w:val="decimal"/>
      <w:start w:val="4"/>
    </w:lvl>
  </w:abstractNum>
  <w:abstractNum w:abstractNumId="44">
    <w:nsid w:val="1DBABF00"/>
    <w:multiLevelType w:val="hybridMultilevel"/>
    <w:lvl w:ilvl="0">
      <w:lvlJc w:val="left"/>
      <w:lvlText w:val="(%1)"/>
      <w:numFmt w:val="decimal"/>
      <w:start w:val="2"/>
    </w:lvl>
  </w:abstractNum>
  <w:abstractNum w:abstractNumId="45">
    <w:nsid w:val="4AD084E9"/>
    <w:multiLevelType w:val="hybridMultilevel"/>
    <w:lvl w:ilvl="0">
      <w:lvlJc w:val="left"/>
      <w:lvlText w:val="(%1)"/>
      <w:numFmt w:val="decimal"/>
      <w:start w:val="2"/>
    </w:lvl>
  </w:abstractNum>
  <w:abstractNum w:abstractNumId="46">
    <w:nsid w:val="1F48EAA1"/>
    <w:multiLevelType w:val="hybridMultilevel"/>
    <w:lvl w:ilvl="0">
      <w:lvlJc w:val="left"/>
      <w:lvlText w:val="%1."/>
      <w:numFmt w:val="decimal"/>
      <w:start w:val="19"/>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decimal"/>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1)"/>
      <w:numFmt w:val="decimal"/>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
      <w:numFmt w:val="bullet"/>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1"/>
    </w:lvl>
  </w:abstractNum>
  <w:abstractNum w:abstractNumId="60">
    <w:nsid w:val="5DC79EA8"/>
    <w:multiLevelType w:val="hybridMultilevel"/>
    <w:lvl w:ilvl="0">
      <w:lvlJc w:val="left"/>
      <w:lvlText w:val="(%1)"/>
      <w:numFmt w:val="decimal"/>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lowerLetter"/>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decimal"/>
      <w:start w:val="1"/>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1)"/>
      <w:numFmt w:val="decimal"/>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upperLetter"/>
      <w:start w:val="9"/>
    </w:lvl>
  </w:abstractNum>
  <w:abstractNum w:abstractNumId="74">
    <w:nsid w:val="60B6DF70"/>
    <w:multiLevelType w:val="hybridMultilevel"/>
    <w:lvl w:ilvl="0">
      <w:lvlJc w:val="left"/>
      <w:lvlText w:val="%1."/>
      <w:numFmt w:val="upperLetter"/>
      <w:start w:val="35"/>
    </w:lvl>
  </w:abstractNum>
  <w:abstractNum w:abstractNumId="75">
    <w:nsid w:val="6A5EE64"/>
    <w:multiLevelType w:val="hybridMultilevel"/>
    <w:lvl w:ilvl="0">
      <w:lvlJc w:val="left"/>
      <w:lvlText w:val="%1."/>
      <w:numFmt w:val="upperLetter"/>
      <w:start w:val="61"/>
    </w:lvl>
    <w:lvl w:ilvl="1">
      <w:lvlJc w:val="left"/>
      <w:lvlText w:val="%2"/>
      <w:numFmt w:val="upperLetter"/>
      <w:start w:val="1"/>
    </w:lvl>
  </w:abstractNum>
  <w:abstractNum w:abstractNumId="76">
    <w:nsid w:val="14330624"/>
    <w:multiLevelType w:val="hybridMultilevel"/>
    <w:lvl w:ilvl="0">
      <w:lvlJc w:val="left"/>
      <w:lvlText w:val="%1."/>
      <w:numFmt w:val="upperLetter"/>
      <w:start w:val="22"/>
    </w:lvl>
    <w:lvl w:ilvl="1">
      <w:lvlJc w:val="left"/>
      <w:lvlText w:val="%2."/>
      <w:numFmt w:val="upperLetter"/>
      <w:start w:val="1"/>
    </w:lvl>
  </w:abstractNum>
  <w:abstractNum w:abstractNumId="77">
    <w:nsid w:val="7FFFCA11"/>
    <w:multiLevelType w:val="hybridMultilevel"/>
    <w:lvl w:ilvl="0">
      <w:lvlJc w:val="left"/>
      <w:lvlText w:val="%1."/>
      <w:numFmt w:val="upperLetter"/>
      <w:start w:val="1"/>
    </w:lvl>
  </w:abstractNum>
  <w:abstractNum w:abstractNumId="78">
    <w:nsid w:val="1A27709E"/>
    <w:multiLevelType w:val="hybridMultilevel"/>
    <w:lvl w:ilvl="0">
      <w:lvlJc w:val="left"/>
      <w:lvlText w:val="%1."/>
      <w:numFmt w:val="upperLetter"/>
      <w:start w:val="1"/>
    </w:lvl>
    <w:lvl w:ilvl="1">
      <w:lvlJc w:val="left"/>
      <w:lvlText w:val="%2."/>
      <w:numFmt w:val="decimal"/>
      <w:start w:val="1"/>
    </w:lvl>
  </w:abstractNum>
  <w:abstractNum w:abstractNumId="79">
    <w:nsid w:val="71EA1109"/>
    <w:multiLevelType w:val="hybridMultilevel"/>
    <w:lvl w:ilvl="0">
      <w:lvlJc w:val="left"/>
      <w:lvlText w:val="%1."/>
      <w:numFmt w:val="upperLetter"/>
      <w:start w:val="24"/>
    </w:lvl>
    <w:lvl w:ilvl="1">
      <w:lvlJc w:val="left"/>
      <w:lvlText w:val="%2."/>
      <w:numFmt w:val="upperLetter"/>
      <w:start w:val="1"/>
    </w:lvl>
  </w:abstractNum>
  <w:abstractNum w:abstractNumId="80">
    <w:nsid w:val="100F59DC"/>
    <w:multiLevelType w:val="hybridMultilevel"/>
    <w:lvl w:ilvl="0">
      <w:lvlJc w:val="left"/>
      <w:lvlText w:val="%1."/>
      <w:numFmt w:val="upperLetter"/>
      <w:start w:val="2"/>
    </w:lvl>
  </w:abstractNum>
  <w:abstractNum w:abstractNumId="81">
    <w:nsid w:val="7FB7E0AA"/>
    <w:multiLevelType w:val="hybridMultilevel"/>
    <w:lvl w:ilvl="0">
      <w:lvlJc w:val="left"/>
      <w:lvlText w:val="%1."/>
      <w:numFmt w:val="upperLetter"/>
      <w:start w:val="1"/>
    </w:lvl>
    <w:lvl w:ilvl="1">
      <w:lvlJc w:val="left"/>
      <w:lvlText w:val="(%2)"/>
      <w:numFmt w:val="decimal"/>
      <w:start w:val="11"/>
    </w:lvl>
  </w:abstractNum>
  <w:abstractNum w:abstractNumId="82">
    <w:nsid w:val="6EB5BD4"/>
    <w:multiLevelType w:val="hybridMultilevel"/>
    <w:lvl w:ilvl="0">
      <w:lvlJc w:val="left"/>
      <w:lvlText w:val="%1"/>
      <w:numFmt w:val="upperLetter"/>
      <w:start w:val="1"/>
    </w:lvl>
    <w:lvl w:ilvl="1">
      <w:lvlJc w:val="left"/>
      <w:lvlText w:val="(%2)"/>
      <w:numFmt w:val="decimal"/>
      <w:start w:val="16"/>
    </w:lvl>
  </w:abstractNum>
  <w:abstractNum w:abstractNumId="83">
    <w:nsid w:val="6F6DD9AC"/>
    <w:multiLevelType w:val="hybridMultilevel"/>
    <w:lvl w:ilvl="0">
      <w:lvlJc w:val="left"/>
      <w:lvlText w:val="(%1)"/>
      <w:numFmt w:val="lowerRoman"/>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9" Type="http://schemas.openxmlformats.org/officeDocument/2006/relationships/image" Target="media/image121.png"/><Relationship Id="rId143" Type="http://schemas.openxmlformats.org/officeDocument/2006/relationships/image" Target="media/image122.png"/><Relationship Id="rId150" Type="http://schemas.openxmlformats.org/officeDocument/2006/relationships/image" Target="media/image123.png"/><Relationship Id="rId156" Type="http://schemas.openxmlformats.org/officeDocument/2006/relationships/image" Target="media/image124.png"/><Relationship Id="rId171" Type="http://schemas.openxmlformats.org/officeDocument/2006/relationships/image" Target="media/image125.png"/><Relationship Id="rId193" Type="http://schemas.openxmlformats.org/officeDocument/2006/relationships/image" Target="media/image126.png"/><Relationship Id="rId214" Type="http://schemas.openxmlformats.org/officeDocument/2006/relationships/image" Target="media/image127.png"/><Relationship Id="rId235" Type="http://schemas.openxmlformats.org/officeDocument/2006/relationships/image" Target="media/image128.png"/><Relationship Id="rId240" Type="http://schemas.openxmlformats.org/officeDocument/2006/relationships/image" Target="media/image129.png"/><Relationship Id="rId241" Type="http://schemas.openxmlformats.org/officeDocument/2006/relationships/image" Target="media/image130.png"/><Relationship Id="rId242" Type="http://schemas.openxmlformats.org/officeDocument/2006/relationships/image" Target="media/image131.png"/><Relationship Id="rId243" Type="http://schemas.openxmlformats.org/officeDocument/2006/relationships/image" Target="media/image132.png"/><Relationship Id="rId128" Type="http://schemas.openxmlformats.org/officeDocument/2006/relationships/hyperlink" Target="http://www.sec.gov/Archives/edgar/data/1584509/000119312517310359/d472680dex21.htm" TargetMode="External"/><Relationship Id="rId130" Type="http://schemas.openxmlformats.org/officeDocument/2006/relationships/hyperlink" Target="http://www.sec.gov/Archives/edgar/data/1584509/000119312517310359/d472680dex22.htm" TargetMode="External"/><Relationship Id="rId131" Type="http://schemas.openxmlformats.org/officeDocument/2006/relationships/hyperlink" Target="http://www.sec.gov/Archives/edgar/data/1584509/000158450920000014/secondamendedandrestat.htm" TargetMode="External"/><Relationship Id="rId132" Type="http://schemas.openxmlformats.org/officeDocument/2006/relationships/hyperlink" Target="http://www.sec.gov/Archives/edgar/data/1584509/000119312514201307/d728418dex31.htm" TargetMode="External"/><Relationship Id="rId133" Type="http://schemas.openxmlformats.org/officeDocument/2006/relationships/hyperlink" Target="http://www.sec.gov/Archives/edgar/data/1584509/000158450920000276/ex31amendedandrestatedby-l.htm" TargetMode="External"/><Relationship Id="rId134" Type="http://schemas.openxmlformats.org/officeDocument/2006/relationships/hyperlink" Target="http://www.sec.gov/Archives/edgar/data/1584509/000119312517099980/d363392dex41.htm" TargetMode="External"/><Relationship Id="rId135" Type="http://schemas.openxmlformats.org/officeDocument/2006/relationships/hyperlink" Target="http://www.sec.gov/Archives/edgar/data/1584509/000119312517099980/d363392dex42.htm" TargetMode="External"/><Relationship Id="rId136" Type="http://schemas.openxmlformats.org/officeDocument/2006/relationships/hyperlink" Target="http://www.sec.gov/Archives/edgar/data/1584509/000158450918000013/ex41.htm" TargetMode="External"/><Relationship Id="rId137" Type="http://schemas.openxmlformats.org/officeDocument/2006/relationships/hyperlink" Target="http://www.sec.gov/Archives/edgar/data/1584509/000119312520121405/d917057dex41.htm" TargetMode="External"/><Relationship Id="rId138" Type="http://schemas.openxmlformats.org/officeDocument/2006/relationships/hyperlink" Target="http://www.sec.gov/Archives/edgar/data/1584509/000158450921000111/ex41q22021-supplementalind.htm" TargetMode="External"/><Relationship Id="rId139" Type="http://schemas.openxmlformats.org/officeDocument/2006/relationships/hyperlink" Target="http://www.sec.gov/Archives/edgar/data/1584509/000158450921000111/ex42q22021-supplementalind.htm" TargetMode="External"/><Relationship Id="rId140" Type="http://schemas.openxmlformats.org/officeDocument/2006/relationships/hyperlink" Target="http://www.sec.gov/Archives/edgar/data/1584509/000158450921000111/ex43q22021-supplementalind.htm" TargetMode="External"/><Relationship Id="rId141" Type="http://schemas.openxmlformats.org/officeDocument/2006/relationships/hyperlink" Target="http://www.sec.gov/Archives/edgar/data/1584509/000158450921000111/ex45q22021-supplementalind.htm" TargetMode="External"/><Relationship Id="rId142" Type="http://schemas.openxmlformats.org/officeDocument/2006/relationships/hyperlink" Target="http://www.sec.gov/Archives/edgar/data/1584509/000158450920000230/ex462020xdescriptionof.htm" TargetMode="External"/><Relationship Id="rId144" Type="http://schemas.openxmlformats.org/officeDocument/2006/relationships/hyperlink" Target="http://www.sec.gov/Archives/edgar/data/1584509/000119312517101789/d367212dex101.htm" TargetMode="External"/><Relationship Id="rId145" Type="http://schemas.openxmlformats.org/officeDocument/2006/relationships/hyperlink" Target="http://www.sec.gov/Archives/edgar/data/1584509/000119312517294599/d423386dex101.htm" TargetMode="External"/><Relationship Id="rId146" Type="http://schemas.openxmlformats.org/officeDocument/2006/relationships/hyperlink" Target="http://www.sec.gov/Archives/edgar/data/1584509/000119312517366828/d510705dex101.htm" TargetMode="External"/><Relationship Id="rId147" Type="http://schemas.openxmlformats.org/officeDocument/2006/relationships/hyperlink" Target="http://www.sec.gov/Archives/edgar/data/1584509/000158450918000095/ex101q22018.htm" TargetMode="External"/><Relationship Id="rId148" Type="http://schemas.openxmlformats.org/officeDocument/2006/relationships/hyperlink" Target="http://www.sec.gov/Archives/edgar/data/1584509/000158450918000151/ex101-amendedcreditagreeme.htm" TargetMode="External"/><Relationship Id="rId149" Type="http://schemas.openxmlformats.org/officeDocument/2006/relationships/hyperlink" Target="http://www.sec.gov/Archives/edgar/data/1584509/000158450918000099/ex101-amendedcreditagreeme.htm" TargetMode="External"/><Relationship Id="rId151" Type="http://schemas.openxmlformats.org/officeDocument/2006/relationships/hyperlink" Target="http://www.sec.gov/Archives/edgar/data/1584509/000158450918000135/ex101-amendedcreditagreeme.htm" TargetMode="External"/><Relationship Id="rId152" Type="http://schemas.openxmlformats.org/officeDocument/2006/relationships/hyperlink" Target="http://www.sec.gov/Archives/edgar/data/1584509/000158450918000186/aramarkamendmentno7.htm" TargetMode="External"/><Relationship Id="rId153" Type="http://schemas.openxmlformats.org/officeDocument/2006/relationships/hyperlink" Target="http://www.sec.gov/Archives/edgar/data/1584509/000158450920000012/a8kexhibit.htm" TargetMode="External"/><Relationship Id="rId154" Type="http://schemas.openxmlformats.org/officeDocument/2006/relationships/hyperlink" Target="http://www.sec.gov/Archives/edgar/data/1584509/000119312520121405/d917057dex101.htm" TargetMode="External"/><Relationship Id="rId155" Type="http://schemas.openxmlformats.org/officeDocument/2006/relationships/hyperlink" Target="http://www.sec.gov/Archives/edgar/data/1584509/000158450920000230/ex1011aramark-amendmen.htm" TargetMode="External"/><Relationship Id="rId157" Type="http://schemas.openxmlformats.org/officeDocument/2006/relationships/hyperlink" Target="http://www.sec.gov/Archives/edgar/data/1584509/000158450921000169/ex101-amendmentno11tocredi.htm" TargetMode="External"/><Relationship Id="rId158" Type="http://schemas.openxmlformats.org/officeDocument/2006/relationships/hyperlink" Target="http://www.sec.gov/Archives/edgar/data/1584509/000158450917000099/ex102aramarksecurityagreem.htm" TargetMode="External"/><Relationship Id="rId159" Type="http://schemas.openxmlformats.org/officeDocument/2006/relationships/hyperlink" Target="http://www.sec.gov/Archives/edgar/data/1584509/000119312513474715/d644709dex102.htm" TargetMode="External"/><Relationship Id="rId160" Type="http://schemas.openxmlformats.org/officeDocument/2006/relationships/hyperlink" Target="http://www.sec.gov/Archives/edgar/data/7032/000119312507158115/dex101.htm" TargetMode="External"/><Relationship Id="rId161" Type="http://schemas.openxmlformats.org/officeDocument/2006/relationships/hyperlink" Target="http://www.sec.gov/Archives/edgar/data/7032/000119312508253626/dex108.htm" TargetMode="External"/><Relationship Id="rId162" Type="http://schemas.openxmlformats.org/officeDocument/2006/relationships/hyperlink" Target="http://www.sec.gov/Archives/edgar/data/1584509/000158450919000237/ex1021-harringtonoffer.htm" TargetMode="External"/><Relationship Id="rId163" Type="http://schemas.openxmlformats.org/officeDocument/2006/relationships/hyperlink" Target="http://www.sec.gov/Archives/edgar/data/1584509/000119312520194769/d881977dex105.htm" TargetMode="External"/><Relationship Id="rId164" Type="http://schemas.openxmlformats.org/officeDocument/2006/relationships/hyperlink" Target="http://www.sec.gov/Archives/edgar/data/1584509/000119312519263370/d815967dex102.htm" TargetMode="External"/><Relationship Id="rId165" Type="http://schemas.openxmlformats.org/officeDocument/2006/relationships/hyperlink" Target="http://www.sec.gov/Archives/edgar/data/1584509/000119312520194769/d881977dex101.htm" TargetMode="External"/><Relationship Id="rId166" Type="http://schemas.openxmlformats.org/officeDocument/2006/relationships/hyperlink" Target="http://www.sec.gov/Archives/edgar/data/1584509/000119312520001803/d831164dex102.htm" TargetMode="External"/><Relationship Id="rId167" Type="http://schemas.openxmlformats.org/officeDocument/2006/relationships/hyperlink" Target="http://www.sec.gov/Archives/edgar/data/1584509/000119312520194769/d881977dex102.htm" TargetMode="External"/><Relationship Id="rId168" Type="http://schemas.openxmlformats.org/officeDocument/2006/relationships/hyperlink" Target="http://www.sec.gov/Archives/edgar/data/1584509/000119312520194769/d881977dex103.htm" TargetMode="External"/><Relationship Id="rId169" Type="http://schemas.openxmlformats.org/officeDocument/2006/relationships/hyperlink" Target="http://www.sec.gov/Archives/edgar/data/1584509/000158450920000230/ex10292020xmarcbrunoof.htm" TargetMode="External"/><Relationship Id="rId170" Type="http://schemas.openxmlformats.org/officeDocument/2006/relationships/hyperlink" Target="https://www.sec.gov/Archives/edgar/data/1584509/000158450920000230/ex10302020xmarcbrunoar.htm" TargetMode="External"/><Relationship Id="rId172" Type="http://schemas.openxmlformats.org/officeDocument/2006/relationships/hyperlink" Target="http://www.sec.gov/Archives/edgar/data/1144528/000119312505163797/dex104.htm" TargetMode="External"/><Relationship Id="rId173" Type="http://schemas.openxmlformats.org/officeDocument/2006/relationships/hyperlink" Target="http://www.sec.gov/Archives/edgar/data/1584509/000158450917000247/ex1017formofindemnificatio.htm" TargetMode="External"/><Relationship Id="rId174" Type="http://schemas.openxmlformats.org/officeDocument/2006/relationships/hyperlink" Target="http://www.sec.gov/Archives/edgar/data/1584509/000158450919000237/ex1029-indemnification.htm" TargetMode="External"/><Relationship Id="rId175" Type="http://schemas.openxmlformats.org/officeDocument/2006/relationships/hyperlink" Target="http://www.sec.gov/Archives/edgar/data/1584509/000158450914000006/ex101indemnification-heinr.htm" TargetMode="External"/><Relationship Id="rId176" Type="http://schemas.openxmlformats.org/officeDocument/2006/relationships/hyperlink" Target="http://www.sec.gov/Archives/edgar/data/1584509/000158450914000006/ex102indemnification-sadove.htm" TargetMode="External"/><Relationship Id="rId177" Type="http://schemas.openxmlformats.org/officeDocument/2006/relationships/hyperlink" Target="http://www.sec.gov/Archives/edgar/data/1144528/000089375002000332/exh10-1.txt" TargetMode="External"/><Relationship Id="rId178" Type="http://schemas.openxmlformats.org/officeDocument/2006/relationships/hyperlink" Target="http://www.sec.gov/Archives/edgar/data/1144528/000119312503097387/dex1022.htm" TargetMode="External"/><Relationship Id="rId179" Type="http://schemas.openxmlformats.org/officeDocument/2006/relationships/hyperlink" Target="http://www.sec.gov/Archives/edgar/data/1584509/000119312513445875/d574424dex1045.htm" TargetMode="External"/><Relationship Id="rId180" Type="http://schemas.openxmlformats.org/officeDocument/2006/relationships/hyperlink" Target="http://www.sec.gov/Archives/edgar/data/1584509/000158450920000044/ex106q12020.htm" TargetMode="External"/><Relationship Id="rId181" Type="http://schemas.openxmlformats.org/officeDocument/2006/relationships/hyperlink" Target="http://www.sec.gov/Archives/edgar/data/7032/000119312507175629/dex105.htm" TargetMode="External"/><Relationship Id="rId182" Type="http://schemas.openxmlformats.org/officeDocument/2006/relationships/hyperlink" Target="http://www.sec.gov/Archives/edgar/data/1584509/000119312513445875/d574424dex1048.htm" TargetMode="External"/><Relationship Id="rId183" Type="http://schemas.openxmlformats.org/officeDocument/2006/relationships/hyperlink" Target="http://www.sec.gov/Archives/edgar/data/1584509/000158450916000312/ex102thirdamendedandrestat.htm" TargetMode="External"/><Relationship Id="rId184" Type="http://schemas.openxmlformats.org/officeDocument/2006/relationships/hyperlink" Target="http://www.sec.gov/Archives/edgar/data/1584509/000158450918000226/ex104010-k2018x2019amended.htm" TargetMode="External"/><Relationship Id="rId185" Type="http://schemas.openxmlformats.org/officeDocument/2006/relationships/hyperlink" Target="http://www.sec.gov/Archives/edgar/data/1584509/000119312513360815/d574424dex1067.htm" TargetMode="External"/><Relationship Id="rId186" Type="http://schemas.openxmlformats.org/officeDocument/2006/relationships/hyperlink" Target="http://www.sec.gov/Archives/edgar/data/1584509/000119312513445875/d574424dex1022.htm" TargetMode="External"/><Relationship Id="rId187" Type="http://schemas.openxmlformats.org/officeDocument/2006/relationships/hyperlink" Target="http://www.sec.gov/Archives/edgar/data/1584509/000158450917000042/ex101aramarkamendedandrest.htm" TargetMode="External"/><Relationship Id="rId188" Type="http://schemas.openxmlformats.org/officeDocument/2006/relationships/hyperlink" Target="http://www.sec.gov/Archives/edgar/data/1584509/000119312519320893/d754382ddef14a.htm#toc754382_28" TargetMode="External"/><Relationship Id="rId189" Type="http://schemas.openxmlformats.org/officeDocument/2006/relationships/hyperlink" Target="http://www.sec.gov/Archives/edgar/data/1584509/000119312520326024/d51571ddef14a.htm#toc51571_27" TargetMode="External"/><Relationship Id="rId190" Type="http://schemas.openxmlformats.org/officeDocument/2006/relationships/hyperlink" Target="http://www.sec.gov/Archives/edgar/data/7032/000000703213000051/exhibit102.htm" TargetMode="External"/><Relationship Id="rId191" Type="http://schemas.openxmlformats.org/officeDocument/2006/relationships/hyperlink" Target="http://www.sec.gov/Archives/edgar/data/7032/000000703213000051/exhibit10-3.htm" TargetMode="External"/><Relationship Id="rId192" Type="http://schemas.openxmlformats.org/officeDocument/2006/relationships/hyperlink" Target="http://www.sec.gov/Archives/edgar/data/7032/000000703213000051/exhibit10-4.htm" TargetMode="External"/><Relationship Id="rId194" Type="http://schemas.openxmlformats.org/officeDocument/2006/relationships/hyperlink" Target="http://www.sec.gov/Archives/edgar/data/7032/000000703213000051/exhibit105.htm" TargetMode="External"/><Relationship Id="rId195" Type="http://schemas.openxmlformats.org/officeDocument/2006/relationships/hyperlink" Target="http://www.sec.gov/Archives/edgar/data/1584509/000119312513445875/d574424dex1068.htm" TargetMode="External"/><Relationship Id="rId196" Type="http://schemas.openxmlformats.org/officeDocument/2006/relationships/hyperlink" Target="http://www.sec.gov/Archives/edgar/data/1584509/000119312513445875/d574424dex1069.htm" TargetMode="External"/><Relationship Id="rId197" Type="http://schemas.openxmlformats.org/officeDocument/2006/relationships/hyperlink" Target="http://www.sec.gov/Archives/edgar/data/1584509/000119312513445875/d574424dex1071.htm" TargetMode="External"/><Relationship Id="rId198" Type="http://schemas.openxmlformats.org/officeDocument/2006/relationships/hyperlink" Target="http://www.sec.gov/Archives/edgar/data/1584509/000119312513445875/d574424dex1072.htm" TargetMode="External"/><Relationship Id="rId199" Type="http://schemas.openxmlformats.org/officeDocument/2006/relationships/hyperlink" Target="http://www.sec.gov/Archives/edgar/data/1584509/000158450914000006/ex104psuagreement.htm" TargetMode="External"/><Relationship Id="rId200" Type="http://schemas.openxmlformats.org/officeDocument/2006/relationships/hyperlink" Target="http://www.sec.gov/Archives/edgar/data/1584509/000158450914000122/ex1026formofpsuawardagreem.htm" TargetMode="External"/><Relationship Id="rId201" Type="http://schemas.openxmlformats.org/officeDocument/2006/relationships/hyperlink" Target="http://www.sec.gov/Archives/edgar/data/1584509/000158450915000137/ex102formofpsuaward.htm" TargetMode="External"/><Relationship Id="rId202" Type="http://schemas.openxmlformats.org/officeDocument/2006/relationships/hyperlink" Target="http://www.sec.gov/Archives/edgar/data/1584509/000158450915000215/ex1061performancersaagree.htm" TargetMode="External"/><Relationship Id="rId203" Type="http://schemas.openxmlformats.org/officeDocument/2006/relationships/hyperlink" Target="http://www.sec.gov/Archives/edgar/data/1584509/000158450915000215/ex1062optionagreementtsrve.htm" TargetMode="External"/><Relationship Id="rId204" Type="http://schemas.openxmlformats.org/officeDocument/2006/relationships/hyperlink" Target="http://www.sec.gov/Archives/edgar/data/1584509/000158450915000215/ex1063rsuagreementtsrvesti.htm" TargetMode="External"/><Relationship Id="rId205" Type="http://schemas.openxmlformats.org/officeDocument/2006/relationships/hyperlink" Target="http://www.sec.gov/Archives/edgar/data/1584509/000158450915000215/ex1064performancersatsrvest.htm" TargetMode="External"/><Relationship Id="rId206" Type="http://schemas.openxmlformats.org/officeDocument/2006/relationships/hyperlink" Target="http://www.sec.gov/Archives/edgar/data/1584509/000158450917000247/ex1070formofrsuawardnotice.htm" TargetMode="External"/><Relationship Id="rId207" Type="http://schemas.openxmlformats.org/officeDocument/2006/relationships/hyperlink" Target="http://www.sec.gov/Archives/edgar/data/1584509/000158450917000247/ex1071formofpsuawardnotice.htm" TargetMode="External"/><Relationship Id="rId208" Type="http://schemas.openxmlformats.org/officeDocument/2006/relationships/hyperlink" Target="http://www.sec.gov/Archives/edgar/data/1584509/000158450917000247/ex1072formofoptionawardnot.htm" TargetMode="External"/><Relationship Id="rId209" Type="http://schemas.openxmlformats.org/officeDocument/2006/relationships/hyperlink" Target="http://www.sec.gov/Archives/edgar/data/1584509/000158450917000247/ex1073formofrsuawardnotice.htm" TargetMode="External"/><Relationship Id="rId210" Type="http://schemas.openxmlformats.org/officeDocument/2006/relationships/hyperlink" Target="http://www.sec.gov/Archives/edgar/data/1584509/000158450917000247/ex1074formofpsuawardnotice.htm" TargetMode="External"/><Relationship Id="rId211" Type="http://schemas.openxmlformats.org/officeDocument/2006/relationships/hyperlink" Target="http://www.sec.gov/Archives/edgar/data/1584509/000158450917000247/ex1075formofoptionawardnot.htm" TargetMode="External"/><Relationship Id="rId212" Type="http://schemas.openxmlformats.org/officeDocument/2006/relationships/hyperlink" Target="http://www.sec.gov/Archives/edgar/data/1584509/000158450917000247/ex1076formoftsrrsuaward.htm" TargetMode="External"/><Relationship Id="rId213" Type="http://schemas.openxmlformats.org/officeDocument/2006/relationships/hyperlink" Target="http://www.sec.gov/Archives/edgar/data/1584509/000158450917000247/ex1077formoftsrpsuaward.htm" TargetMode="External"/><Relationship Id="rId215" Type="http://schemas.openxmlformats.org/officeDocument/2006/relationships/hyperlink" Target="http://www.sec.gov/Archives/edgar/data/1584509/000158450917000247/ex1078formoftsroptionaward.htm" TargetMode="External"/><Relationship Id="rId216" Type="http://schemas.openxmlformats.org/officeDocument/2006/relationships/hyperlink" Target="http://www.sec.gov/Archives/edgar/data/1584509/000158450919000237/ex1093-formofnqsoaward.htm" TargetMode="External"/><Relationship Id="rId217" Type="http://schemas.openxmlformats.org/officeDocument/2006/relationships/hyperlink" Target="http://www.sec.gov/Archives/edgar/data/1584509/000158450919000237/ex1094-formofrsutimeve.htm" TargetMode="External"/><Relationship Id="rId218" Type="http://schemas.openxmlformats.org/officeDocument/2006/relationships/hyperlink" Target="http://www.sec.gov/Archives/edgar/data/1584509/000158450919000237/ex1095-formofpsuaward.htm" TargetMode="External"/><Relationship Id="rId219" Type="http://schemas.openxmlformats.org/officeDocument/2006/relationships/hyperlink" Target="http://www.sec.gov/Archives/edgar/data/1584509/000158450919000237/ex1096-formofscheditop.htm" TargetMode="External"/><Relationship Id="rId220" Type="http://schemas.openxmlformats.org/officeDocument/2006/relationships/hyperlink" Target="http://www.sec.gov/Archives/edgar/data/1584509/000119312520194769/d881977dex106.htm" TargetMode="External"/><Relationship Id="rId221" Type="http://schemas.openxmlformats.org/officeDocument/2006/relationships/hyperlink" Target="http://www.sec.gov/Archives/edgar/data/1584509/000119312520194769/d881977dex107.htm" TargetMode="External"/><Relationship Id="rId222" Type="http://schemas.openxmlformats.org/officeDocument/2006/relationships/hyperlink" Target="http://www.sec.gov/Archives/edgar/data/1584509/000119312520194769/d881977dex108.htm" TargetMode="External"/><Relationship Id="rId223" Type="http://schemas.openxmlformats.org/officeDocument/2006/relationships/hyperlink" Target="http://www.sec.gov/Archives/edgar/data/1584509/000158450920000230/ex101042020xamendedand.htm" TargetMode="External"/><Relationship Id="rId224" Type="http://schemas.openxmlformats.org/officeDocument/2006/relationships/hyperlink" Target="http://www.sec.gov/Archives/edgar/data/1584509/000158450920000230/ex101052020xeltformofn.htm" TargetMode="External"/><Relationship Id="rId225" Type="http://schemas.openxmlformats.org/officeDocument/2006/relationships/hyperlink" Target="http://www.sec.gov/Archives/edgar/data/1584509/000158450920000230/ex101062020xamendedand.htm" TargetMode="External"/><Relationship Id="rId226" Type="http://schemas.openxmlformats.org/officeDocument/2006/relationships/hyperlink" Target="http://www.sec.gov/Archives/edgar/data/1584509/000158450920000230/ex10107-amendedandrest.htm" TargetMode="External"/><Relationship Id="rId227" Type="http://schemas.openxmlformats.org/officeDocument/2006/relationships/hyperlink" Target="http://www.sec.gov/Archives/edgar/data/1584509/000158450920000230/ex10108-formofnonxqual.htm" TargetMode="External"/><Relationship Id="rId228" Type="http://schemas.openxmlformats.org/officeDocument/2006/relationships/hyperlink" Target="http://www.sec.gov/Archives/edgar/data/1584509/000158450920000230/ex101092020xformofrsua.htm" TargetMode="External"/><Relationship Id="rId229" Type="http://schemas.openxmlformats.org/officeDocument/2006/relationships/hyperlink" Target="http://www.sec.gov/Archives/edgar/data/1584509/000119312513445875/d574424dex1046.htm" TargetMode="External"/><Relationship Id="rId230" Type="http://schemas.openxmlformats.org/officeDocument/2006/relationships/hyperlink" Target="http://www.sec.gov/Archives/edgar/data/1584509/000119312513445875/d574424dex1073.htm" TargetMode="External"/><Relationship Id="rId231" Type="http://schemas.openxmlformats.org/officeDocument/2006/relationships/hyperlink" Target="http://www.sec.gov/Archives/edgar/data/1584509/000158450914000122/ex1077revisedformofdsuawar.htmv" TargetMode="External"/><Relationship Id="rId232" Type="http://schemas.openxmlformats.org/officeDocument/2006/relationships/hyperlink" Target="http://www.sec.gov/Archives/edgar/data/1584509/000158450914000122/ex1077revisedformofdsuawar.htm" TargetMode="External"/><Relationship Id="rId233" Type="http://schemas.openxmlformats.org/officeDocument/2006/relationships/hyperlink" Target="http://www.sec.gov/Archives/edgar/data/1584509/000158450915000089/ex104dsuagreement.htm" TargetMode="External"/><Relationship Id="rId234" Type="http://schemas.openxmlformats.org/officeDocument/2006/relationships/hyperlink" Target="http://www.sec.gov/Archives/edgar/data/1584509/000158450915000215/ex1069aircrafttimesharinga.htm" TargetMode="External"/><Relationship Id="rId236" Type="http://schemas.openxmlformats.org/officeDocument/2006/relationships/hyperlink" Target="http://www.sec.gov/Archives/edgar/data/1584509/000119312519263370/d815967dex101.htm" TargetMode="External"/><Relationship Id="rId237" Type="http://schemas.openxmlformats.org/officeDocument/2006/relationships/hyperlink" Target="http://www.sec.gov/Archives/edgar/data/1584509/000158450921000046/ex1032021q1xamendmenttoste.htm" TargetMode="External"/><Relationship Id="rId238" Type="http://schemas.openxmlformats.org/officeDocument/2006/relationships/hyperlink" Target="http://www.sec.gov/Archives/edgar/data/1584509/000158450920000276/ex101registrationrightsagr.htm" TargetMode="External"/><Relationship Id="rId239" Type="http://schemas.openxmlformats.org/officeDocument/2006/relationships/hyperlink" Target="http://www.sec.gov/Archives/edgar/data/1584509/000119312520326024/d51571ddef14a.htm#toc51571_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2021-11-23T15:53:36Z</dcterms:created>
  <dcterms:modified xsi:type="dcterms:W3CDTF">2021-11-23T15:53:36Z</dcterms:modified>
</cp:coreProperties>
</file>