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6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60" w:after="60"/>
        <w:jc w:val="center"/>
        <w:rPr/>
      </w:pPr>
      <w:r>
        <w:rPr>
          <w:rFonts w:ascii="Wingdings;sans-serif" w:hAnsi="Wingdings;sans-serif"/>
          <w:b w:val="false"/>
          <w:color w:val="000000"/>
          <w:sz w:val="20"/>
        </w:rPr>
        <w:t xml:space="preserve">x </w:t>
      </w:r>
      <w:r>
        <w:rPr>
          <w:rFonts w:ascii="Times New Roman;serif" w:hAnsi="Times New Roman;serif"/>
          <w:b/>
          <w:color w:val="000000"/>
          <w:sz w:val="24"/>
        </w:rPr>
        <w:t>QUARTERLY REPORT 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quarterly period ended July 3, 2026</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60" w:after="60"/>
        <w:jc w:val="center"/>
        <w:rPr/>
      </w:pPr>
      <w:r>
        <w:rPr>
          <w:color w:val="000000"/>
        </w:rPr>
        <w:t xml:space="preserve">☐ </w:t>
      </w:r>
      <w:r>
        <w:rPr>
          <w:rFonts w:ascii="Times New Roman;serif" w:hAnsi="Times New Roman;serif"/>
          <w:b/>
          <w:color w:val="000000"/>
          <w:sz w:val="24"/>
        </w:rPr>
        <w:t xml:space="preserve">TRANSITION REPORT PURSUANT TO SECTION 13 OR 15(d)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 to 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001-36223 </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before="60" w:after="60"/>
        <w:jc w:val="center"/>
        <w:rPr/>
      </w:pPr>
      <w:r>
        <w:rPr/>
        <w:drawing>
          <wp:inline distT="0" distB="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bookmarkStart w:id="0" w:name="i-1"/>
      <w:bookmarkEnd w:id="0"/>
    </w:p>
    <w:tbl>
      <w:tblPr>
        <w:tblW w:w="4617" w:type="dxa"/>
        <w:jc w:val="center"/>
        <w:tblInd w:w="0" w:type="dxa"/>
        <w:tblLayout w:type="fixed"/>
        <w:tblCellMar>
          <w:top w:w="28" w:type="dxa"/>
          <w:left w:w="28" w:type="dxa"/>
          <w:bottom w:w="28" w:type="dxa"/>
          <w:right w:w="28" w:type="dxa"/>
        </w:tblCellMar>
      </w:tblPr>
      <w:tblGrid>
        <w:gridCol w:w="518"/>
        <w:gridCol w:w="456"/>
        <w:gridCol w:w="456"/>
        <w:gridCol w:w="477"/>
        <w:gridCol w:w="477"/>
        <w:gridCol w:w="478"/>
        <w:gridCol w:w="513"/>
        <w:gridCol w:w="513"/>
        <w:gridCol w:w="729"/>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Aramark</w:t>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20-8236097</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2400 Market Street</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Philadelphia,</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Pennsylvania</w:t>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238-3000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73" w:type="dxa"/>
        <w:jc w:val="left"/>
        <w:tblInd w:w="0" w:type="dxa"/>
        <w:tblLayout w:type="fixed"/>
        <w:tblCellMar>
          <w:top w:w="28" w:type="dxa"/>
          <w:left w:w="28" w:type="dxa"/>
          <w:bottom w:w="28" w:type="dxa"/>
          <w:right w:w="28" w:type="dxa"/>
        </w:tblCellMar>
      </w:tblPr>
      <w:tblGrid>
        <w:gridCol w:w="452"/>
        <w:gridCol w:w="396"/>
        <w:gridCol w:w="396"/>
        <w:gridCol w:w="625"/>
        <w:gridCol w:w="625"/>
        <w:gridCol w:w="625"/>
        <w:gridCol w:w="564"/>
        <w:gridCol w:w="564"/>
        <w:gridCol w:w="566"/>
        <w:gridCol w:w="1157"/>
        <w:gridCol w:w="1157"/>
        <w:gridCol w:w="1646"/>
      </w:tblGrid>
      <w:tr>
        <w:trPr/>
        <w:tc>
          <w:tcPr>
            <w:tcW w:w="4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60"/>
        <w:jc w:val="left"/>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60"/>
        <w:gridCol w:w="492"/>
        <w:gridCol w:w="495"/>
        <w:gridCol w:w="109"/>
        <w:gridCol w:w="109"/>
        <w:gridCol w:w="109"/>
        <w:gridCol w:w="480"/>
        <w:gridCol w:w="480"/>
        <w:gridCol w:w="481"/>
        <w:gridCol w:w="109"/>
        <w:gridCol w:w="109"/>
        <w:gridCol w:w="109"/>
        <w:gridCol w:w="537"/>
        <w:gridCol w:w="537"/>
        <w:gridCol w:w="538"/>
        <w:gridCol w:w="109"/>
        <w:gridCol w:w="109"/>
        <w:gridCol w:w="109"/>
        <w:gridCol w:w="770"/>
        <w:gridCol w:w="770"/>
        <w:gridCol w:w="771"/>
        <w:gridCol w:w="109"/>
        <w:gridCol w:w="109"/>
        <w:gridCol w:w="109"/>
        <w:gridCol w:w="536"/>
        <w:gridCol w:w="536"/>
        <w:gridCol w:w="538"/>
        <w:gridCol w:w="109"/>
        <w:gridCol w:w="109"/>
        <w:gridCol w:w="15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00" w:after="60"/>
        <w:ind w:left="0" w:right="0" w:firstLine="450"/>
        <w:jc w:val="left"/>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July 31, 2026, the number of shares of the registrant's common stock outstanding is 263,625,044.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color w:val="000000"/>
        </w:rPr>
      </w:pPr>
      <w:r>
        <w:rPr>
          <w:color w:val="000000"/>
        </w:rPr>
        <w:t>    </w:t>
      </w:r>
    </w:p>
    <w:tbl>
      <w:tblPr>
        <w:tblW w:w="9879" w:type="dxa"/>
        <w:jc w:val="center"/>
        <w:tblInd w:w="0" w:type="dxa"/>
        <w:tblLayout w:type="fixed"/>
        <w:tblCellMar>
          <w:top w:w="28" w:type="dxa"/>
          <w:left w:w="28" w:type="dxa"/>
          <w:bottom w:w="28" w:type="dxa"/>
          <w:right w:w="28" w:type="dxa"/>
        </w:tblCellMar>
      </w:tblPr>
      <w:tblGrid>
        <w:gridCol w:w="329"/>
        <w:gridCol w:w="288"/>
        <w:gridCol w:w="288"/>
        <w:gridCol w:w="288"/>
        <w:gridCol w:w="288"/>
        <w:gridCol w:w="288"/>
        <w:gridCol w:w="2443"/>
        <w:gridCol w:w="2443"/>
        <w:gridCol w:w="2449"/>
        <w:gridCol w:w="222"/>
        <w:gridCol w:w="222"/>
        <w:gridCol w:w="331"/>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8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TABLE OF CONTENTS</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3">
              <w:r>
                <w:rPr>
                  <w:rStyle w:val="InternetLink"/>
                  <w:rFonts w:ascii="Times New Roman;serif" w:hAnsi="Times New Roman;serif"/>
                  <w:b w:val="false"/>
                  <w:color w:val="0000FF"/>
                  <w:sz w:val="20"/>
                  <w:u w:val="single"/>
                </w:rPr>
                <w:t>PART I - Financial Information</w:t>
              </w:r>
            </w:hyperlink>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6">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1d69ea458dd4405fb107b9e3de94c4e7_16">
              <w:r>
                <w:rPr>
                  <w:rStyle w:val="InternetLink"/>
                  <w:rFonts w:ascii="Times New Roman;serif" w:hAnsi="Times New Roman;serif"/>
                  <w:b w:val="false"/>
                  <w:color w:val="0000FF"/>
                  <w:sz w:val="20"/>
                  <w:u w:val="single"/>
                </w:rPr>
                <w:t>Financial Statements (Unaudited)</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6">
              <w:r>
                <w:rPr>
                  <w:rStyle w:val="InternetLink"/>
                  <w:rFonts w:ascii="Times New Roman;serif" w:hAnsi="Times New Roman;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9">
              <w:r>
                <w:rPr>
                  <w:rStyle w:val="InternetLink"/>
                  <w:rFonts w:ascii="Times New Roman;serif" w:hAnsi="Times New Roman;serif"/>
                  <w:b w:val="false"/>
                  <w:color w:val="0000FF"/>
                  <w:sz w:val="20"/>
                  <w:u w:val="single"/>
                </w:rPr>
                <w:t>Condensed Consolidated Balance Sheets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9">
              <w:r>
                <w:rPr>
                  <w:rStyle w:val="InternetLink"/>
                  <w:rFonts w:ascii="Times New Roman;serif" w:hAnsi="Times New Roman;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22">
              <w:r>
                <w:rPr>
                  <w:rStyle w:val="InternetLink"/>
                  <w:rFonts w:ascii="Times New Roman;serif" w:hAnsi="Times New Roman;serif"/>
                  <w:b w:val="false"/>
                  <w:color w:val="0000FF"/>
                  <w:sz w:val="20"/>
                  <w:u w:val="single"/>
                </w:rPr>
                <w:t>Condensed Consolidated Statements of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22">
              <w:r>
                <w:rPr>
                  <w:rStyle w:val="InternetLink"/>
                  <w:rFonts w:ascii="Times New Roman;serif" w:hAnsi="Times New Roman;serif"/>
                  <w:b w:val="false"/>
                  <w:color w:val="0000FF"/>
                  <w:sz w:val="20"/>
                  <w:u w:val="singl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25">
              <w:r>
                <w:rPr>
                  <w:rStyle w:val="InternetLink"/>
                  <w:rFonts w:ascii="Times New Roman;serif" w:hAnsi="Times New Roman;serif"/>
                  <w:b w:val="false"/>
                  <w:color w:val="0000FF"/>
                  <w:sz w:val="20"/>
                  <w:u w:val="single"/>
                </w:rPr>
                <w:t>Condensed Consolidated Statements of Comprehensive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25">
              <w:r>
                <w:rPr>
                  <w:rStyle w:val="InternetLink"/>
                  <w:rFonts w:ascii="Times New Roman;serif" w:hAnsi="Times New Roman;serif"/>
                  <w:b w:val="false"/>
                  <w:color w:val="0000FF"/>
                  <w:sz w:val="20"/>
                  <w:u w:val="singl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28">
              <w:r>
                <w:rPr>
                  <w:rStyle w:val="InternetLink"/>
                  <w:rFonts w:ascii="Times New Roman;serif" w:hAnsi="Times New Roman;serif"/>
                  <w:b w:val="false"/>
                  <w:color w:val="0000FF"/>
                  <w:sz w:val="20"/>
                  <w:u w:val="single"/>
                </w:rPr>
                <w:t>Condensed Consolidated Statements of Cash Flows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28">
              <w:r>
                <w:rPr>
                  <w:rStyle w:val="InternetLink"/>
                  <w:rFonts w:ascii="Times New Roman;serif" w:hAnsi="Times New Roman;serif"/>
                  <w:b w:val="false"/>
                  <w:color w:val="0000FF"/>
                  <w:sz w:val="20"/>
                  <w:u w:val="single"/>
                </w:rPr>
                <w:t>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31">
              <w:r>
                <w:rPr>
                  <w:rStyle w:val="InternetLink"/>
                  <w:rFonts w:ascii="Times New Roman;serif" w:hAnsi="Times New Roman;serif"/>
                  <w:b w:val="false"/>
                  <w:color w:val="0000FF"/>
                  <w:sz w:val="20"/>
                  <w:u w:val="single"/>
                </w:rPr>
                <w:t>Condensed Consolidated Statements of Stockholders' Equity</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31">
              <w:r>
                <w:rPr>
                  <w:rStyle w:val="InternetLink"/>
                  <w:rFonts w:ascii="Times New Roman;serif" w:hAnsi="Times New Roman;serif"/>
                  <w:b w:val="false"/>
                  <w:color w:val="0000FF"/>
                  <w:sz w:val="20"/>
                  <w:u w:val="single"/>
                </w:rPr>
                <w:t>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34">
              <w:r>
                <w:rPr>
                  <w:rStyle w:val="InternetLink"/>
                  <w:rFonts w:ascii="Times New Roman;serif" w:hAnsi="Times New Roman;serif"/>
                  <w:b w:val="false"/>
                  <w:color w:val="0000FF"/>
                  <w:sz w:val="20"/>
                  <w:u w:val="single"/>
                </w:rPr>
                <w:t>Notes to Condensed Consolidated Financial Statements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34">
              <w:r>
                <w:rPr>
                  <w:rStyle w:val="InternetLink"/>
                  <w:rFonts w:ascii="Times New Roman;serif" w:hAnsi="Times New Roman;serif"/>
                  <w:b w:val="false"/>
                  <w:color w:val="0000FF"/>
                  <w:sz w:val="20"/>
                  <w:u w:val="single"/>
                </w:rPr>
                <w:t>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73">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73">
              <w:r>
                <w:rPr>
                  <w:rStyle w:val="InternetLink"/>
                  <w:rFonts w:ascii="Times New Roman;serif" w:hAnsi="Times New Roman;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94">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94">
              <w:r>
                <w:rPr>
                  <w:rStyle w:val="InternetLink"/>
                  <w:rFonts w:ascii="Times New Roman;serif" w:hAnsi="Times New Roman;serif"/>
                  <w:b w:val="false"/>
                  <w:color w:val="0000FF"/>
                  <w:sz w:val="20"/>
                  <w:u w:val="single"/>
                </w:rPr>
                <w:t>Quantitative and Qualitative Disclosure About Market Risk</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94">
              <w:r>
                <w:rPr>
                  <w:rStyle w:val="InternetLink"/>
                  <w:rFonts w:ascii="Times New Roman;serif" w:hAnsi="Times New Roman;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97">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97">
              <w:r>
                <w:rPr>
                  <w:rStyle w:val="InternetLink"/>
                  <w:rFonts w:ascii="Times New Roman;serif" w:hAnsi="Times New Roman;serif"/>
                  <w:b w:val="false"/>
                  <w:color w:val="0000FF"/>
                  <w:sz w:val="20"/>
                  <w:u w:val="single"/>
                </w:rPr>
                <w:t>Controls and Procedures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97">
              <w:r>
                <w:rPr>
                  <w:rStyle w:val="InternetLink"/>
                  <w:rFonts w:ascii="Times New Roman;serif" w:hAnsi="Times New Roman;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0">
              <w:r>
                <w:rPr>
                  <w:rStyle w:val="InternetLink"/>
                  <w:rFonts w:ascii="Times New Roman;serif" w:hAnsi="Times New Roman;serif"/>
                  <w:b w:val="false"/>
                  <w:color w:val="0000FF"/>
                  <w:sz w:val="20"/>
                  <w:u w:val="single"/>
                </w:rPr>
                <w:t>PART II - Other Information</w:t>
              </w:r>
            </w:hyperlink>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3">
              <w:r>
                <w:rPr>
                  <w:rStyle w:val="InternetLink"/>
                  <w:rFonts w:ascii="Times New Roman;serif" w:hAnsi="Times New Roman;serif"/>
                  <w:b w:val="false"/>
                  <w:color w:val="0000FF"/>
                  <w:sz w:val="20"/>
                  <w:u w:val="single"/>
                </w:rPr>
                <w:t>Legal Proceedings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03">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6">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6">
              <w:r>
                <w:rPr>
                  <w:rStyle w:val="InternetLink"/>
                  <w:rFonts w:ascii="Times New Roman;serif" w:hAnsi="Times New Roman;serif"/>
                  <w:b w:val="false"/>
                  <w:color w:val="0000FF"/>
                  <w:sz w:val="20"/>
                  <w:u w:val="single"/>
                </w:rPr>
                <w:t>Risk Factors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06">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9">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09">
              <w:r>
                <w:rPr>
                  <w:rStyle w:val="InternetLink"/>
                  <w:rFonts w:ascii="Times New Roman;serif" w:hAnsi="Times New Roman;serif"/>
                  <w:b w:val="false"/>
                  <w:color w:val="0000FF"/>
                  <w:sz w:val="20"/>
                  <w:u w:val="single"/>
                </w:rPr>
                <w:t>Unregistered Sales of Equity Securities and Use of Proceeds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09">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1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12">
              <w:r>
                <w:rPr>
                  <w:rStyle w:val="InternetLink"/>
                  <w:rFonts w:ascii="Times New Roman;serif" w:hAnsi="Times New Roman;serif"/>
                  <w:b w:val="false"/>
                  <w:color w:val="0000FF"/>
                  <w:sz w:val="20"/>
                  <w:u w:val="single"/>
                </w:rPr>
                <w:t>Defaults Upon Senior Securities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12">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15">
              <w:r>
                <w:rPr>
                  <w:rStyle w:val="InternetLink"/>
                  <w:rFonts w:ascii="Times New Roman;serif" w:hAnsi="Times New Roman;serif"/>
                  <w:b w:val="false"/>
                  <w:color w:val="0000FF"/>
                  <w:sz w:val="20"/>
                  <w:u w:val="single"/>
                </w:rPr>
                <w:t>Mine Safety Disclosures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15">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18">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18">
              <w:r>
                <w:rPr>
                  <w:rStyle w:val="InternetLink"/>
                  <w:rFonts w:ascii="Times New Roman;serif" w:hAnsi="Times New Roman;serif"/>
                  <w:b w:val="false"/>
                  <w:color w:val="0000FF"/>
                  <w:sz w:val="20"/>
                  <w:u w:val="single"/>
                </w:rPr>
                <w:t>Other Information</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18">
              <w:r>
                <w:rPr>
                  <w:rStyle w:val="InternetLink"/>
                  <w:rFonts w:ascii="Times New Roman;serif" w:hAnsi="Times New Roman;serif"/>
                  <w:b w:val="false"/>
                  <w:color w:val="0000FF"/>
                  <w:sz w:val="20"/>
                  <w:u w:val="single"/>
                </w:rPr>
                <w:t>31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21">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21">
              <w:r>
                <w:rPr>
                  <w:rStyle w:val="InternetLink"/>
                  <w:rFonts w:ascii="Times New Roman;serif" w:hAnsi="Times New Roman;serif"/>
                  <w:b w:val="false"/>
                  <w:color w:val="0000FF"/>
                  <w:sz w:val="20"/>
                  <w:u w:val="single"/>
                </w:rPr>
                <w:t>Exhibits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21">
              <w:r>
                <w:rPr>
                  <w:rStyle w:val="InternetLink"/>
                  <w:rFonts w:ascii="Times New Roman;serif" w:hAnsi="Times New Roman;serif"/>
                  <w:b w:val="false"/>
                  <w:color w:val="0000FF"/>
                  <w:sz w:val="20"/>
                  <w:u w:val="single"/>
                </w:rPr>
                <w:t>31</w:t>
              </w:r>
            </w:hyperlink>
          </w:p>
        </w:tc>
      </w:tr>
    </w:tbl>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color w:val="000000"/>
          <w:sz w:val="19"/>
        </w:rPr>
      </w:pPr>
      <w:r>
        <w:rPr>
          <w:rFonts w:ascii="Times New Roman;serif" w:hAnsi="Times New Roman;serif"/>
          <w:b/>
          <w:color w:val="000000"/>
          <w:sz w:val="19"/>
        </w:rPr>
        <w:t>Special Note About Forward-Looking Statements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the conflict in the Middle East, global supply chain disruptions, inflation, volatility and disruption of global financial markets; the impact of the United States' and other countries’ trade policies including the implementation of tariffs;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sufficiently qualified personnel or increases in labor costs; our expansion strategy and our ability to successfully integrate the businesses we acquire and costs and timing related thereto;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the use of artificial intelligence technologies within our business processes; our leverage; variable rate indebtedness that subjects us to interest rate risk; the inability to generate sufficient cash to service all of our indebtedness; debt agreements that limit our flexibility in operating our business; risks associated with the completed spin-off of Aramark Uniform and Career Apparel ("Uniform") as an independent publicly traded company to our stockholders;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25, 2025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2909"/>
        <w:gridCol w:w="2186"/>
        <w:gridCol w:w="2193"/>
        <w:gridCol w:w="196"/>
        <w:gridCol w:w="961"/>
        <w:gridCol w:w="109"/>
        <w:gridCol w:w="109"/>
        <w:gridCol w:w="109"/>
        <w:gridCol w:w="109"/>
        <w:gridCol w:w="197"/>
        <w:gridCol w:w="970"/>
        <w:gridCol w:w="157"/>
      </w:tblGrid>
      <w:tr>
        <w:trPr/>
        <w:tc>
          <w:tcPr>
            <w:tcW w:w="29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Receivables (less allowances: $35,460 and $31,728)</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current assets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3,855,934 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3,522,891 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1,734,489 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596,673 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13,973,937 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13,304,629 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1,522,747 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related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3,546,722 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5,374,394 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410,866 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$0.01 (authorized: 600,000,000 shares; issued: 310,567,479 shares and 308,092,122 shares; and outstanding: 263,561,621 shares and 262,899,495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surplus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(held in treasury: 47,005,858 shares and 45,192,627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(1,177,182)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3,148,059 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13,973,937 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13,304,629 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594"/>
        <w:gridCol w:w="1342"/>
        <w:gridCol w:w="1358"/>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961"/>
        <w:gridCol w:w="155"/>
      </w:tblGrid>
      <w:tr>
        <w:trPr/>
        <w:tc>
          <w:tcPr>
            <w:tcW w:w="159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4,626,451 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14,796,800 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13,457,835 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provided (exclusive of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12,327,229 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general corporate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4,443,864 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14,143,916 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12,883,809 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574,026 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322,117 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239,628 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Aramark stockholders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239,256 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attributable to Aramark stockholders: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639" w:type="dxa"/>
            <w:gridSpan w:val="6"/>
            <w:tcBorders/>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1678"/>
        <w:gridCol w:w="1466"/>
        <w:gridCol w:w="1481"/>
        <w:gridCol w:w="211"/>
        <w:gridCol w:w="826"/>
        <w:gridCol w:w="109"/>
        <w:gridCol w:w="109"/>
        <w:gridCol w:w="109"/>
        <w:gridCol w:w="109"/>
        <w:gridCol w:w="226"/>
        <w:gridCol w:w="772"/>
        <w:gridCol w:w="116"/>
        <w:gridCol w:w="109"/>
        <w:gridCol w:w="109"/>
        <w:gridCol w:w="109"/>
        <w:gridCol w:w="211"/>
        <w:gridCol w:w="826"/>
        <w:gridCol w:w="109"/>
        <w:gridCol w:w="109"/>
        <w:gridCol w:w="109"/>
        <w:gridCol w:w="109"/>
        <w:gridCol w:w="211"/>
        <w:gridCol w:w="826"/>
        <w:gridCol w:w="156"/>
      </w:tblGrid>
      <w:tr>
        <w:trPr/>
        <w:tc>
          <w:tcPr>
            <w:tcW w:w="167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Aramark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219,996 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20" w:type="dxa"/>
            <w:gridSpan w:val="6"/>
            <w:tcBorders/>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252" w:type="dxa"/>
        <w:jc w:val="center"/>
        <w:tblInd w:w="0" w:type="dxa"/>
        <w:tblLayout w:type="fixed"/>
        <w:tblCellMar>
          <w:top w:w="28" w:type="dxa"/>
          <w:left w:w="28" w:type="dxa"/>
          <w:bottom w:w="28" w:type="dxa"/>
          <w:right w:w="28" w:type="dxa"/>
        </w:tblCellMar>
      </w:tblPr>
      <w:tblGrid>
        <w:gridCol w:w="2071"/>
        <w:gridCol w:w="1814"/>
        <w:gridCol w:w="1829"/>
        <w:gridCol w:w="196"/>
        <w:gridCol w:w="736"/>
        <w:gridCol w:w="109"/>
        <w:gridCol w:w="109"/>
        <w:gridCol w:w="109"/>
        <w:gridCol w:w="109"/>
        <w:gridCol w:w="211"/>
        <w:gridCol w:w="793"/>
        <w:gridCol w:w="166"/>
      </w:tblGrid>
      <w:tr>
        <w:trPr/>
        <w:tc>
          <w:tcPr>
            <w:tcW w:w="207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352,085 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contingent consideration liability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44,721 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made to clients on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operating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(254,527)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Disposals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Acquisition of certain businesses,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(263,043)</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certain equity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(614,178)</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of long-term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(1,851,545)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change in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change in funding under the Receivables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Payments of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36,427 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(140,156)</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contingent considerations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679,377 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rates on cash and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14,419 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cash and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(174,909)</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732,613 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557,704 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12" w:type="dxa"/>
        <w:jc w:val="center"/>
        <w:tblInd w:w="0" w:type="dxa"/>
        <w:tblLayout w:type="fixed"/>
        <w:tblCellMar>
          <w:top w:w="28" w:type="dxa"/>
          <w:left w:w="28" w:type="dxa"/>
          <w:bottom w:w="28" w:type="dxa"/>
          <w:right w:w="28" w:type="dxa"/>
        </w:tblCellMar>
      </w:tblPr>
      <w:tblGrid>
        <w:gridCol w:w="1331"/>
        <w:gridCol w:w="1170"/>
        <w:gridCol w:w="1173"/>
        <w:gridCol w:w="196"/>
        <w:gridCol w:w="736"/>
        <w:gridCol w:w="109"/>
        <w:gridCol w:w="109"/>
        <w:gridCol w:w="109"/>
        <w:gridCol w:w="109"/>
        <w:gridCol w:w="211"/>
        <w:gridCol w:w="793"/>
        <w:gridCol w:w="166"/>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Supplemental disclosure of cash flow information</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226,652 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reported within the Condensed Consolidated Balance Sheets (in thousands):</w:t>
      </w:r>
    </w:p>
    <w:tbl>
      <w:tblPr>
        <w:tblW w:w="6813" w:type="dxa"/>
        <w:jc w:val="center"/>
        <w:tblInd w:w="0" w:type="dxa"/>
        <w:tblLayout w:type="fixed"/>
        <w:tblCellMar>
          <w:top w:w="28" w:type="dxa"/>
          <w:left w:w="28" w:type="dxa"/>
          <w:bottom w:w="28" w:type="dxa"/>
          <w:right w:w="28" w:type="dxa"/>
        </w:tblCellMar>
      </w:tblPr>
      <w:tblGrid>
        <w:gridCol w:w="1550"/>
        <w:gridCol w:w="1359"/>
        <w:gridCol w:w="1366"/>
        <w:gridCol w:w="196"/>
        <w:gridCol w:w="736"/>
        <w:gridCol w:w="109"/>
        <w:gridCol w:w="109"/>
        <w:gridCol w:w="109"/>
        <w:gridCol w:w="109"/>
        <w:gridCol w:w="211"/>
        <w:gridCol w:w="793"/>
        <w:gridCol w:w="166"/>
      </w:tblGrid>
      <w:tr>
        <w:trPr/>
        <w:tc>
          <w:tcPr>
            <w:tcW w:w="155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Balance Sheet classification</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501,485 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Prepayments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557,704 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32"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896"/>
        <w:gridCol w:w="109"/>
        <w:gridCol w:w="109"/>
        <w:gridCol w:w="109"/>
        <w:gridCol w:w="109"/>
        <w:gridCol w:w="211"/>
        <w:gridCol w:w="99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October 3,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(1,177,182)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($0.12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2,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(1,218,444)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($0.12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April 3,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(1,244,041)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($0.12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July 3,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(1,246,698)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pStyle w:val="TextBody"/>
        <w:bidi w:val="0"/>
        <w:spacing w:before="6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ARAMARK AND SUBSIDIARIES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32"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896"/>
        <w:gridCol w:w="109"/>
        <w:gridCol w:w="109"/>
        <w:gridCol w:w="109"/>
        <w:gridCol w:w="109"/>
        <w:gridCol w:w="211"/>
        <w:gridCol w:w="99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27,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($0.105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27,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(1,034,546)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($0.105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28, 2025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(1,145,585)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from issuance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of equity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($0.105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27,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3,084,131 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4,014,513 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(1,175,487)</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10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1. BASIS OF PRESENTATION AND SUMMARY OF SIGNIFICANT ACCOUNTING POLICIES: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25, 2025. The Condensed Consolidated Balance Sheets as of October 3, 2025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the Company and all of its subsidiaries in which a controlling financial interest is maintained. All intercompany transactions and accounts have been eliminated. </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New Accounting Standards Updates</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Standards Not Yet Adopted (from most to least recent date of issuance)</w:t>
      </w:r>
    </w:p>
    <w:p>
      <w:pPr>
        <w:pStyle w:val="TextBody"/>
        <w:bidi w:val="0"/>
        <w:spacing w:lineRule="auto" w:line="288" w:before="100" w:after="60"/>
        <w:jc w:val="left"/>
        <w:rPr/>
      </w:pPr>
      <w:r>
        <w:rPr>
          <w:rFonts w:ascii="Times New Roman;serif" w:hAnsi="Times New Roman;serif"/>
          <w:b w:val="false"/>
          <w:color w:val="000000"/>
          <w:sz w:val="20"/>
        </w:rPr>
        <w:t xml:space="preserve">In September 2025, the Financial Accounting Standards Board ("FASB") issued </w:t>
      </w:r>
      <w:r>
        <w:rPr>
          <w:rFonts w:ascii="Times New Roman;serif" w:hAnsi="Times New Roman;serif"/>
          <w:b w:val="false"/>
          <w:i/>
          <w:color w:val="000000"/>
          <w:sz w:val="20"/>
        </w:rPr>
        <w:t>Accounting Standards Update ("ASU") 2025-06, Intangibles—Goodwill and Other—Internal-Use Software (Subtopic 350-40): Targeted Improvements to the Accounting for Internal-Use Software (Subtopic 350-40)</w:t>
      </w:r>
      <w:r>
        <w:rPr>
          <w:rFonts w:ascii="Times New Roman;serif" w:hAnsi="Times New Roman;serif"/>
          <w:b w:val="false"/>
          <w:color w:val="000000"/>
          <w:sz w:val="20"/>
        </w:rPr>
        <w:t>,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guidance, entities will commence capitalizing eligible costs when (i) management has authorized and committed to funding the software project, and (ii) it is probable that the project will be completed, and the software will be used to perform the function intended. The guidance is effective for the Company in the first quarter of fiscal 2029 and early adoption is permitted. The guidance can be applied on a prospective basis, a modified basis for in-process projects or on a retrospective basis. The Company expects to early adopt ASU 2025-06 in the first quarter of fiscal 2027 on a prospective basis, and the guidance is not expected to have a material impact on the condensed consolidated financial statements.</w:t>
      </w:r>
    </w:p>
    <w:p>
      <w:pPr>
        <w:pStyle w:val="TextBody"/>
        <w:bidi w:val="0"/>
        <w:spacing w:lineRule="auto" w:line="288" w:before="100" w:after="60"/>
        <w:jc w:val="left"/>
        <w:rPr/>
      </w:pPr>
      <w:r>
        <w:rPr>
          <w:rFonts w:ascii="Times New Roman;serif" w:hAnsi="Times New Roman;serif"/>
          <w:b w:val="false"/>
          <w:color w:val="000000"/>
          <w:sz w:val="20"/>
        </w:rPr>
        <w:t xml:space="preserve">In November 2024, the FASB issued </w:t>
      </w:r>
      <w:r>
        <w:rPr>
          <w:rFonts w:ascii="Times New Roman;serif" w:hAnsi="Times New Roman;serif"/>
          <w:b w:val="false"/>
          <w:i/>
          <w:color w:val="000000"/>
          <w:sz w:val="20"/>
        </w:rPr>
        <w:t>ASU 2024-03, 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The guidance requires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annual periods beginning in fiscal 2028 and for interim periods beginning in fiscal 2029. The Company is currently assessing the impact of the new guidance on its financial statement disclosures. </w:t>
      </w:r>
    </w:p>
    <w:p>
      <w:pPr>
        <w:pStyle w:val="TextBody"/>
        <w:bidi w:val="0"/>
        <w:spacing w:lineRule="auto" w:line="288" w:before="100" w:after="60"/>
        <w:jc w:val="left"/>
        <w:rPr/>
      </w:pPr>
      <w:r>
        <w:rPr>
          <w:rFonts w:ascii="Times New Roman;serif" w:hAnsi="Times New Roman;serif"/>
          <w:b w:val="false"/>
          <w:color w:val="000000"/>
          <w:sz w:val="20"/>
        </w:rPr>
        <w:t xml:space="preserve">In December 2023, the FASB issued </w:t>
      </w:r>
      <w:r>
        <w:rPr>
          <w:rFonts w:ascii="Times New Roman;serif" w:hAnsi="Times New Roman;serif"/>
          <w:b w:val="false"/>
          <w:i/>
          <w:color w:val="000000"/>
          <w:sz w:val="20"/>
        </w:rPr>
        <w:t xml:space="preserve">ASU 2023-09 Income Taxes (Topic 740): Improvements to Income Tax Disclosures </w:t>
      </w:r>
      <w:r>
        <w:rPr>
          <w:rFonts w:ascii="Times New Roman;serif" w:hAnsi="Times New Roman;serif"/>
          <w:b w:val="false"/>
          <w:color w:val="000000"/>
          <w:sz w:val="20"/>
        </w:rPr>
        <w:t>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will adopt ASU 2023-09 for the fiscal 2026 annual disclosures and will apply the new guidance prospectively. The new guidance will not materially affect the Company's financial position or results of operations but will require additional disclosures.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Other new accounting pronouncements recently issued or newly effective were not applicable to the Company, did not have a material impact nor are expected to have a material impact on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Comprehensive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changes in foreign currency translation adjustments (net of tax) and changes in the fair value of cash flow hedges (net of tax).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summary of the components of comprehensive income is as follows (in thousands):</w:t>
      </w:r>
    </w:p>
    <w:tbl>
      <w:tblPr>
        <w:tblW w:w="10205" w:type="dxa"/>
        <w:jc w:val="left"/>
        <w:tblInd w:w="0" w:type="dxa"/>
        <w:tblLayout w:type="fixed"/>
        <w:tblCellMar>
          <w:top w:w="28" w:type="dxa"/>
          <w:left w:w="28" w:type="dxa"/>
          <w:bottom w:w="28" w:type="dxa"/>
          <w:right w:w="28" w:type="dxa"/>
        </w:tblCellMar>
      </w:tblPr>
      <w:tblGrid>
        <w:gridCol w:w="1246"/>
        <w:gridCol w:w="976"/>
        <w:gridCol w:w="987"/>
        <w:gridCol w:w="444"/>
        <w:gridCol w:w="368"/>
        <w:gridCol w:w="351"/>
        <w:gridCol w:w="330"/>
        <w:gridCol w:w="332"/>
        <w:gridCol w:w="181"/>
        <w:gridCol w:w="243"/>
        <w:gridCol w:w="954"/>
        <w:gridCol w:w="125"/>
        <w:gridCol w:w="109"/>
        <w:gridCol w:w="109"/>
        <w:gridCol w:w="109"/>
        <w:gridCol w:w="444"/>
        <w:gridCol w:w="375"/>
        <w:gridCol w:w="351"/>
        <w:gridCol w:w="308"/>
        <w:gridCol w:w="308"/>
        <w:gridCol w:w="181"/>
        <w:gridCol w:w="242"/>
        <w:gridCol w:w="949"/>
        <w:gridCol w:w="183"/>
      </w:tblGrid>
      <w:tr>
        <w:trPr/>
        <w:tc>
          <w:tcPr>
            <w:tcW w:w="12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(13,389)</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Aramark stockholders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86,419 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 Amount</w:t>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w:t>
              <w:br/>
              <w:t>Effect</w:t>
            </w:r>
          </w:p>
        </w:tc>
        <w:tc>
          <w:tcPr>
            <w:tcW w:w="1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 Amount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296,475 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cash flow hedges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(19,260)</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312,025 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Aramark stockholders</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311,319 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219,996 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(in thousands):</w:t>
      </w:r>
    </w:p>
    <w:tbl>
      <w:tblPr>
        <w:tblW w:w="6317" w:type="dxa"/>
        <w:jc w:val="left"/>
        <w:tblInd w:w="0" w:type="dxa"/>
        <w:tblLayout w:type="fixed"/>
        <w:tblCellMar>
          <w:top w:w="28" w:type="dxa"/>
          <w:left w:w="28" w:type="dxa"/>
          <w:bottom w:w="28" w:type="dxa"/>
          <w:right w:w="28" w:type="dxa"/>
        </w:tblCellMar>
      </w:tblPr>
      <w:tblGrid>
        <w:gridCol w:w="1244"/>
        <w:gridCol w:w="1094"/>
        <w:gridCol w:w="1097"/>
        <w:gridCol w:w="211"/>
        <w:gridCol w:w="901"/>
        <w:gridCol w:w="109"/>
        <w:gridCol w:w="109"/>
        <w:gridCol w:w="109"/>
        <w:gridCol w:w="109"/>
        <w:gridCol w:w="222"/>
        <w:gridCol w:w="950"/>
        <w:gridCol w:w="162"/>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adjustments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Currency Translation</w:t>
      </w:r>
    </w:p>
    <w:p>
      <w:pPr>
        <w:pStyle w:val="TextBody"/>
        <w:bidi w:val="0"/>
        <w:spacing w:lineRule="auto" w:line="288" w:before="100" w:after="60"/>
        <w:jc w:val="left"/>
        <w:rPr/>
      </w:pPr>
      <w:r>
        <w:rPr>
          <w:rFonts w:ascii="Times New Roman;serif" w:hAnsi="Times New Roman;serif"/>
          <w:b w:val="false"/>
          <w:color w:val="000000"/>
          <w:sz w:val="20"/>
        </w:rPr>
        <w:t>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reflected in the Condensed Consolidated Statements of Income, was a foreign currency transaction loss of $1.4 million</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$1.0 million during the three and nine months ended July 3, 2026, respectively, and $1.7 million and $3.0 million during the three and nine months ended June 27, 2025, respectively. The impact of foreign currency transaction gains and losses exclusive of Argentina's operations included in the Company's operating results during the three and nine month periods of both fiscal 2026 and 2025 were immaterial to the condensed consolidated financial statements.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Current Assets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insures portions of its risk related to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by the Bermuda Monetary Authority (the "BMA") relating to levels of liquidity and solvency as such concepts are defined by the BMA. The Captive was in compliance with these regulations as of July 3, 2026.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July 3, 2026 and October 3, 2025, cash and cash equivalents at the Captive were $154.0 million and $133.5 million, respectively.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Other Assets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Other assets consist primarily of costs to obtain or fulfill contracts (including employee sales commissions), long-term receivables, interest rate swaps, investments in 50% or less owned entities and computer software costs.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For investments in 50% or less owned entities accounted for under the equity method of accounting, the carrying amount as of July 3, 2026 and October 3, 2025 was $62.1 million and $70.6 million, respectively.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July 3, 2026 and October 3, 2025 was $91.7 million and $59.6 million, respectively.</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Supply Chain Finance Program</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July 3, 2026 and October 3, 2025, the Company had $1.7 million and $4.7 million, respectively, of outstanding payment obligations to the financial institutions as part of the SCF Program recorded in "Accounts payable" on the Condensed Consolidated Balance Sheets.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Lease Arrangements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Certain of the Company's lease arrangements, primarily vehicle leases, with terms of one to eight years, contain provisions related to residual value guarantees. The maximum potential liability to the Company under such arrangements was approximately $51.7 million at July 3, 2026 if the terminal fair value of vehicles coming off lease was zero. Consistent with past experience, management does not expect any significant payments will be required pursuant to these arrangements. No amounts have been accrued for the guarantee arrangements at July 3, 2026.</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Other Current and Noncurrent Liabilities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 xml:space="preserve">NOTE 2. GOODWILL AND OTHER INTANGIBLE ASSETS: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Changes in total goodwill during the nine months ended July 3, 2026 are as follows (in thousands):</w:t>
      </w:r>
    </w:p>
    <w:tbl>
      <w:tblPr>
        <w:tblW w:w="7549" w:type="dxa"/>
        <w:jc w:val="left"/>
        <w:tblInd w:w="0" w:type="dxa"/>
        <w:tblLayout w:type="fixed"/>
        <w:tblCellMar>
          <w:top w:w="28" w:type="dxa"/>
          <w:left w:w="28" w:type="dxa"/>
          <w:bottom w:w="28" w:type="dxa"/>
          <w:right w:w="28" w:type="dxa"/>
        </w:tblCellMar>
      </w:tblPr>
      <w:tblGrid>
        <w:gridCol w:w="564"/>
        <w:gridCol w:w="496"/>
        <w:gridCol w:w="500"/>
        <w:gridCol w:w="211"/>
        <w:gridCol w:w="976"/>
        <w:gridCol w:w="109"/>
        <w:gridCol w:w="109"/>
        <w:gridCol w:w="109"/>
        <w:gridCol w:w="109"/>
        <w:gridCol w:w="211"/>
        <w:gridCol w:w="826"/>
        <w:gridCol w:w="109"/>
        <w:gridCol w:w="109"/>
        <w:gridCol w:w="109"/>
        <w:gridCol w:w="109"/>
        <w:gridCol w:w="211"/>
        <w:gridCol w:w="796"/>
        <w:gridCol w:w="109"/>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Segment</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Acquisitions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4,874,670 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4,996,446 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consist of the following (in thousands): </w:t>
      </w:r>
    </w:p>
    <w:tbl>
      <w:tblPr>
        <w:tblW w:w="10282" w:type="dxa"/>
        <w:jc w:val="left"/>
        <w:tblInd w:w="0" w:type="dxa"/>
        <w:tblLayout w:type="fixed"/>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2,705,755 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1,921,828 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2,563,126 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pPr>
      <w:r>
        <w:rPr>
          <w:rFonts w:ascii="Times New Roman;serif" w:hAnsi="Times New Roman;serif"/>
          <w:b w:val="false"/>
          <w:color w:val="000000"/>
          <w:sz w:val="20"/>
        </w:rPr>
        <w:t>Amortization of intangible assets for the nine months ended July 3, 2026 and June 27, 2025 was</w:t>
      </w:r>
      <w:r>
        <w:rPr>
          <w:color w:val="000000"/>
          <w:shd w:fill="FFFFFF" w:val="clear"/>
        </w:rPr>
        <w:t xml:space="preserve"> </w:t>
      </w:r>
      <w:r>
        <w:rPr>
          <w:rFonts w:ascii="Times New Roman;serif" w:hAnsi="Times New Roman;serif"/>
          <w:b w:val="false"/>
          <w:color w:val="000000"/>
          <w:sz w:val="20"/>
        </w:rPr>
        <w:t>$103.3 million and $90.6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 xml:space="preserve">NOTE 3. BORROWINGS: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Long-term borrowings, net, are summarized in the following table (in thousands):</w:t>
      </w:r>
    </w:p>
    <w:tbl>
      <w:tblPr>
        <w:tblW w:w="7986" w:type="dxa"/>
        <w:jc w:val="left"/>
        <w:tblInd w:w="0" w:type="dxa"/>
        <w:tblLayout w:type="fixed"/>
        <w:tblCellMar>
          <w:top w:w="28" w:type="dxa"/>
          <w:left w:w="28" w:type="dxa"/>
          <w:bottom w:w="28" w:type="dxa"/>
          <w:right w:w="28" w:type="dxa"/>
        </w:tblCellMar>
      </w:tblPr>
      <w:tblGrid>
        <w:gridCol w:w="1699"/>
        <w:gridCol w:w="1492"/>
        <w:gridCol w:w="1504"/>
        <w:gridCol w:w="109"/>
        <w:gridCol w:w="109"/>
        <w:gridCol w:w="109"/>
        <w:gridCol w:w="211"/>
        <w:gridCol w:w="976"/>
        <w:gridCol w:w="109"/>
        <w:gridCol w:w="109"/>
        <w:gridCol w:w="109"/>
        <w:gridCol w:w="109"/>
        <w:gridCol w:w="211"/>
        <w:gridCol w:w="976"/>
        <w:gridCol w:w="154"/>
      </w:tblGrid>
      <w:tr>
        <w:trPr/>
        <w:tc>
          <w:tcPr>
            <w:tcW w:w="169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 Billion Revolving Credit Facility due 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A Loans due 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Term B Loans due 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Term B Loans due 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4.375% Senior Unsecured Notes (EUR) due April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5.000% Senior Unsecured Notes due 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 due 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5,405,937 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6,094,909 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5,374,394 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there were $1.1 billion of outstanding foreign currency borrowings.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As of July 3, 2026, there was $914.9 million of availability under the senior secured revolving credit facility.</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United States Term B-9 due April 2028 Prepayment</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July 6, 2026, the Company made an optional principal prepayment of $100.0 million on the United States dollar denominated Term B-9 Loans, which mature in April 2028.</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United States Term B-10 Loans due June 2030 Amendment</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Aramark Services, Inc. (“ASI”) and certain of its subsidiaries entered into a credit agreement on March 28, 2017 (as amended, the "Credit Agreement"). On December 11, 2025 (the "Closing Date"), ASI entered into an amendment (“Amendment No. 19”) to provide for, among other things, the repricing of all of the United States dollar denominated Term B-8 Loans (“U.S. Term B-8 Loans due 2030”) previously outstanding under the Credit Agreement by refinancing all of the U.S. Term B-8 Loans due 2030 previously outstanding under the Credit Agreement with new United States dollar denominated Term B-10 Loans in an amount equal to $2.4 billion due in June 2030 (“U.S. Term B-10 Loans due 2030”). The U.S. Term B-10 Loans due 2030 were funded in full on the Closing Date and were applied by the Company to refinance the entire principal amount of the U.S. Term B-8 Loans due 2030 previously outstanding under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U.S. Term B-10 Loans due 2030 bear interest at a rate equal to, at the Company’s election, either (a) a forward-looking term rate based on the Secured Overnight Financing Rate for the applicable interest period (“Term SOFR”) plus an applicable margin set at 1.75% or (b) a base rate determined by reference to the highest of (1) the prime rate of the administrative agent, (2) the federal funds rate plus 0.50% and (3) Term SOFR for a one-month interest period plus 1.00% plus an applicable margin set at 0.75%. The U.S. Term B-10 Loans due 2030 require repayments of principal in quarterly installments of $6.3 million from June 30, 2029 through March 31, 2030 and $2.3 billion at maturity. Except with respect to pricing, the U.S. Term B-10 Loans are subject to substantially similar terms currently relating to guarantees, collateral, mandatory prepayments and covenants that were applicable to the U.S. Term B-8 Loans previously outstanding under the Credit Agreement and are currently applicable to the Company’s other U.S. Term B Loans currently outstanding under the Credit Agreement. Amendment No. 19 also gave effect to the 2024 Refinancing Amendments (as defined in the Credit Agreement), which, among other things, included borrower-favorable changes to basket capacity, thresholds and step-downs.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capitalized $1.3 million of transaction costs directly attributable to the refinancing in Amendment No. 19, which are amortized using the effective interest method over the term of the loans and are presented in “Long-Term Borrowings” on the Condensed Consolidated Balance Sheets as of July 3, 2026 as a direct deduction from the carrying value of the loans. Amounts paid for capitalized transaction costs are included within “Other financing activities” on the Condensed Consolidated Statement of Cash Flows for the nine months ended July 3, 2026. Additionally, the Company recorded $1.1 million of charges related to the repricings to "Interest Expense, net" on the Condensed Consolidated Statements of Income for the nine months ended July 3, 2026, consisting of $0.7 million in transaction costs and a $0.4 million non-cash loss for the write-off of unamortized deferred financing costs and discount on the U.S. Term B-8 Loans due 2030.</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3.125% Senior Notes (EUR) due April 2025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April 1, 2025, Aramark International Finance S.à.r.l. ("AIFS"), an indirect wholly owned subsidiary of the Company, fully repaid the €325.0 million outstanding aggregate principal amount of AIFS’ euro denominated 3.125% Senior Notes due April 2025 (the "3.125% 2025 Notes") at maturity, using a portion of the net proceeds from the issuance and sale of the euro denominated 4.375% Senior Notes due April 2033 (the "4.375% 2033 Notes").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4.375% Senior Notes (EUR) due April 2033</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19, 2025, AIFS issued the 4.375% 2033 Notes in an amount equal to €400.0 million and used a portion of the net proceeds from the issuance and sale of the 4.375% 2033 Notes to repay at maturity, April 1, 2025, all of the €325.0 million outstanding aggregate principal amount of AIFS’ 3.125% 2025 Notes and the remainder for general corporate purposes, including reduction of debt.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capitalized €4.4 million in third-party costs directly attributable to the issuance and sale of the 4.375% 2033 Notes. The capitalized costs are amortized using the effective interest method over the term of the 4.375% 2033 Notes and are presented in “Long-Term Borrowings” on the Condensed Consolidated Balance Sheets as of July 3, 2026 and October 3, 2025 as a direct deduction from the carrying value of the notes.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United States Term B Loans due June 2030 Incremental Amendment, United States Term B Loans due January 2027 Repayment and 5.000% Senior Notes Due April 2025 Redemption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February 18, 2025, ASI entered into an incremental amendment to the Credit Agreement (“Incremental Amendment No. 17”) to provide for, among other things, the establishment of new term loans comprised of new United States dollar denominated Term B-8 Loans due 2030 (“New U.S. Term B-8 Loans due 2030”) in an amount equal to $1,395.0 million, in the form of a fungible upsize to ASI’s existing United States dollar denominated Term B-8 Loans due June 2030 (“U.S. Term B-8 Loans due 2030"). The New U.S. Term B-8 Loans due 2030 were funded in full on the closing date of Incremental Amendment No. 17 and were applied by ASI to: (a) repay in full $839.3 million of the United States dollar denominated Term B-4 Loans due January 2027 ("U.S. Term B-4 Loans due 2027") previously outstanding under the Credit Agreement; (b) to redeem the entire $551.5 million aggregate principal amount outstanding of ASI's 5.000% Senior Notes due April 2025 (the "5.000% 2025 Notes") at a redemption price equal to 100% of the aggregate principal amount, plus accrued and unpaid interest to the date of redemption; and (c) to pay fees, premiums, expenses and other transaction costs in connection with the foregoing.</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$4.6 million of transaction costs directly attributable to the refinancing in Amendment No. 17, which are amortized using the effective interest method over the term of the loans and are presented in “Long-Term Borrowings” on the Condensed Consolidated Balance Sheets as of July 3, 2026 and October 3, 2025 as a direct deduction from the carrying value of the loans. Amounts paid for capitalized transaction costs are included within “Other financing activities” on the Condensed Consolidated Statement of Cash Flows for the nine months ended June 27, 2025. Additionally, the Company recorded $8.3 million of charges to "Interest Expense, net" on the Condensed Consolidated Statements of Income for the nine months ended June 27, 2025, consisting of a $2.5 million non-cash loss for the write-off of unamortized deferred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costs and discount on the U.S. Term B-4 Loans due 2027 and the 5.000% 2025 Notes and the payment of $5.8 million of transaction costs related to the refinancing.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4. DERIVATIVE INSTRUMENTS: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contractual derivative arrangements to manage changes in market conditions related to interest on debt obligations, including interest rate swap agreements, that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Cash Flow Hedges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$2.7 billion notional amount of outstanding interest rate swap agreements as of July 3, 2026, which fix the rate on a like amount of variable rate borrowings with varying maturities through May 2029. The Company entered into $200.0 million notional amount of interest rate swap agreements during the three and nine months ended July 3, 2026 to hedge the cash flow risk of variability in interest payments on variable rate borrowings.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July 3, 2026 and October 3, 2025, $19.3 million and $12.1 million, respectively, of unrealized net of tax gains related to the interest rate swaps were included in "Accumulated other comprehensive loss" on the Condensed Consolidated Balance Sheets.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unrealized gain (loss) arising from the Company's derivatives designated as cash flow hedging instruments on Other comprehensive income (loss) (in thousands): </w:t>
      </w:r>
    </w:p>
    <w:tbl>
      <w:tblPr>
        <w:tblW w:w="7962" w:type="dxa"/>
        <w:jc w:val="left"/>
        <w:tblInd w:w="0" w:type="dxa"/>
        <w:tblLayout w:type="fixed"/>
        <w:tblCellMar>
          <w:top w:w="28" w:type="dxa"/>
          <w:left w:w="28" w:type="dxa"/>
          <w:bottom w:w="28" w:type="dxa"/>
          <w:right w:w="28" w:type="dxa"/>
        </w:tblCellMar>
      </w:tblPr>
      <w:tblGrid>
        <w:gridCol w:w="955"/>
        <w:gridCol w:w="840"/>
        <w:gridCol w:w="845"/>
        <w:gridCol w:w="226"/>
        <w:gridCol w:w="662"/>
        <w:gridCol w:w="117"/>
        <w:gridCol w:w="109"/>
        <w:gridCol w:w="109"/>
        <w:gridCol w:w="109"/>
        <w:gridCol w:w="235"/>
        <w:gridCol w:w="769"/>
        <w:gridCol w:w="121"/>
        <w:gridCol w:w="109"/>
        <w:gridCol w:w="109"/>
        <w:gridCol w:w="109"/>
        <w:gridCol w:w="211"/>
        <w:gridCol w:w="721"/>
        <w:gridCol w:w="109"/>
        <w:gridCol w:w="109"/>
        <w:gridCol w:w="109"/>
        <w:gridCol w:w="109"/>
        <w:gridCol w:w="227"/>
        <w:gridCol w:w="777"/>
        <w:gridCol w:w="166"/>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 agreements</w:t>
            </w:r>
            <w:r>
              <w:rPr>
                <w:rFonts w:ascii="Times New Roman;serif" w:hAnsi="Times New Roman;serif"/>
                <w:b w:val="false"/>
                <w:color w:val="000000"/>
                <w:sz w:val="13"/>
              </w:rPr>
              <w:t>(1)</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36" w:type="dxa"/>
        <w:jc w:val="left"/>
        <w:tblInd w:w="0" w:type="dxa"/>
        <w:tblLayout w:type="fixed"/>
        <w:tblCellMar>
          <w:top w:w="28" w:type="dxa"/>
          <w:left w:w="28" w:type="dxa"/>
          <w:bottom w:w="28" w:type="dxa"/>
          <w:right w:w="28" w:type="dxa"/>
        </w:tblCellMar>
      </w:tblPr>
      <w:tblGrid>
        <w:gridCol w:w="124"/>
        <w:gridCol w:w="109"/>
        <w:gridCol w:w="109"/>
        <w:gridCol w:w="1283"/>
        <w:gridCol w:w="1283"/>
        <w:gridCol w:w="1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the amounts are driven by fluctuations in forward interest rates.</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and fair value, using Level 2 inputs (see Note 11 for a description of the fair value levels), of the Company's derivatives designated as hedging instruments on the Condensed Consolidated Balance Sheets (in thousands):</w:t>
      </w:r>
    </w:p>
    <w:tbl>
      <w:tblPr>
        <w:tblW w:w="8904" w:type="dxa"/>
        <w:jc w:val="left"/>
        <w:tblInd w:w="0" w:type="dxa"/>
        <w:tblLayout w:type="fixed"/>
        <w:tblCellMar>
          <w:top w:w="28" w:type="dxa"/>
          <w:left w:w="28" w:type="dxa"/>
          <w:bottom w:w="28" w:type="dxa"/>
          <w:right w:w="28" w:type="dxa"/>
        </w:tblCellMar>
      </w:tblPr>
      <w:tblGrid>
        <w:gridCol w:w="893"/>
        <w:gridCol w:w="788"/>
        <w:gridCol w:w="793"/>
        <w:gridCol w:w="109"/>
        <w:gridCol w:w="109"/>
        <w:gridCol w:w="109"/>
        <w:gridCol w:w="1024"/>
        <w:gridCol w:w="1024"/>
        <w:gridCol w:w="1026"/>
        <w:gridCol w:w="109"/>
        <w:gridCol w:w="109"/>
        <w:gridCol w:w="109"/>
        <w:gridCol w:w="211"/>
        <w:gridCol w:w="721"/>
        <w:gridCol w:w="109"/>
        <w:gridCol w:w="109"/>
        <w:gridCol w:w="109"/>
        <w:gridCol w:w="109"/>
        <w:gridCol w:w="259"/>
        <w:gridCol w:w="886"/>
        <w:gridCol w:w="189"/>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location of the gain reclassified from "Accumulated other comprehensive loss" into earnings for derivatives designated as hedging instruments on the Condensed Consolidated Statements of Income (in thousands): </w:t>
      </w:r>
    </w:p>
    <w:tbl>
      <w:tblPr>
        <w:tblW w:w="10205" w:type="dxa"/>
        <w:jc w:val="left"/>
        <w:tblInd w:w="0" w:type="dxa"/>
        <w:tblLayout w:type="fixed"/>
        <w:tblCellMar>
          <w:top w:w="28" w:type="dxa"/>
          <w:left w:w="28" w:type="dxa"/>
          <w:bottom w:w="28" w:type="dxa"/>
          <w:right w:w="28" w:type="dxa"/>
        </w:tblCellMar>
      </w:tblPr>
      <w:tblGrid>
        <w:gridCol w:w="823"/>
        <w:gridCol w:w="724"/>
        <w:gridCol w:w="727"/>
        <w:gridCol w:w="109"/>
        <w:gridCol w:w="109"/>
        <w:gridCol w:w="109"/>
        <w:gridCol w:w="640"/>
        <w:gridCol w:w="640"/>
        <w:gridCol w:w="642"/>
        <w:gridCol w:w="109"/>
        <w:gridCol w:w="109"/>
        <w:gridCol w:w="109"/>
        <w:gridCol w:w="211"/>
        <w:gridCol w:w="682"/>
        <w:gridCol w:w="109"/>
        <w:gridCol w:w="109"/>
        <w:gridCol w:w="109"/>
        <w:gridCol w:w="109"/>
        <w:gridCol w:w="231"/>
        <w:gridCol w:w="749"/>
        <w:gridCol w:w="119"/>
        <w:gridCol w:w="109"/>
        <w:gridCol w:w="109"/>
        <w:gridCol w:w="109"/>
        <w:gridCol w:w="211"/>
        <w:gridCol w:w="787"/>
        <w:gridCol w:w="109"/>
        <w:gridCol w:w="109"/>
        <w:gridCol w:w="109"/>
        <w:gridCol w:w="109"/>
        <w:gridCol w:w="211"/>
        <w:gridCol w:w="792"/>
        <w:gridCol w:w="163"/>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(34,467)</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At July 3, 2026, the net of tax gain expected to be reclassified from "Accumulated other comprehensive loss" into earnings over the next twelve months based on current market rates is approximately $13.8 million.</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As of July 3, 2026, the Company has a Euro denominated term loan in the amount of €84.6 million. The term loan was designated as a hedge of the Company's net Euro currency exposure represented by certain holdings in the Company's European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5. REVENUE RECOGNITION: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Accounting Standards Codification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 </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disaggregated by revenue source (in millions):</w:t>
      </w:r>
    </w:p>
    <w:tbl>
      <w:tblPr>
        <w:tblW w:w="8691"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11"/>
        <w:gridCol w:w="766"/>
        <w:gridCol w:w="109"/>
        <w:gridCol w:w="109"/>
        <w:gridCol w:w="109"/>
        <w:gridCol w:w="109"/>
        <w:gridCol w:w="218"/>
        <w:gridCol w:w="794"/>
        <w:gridCol w:w="113"/>
        <w:gridCol w:w="109"/>
        <w:gridCol w:w="109"/>
        <w:gridCol w:w="109"/>
        <w:gridCol w:w="211"/>
        <w:gridCol w:w="871"/>
        <w:gridCol w:w="109"/>
        <w:gridCol w:w="109"/>
        <w:gridCol w:w="109"/>
        <w:gridCol w:w="109"/>
        <w:gridCol w:w="211"/>
        <w:gridCol w:w="87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Facilities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is recognized in "Accrued expenses and other current liabilities"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July 3, 2026, deferred income increased related to customer prepayments and decreased related to income recognized during the period as a result of satisfying the performance obligation or return of funds related to non-performance. For the nine months ended July 3, 2026, the Company recognized $324.5 million of revenue that was included in deferred income at the beginning of the period. Deferred income balances attributable to consideration received in advance from customers prior to the service being performed are summarized in the following table (in millions):</w:t>
      </w:r>
    </w:p>
    <w:tbl>
      <w:tblPr>
        <w:tblW w:w="4612"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226"/>
        <w:gridCol w:w="662"/>
        <w:gridCol w:w="117"/>
        <w:gridCol w:w="109"/>
        <w:gridCol w:w="109"/>
        <w:gridCol w:w="109"/>
        <w:gridCol w:w="287"/>
        <w:gridCol w:w="838"/>
        <w:gridCol w:w="209"/>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Includes both current ($206.2 million and $362.3 million as of July 3, 2026 and October 3, 2025, respectively) and noncurrent deferred income ($1.9 million and $1.7 million as of July 3, 2026 and October 3, 2025, respectively).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6. INCOME TAXES: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July 3, 2026, the Company recorded a valuation allowance to the “Provision for Income Taxes” on the Condensed Consolidated Statements of Income of $8.1 million and $11.5 million, respectively, against global deferred tax asset balances, as it is more likely than not a tax benefit will not be realized. The Company also recorded a benefit of $6.6 million from the remeasurement of certain tax reserves during the three and nine months ended July 3, 2026.</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27, 2025, the Company recorded a benefit to the “Provision for Income Taxes” on the Condensed Consolidated Statements of Income of $3.1 million for the reversal of a valuation allowance against deferred tax assets within a foreign subsidiary due to an acquisition of a business.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In response to the development of the global economy toward digitalization,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On January 5, 2026, the OECD published details of a ‘side-by-side’ package which provides additional Pillar Two guidance. The package covers a number of new or extended safe harbors, and the ‘side-by-side’ system, which will allow the US tax regime to sit alongside Pillar Two. As such, and taking into consideration the safe harbor rules, the Pillar Two legislation has had no material impact on the condensed consolidated financial statements, and the Company continues to anticipate that it will not have a material impact on the condensed consolidated financial statements in future periods.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(“OBBB”) Act was signed into law. The OBBB Act contains a broad range of tax reform measures, including modification to limitations on deductions for interest expense, reinstatement of elective 100% first year bonus depreciation and immediate expensing of domestic research and development expenditures. The new law has a range of effective dates. With respect to the provisions of the law that became effective in fiscal year 2026, the Company’s federal cash taxes have been impacted favorably year to date and are expected to remain favorable through the end of the fiscal year. The Company does not expect these provisions to have a material impact on the effective tax rate in fiscal year 2026 and future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Board of Directors declared a $0.12 dividend per share of common stock, payable on September 9, 2026, to stockholders of record at the close of business on August 19, 2026.</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On November 5, 2024, the Board of Directors approved a share repurchase program under which the Company is authorized to repurchase up to $500.0 million of Aramark's outstanding common stock. Under the share repurchase program, repurchases can be made from time to time using a variety of methods, including open market purchases, privately negotiated transactions, accelerated share repurchases and Rule 10b5-1 trading plans. The size and timing of any repurchases will depend on a number of factors, including share price, general business and market conditions and other factors. Shares repurchased by the Company are accounted for under the treasury cost method. The value of the repurchased shares includes the 1% excise tax accrual as a result of the Inflation Reduction Act of 2022. The Company made an accounting policy election to record the value of the repurchased shares, including the 1% excise tax accrual, to treasury stock. The share repurchase program does not have a fixed expiration date and may be terminated at any time. During the nine months ended July 3, 2026, the Company repurchased 1.4 million shares of its common stock for $53.6 million. During the three and nine months ended June 27, 2025, the Company repurchased 0.9 million and 4.0 million shares of its common stock for $28.9 million and $140.2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The Company has 100.0 million shares of preferred stock authorized, with a par value of $0.01 per share. At July 3, 2026 and October 3, 2025, zero shares of preferred stock were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8. EARNINGS PER SHARE: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attributable to the Company's stockholders (in thousands, except per share data):</w:t>
      </w:r>
    </w:p>
    <w:tbl>
      <w:tblPr>
        <w:tblW w:w="10140" w:type="dxa"/>
        <w:jc w:val="left"/>
        <w:tblInd w:w="0" w:type="dxa"/>
        <w:tblLayout w:type="fixed"/>
        <w:tblCellMar>
          <w:top w:w="28" w:type="dxa"/>
          <w:left w:w="28" w:type="dxa"/>
          <w:bottom w:w="28" w:type="dxa"/>
          <w:right w:w="28" w:type="dxa"/>
        </w:tblCellMar>
      </w:tblPr>
      <w:tblGrid>
        <w:gridCol w:w="1526"/>
        <w:gridCol w:w="1347"/>
        <w:gridCol w:w="1357"/>
        <w:gridCol w:w="211"/>
        <w:gridCol w:w="721"/>
        <w:gridCol w:w="109"/>
        <w:gridCol w:w="109"/>
        <w:gridCol w:w="109"/>
        <w:gridCol w:w="109"/>
        <w:gridCol w:w="228"/>
        <w:gridCol w:w="779"/>
        <w:gridCol w:w="117"/>
        <w:gridCol w:w="109"/>
        <w:gridCol w:w="109"/>
        <w:gridCol w:w="109"/>
        <w:gridCol w:w="211"/>
        <w:gridCol w:w="826"/>
        <w:gridCol w:w="109"/>
        <w:gridCol w:w="109"/>
        <w:gridCol w:w="109"/>
        <w:gridCol w:w="109"/>
        <w:gridCol w:w="211"/>
        <w:gridCol w:w="826"/>
        <w:gridCol w:w="581"/>
      </w:tblGrid>
      <w:tr>
        <w:trPr/>
        <w:tc>
          <w:tcPr>
            <w:tcW w:w="152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264,118 </w:t>
            </w:r>
          </w:p>
        </w:tc>
        <w:tc>
          <w:tcPr>
            <w:tcW w:w="581" w:type="dxa"/>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265,347 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267,180 </w:t>
            </w:r>
          </w:p>
        </w:tc>
        <w:tc>
          <w:tcPr>
            <w:tcW w:w="5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Aramark stockholders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5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shares that were outstanding but were not included in the diluted earnings per common share (in millions):</w:t>
      </w:r>
    </w:p>
    <w:tbl>
      <w:tblPr>
        <w:tblW w:w="7879" w:type="dxa"/>
        <w:jc w:val="left"/>
        <w:tblInd w:w="0" w:type="dxa"/>
        <w:tblLayout w:type="fixed"/>
        <w:tblCellMar>
          <w:top w:w="28" w:type="dxa"/>
          <w:left w:w="28" w:type="dxa"/>
          <w:bottom w:w="28" w:type="dxa"/>
          <w:right w:w="28" w:type="dxa"/>
        </w:tblCellMar>
      </w:tblPr>
      <w:tblGrid>
        <w:gridCol w:w="804"/>
        <w:gridCol w:w="706"/>
        <w:gridCol w:w="709"/>
        <w:gridCol w:w="335"/>
        <w:gridCol w:w="335"/>
        <w:gridCol w:w="335"/>
        <w:gridCol w:w="178"/>
        <w:gridCol w:w="178"/>
        <w:gridCol w:w="178"/>
        <w:gridCol w:w="375"/>
        <w:gridCol w:w="375"/>
        <w:gridCol w:w="375"/>
        <w:gridCol w:w="109"/>
        <w:gridCol w:w="109"/>
        <w:gridCol w:w="109"/>
        <w:gridCol w:w="335"/>
        <w:gridCol w:w="335"/>
        <w:gridCol w:w="335"/>
        <w:gridCol w:w="165"/>
        <w:gridCol w:w="165"/>
        <w:gridCol w:w="165"/>
        <w:gridCol w:w="342"/>
        <w:gridCol w:w="342"/>
        <w:gridCol w:w="485"/>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awards</w:t>
            </w:r>
            <w:r>
              <w:rPr>
                <w:rFonts w:ascii="Times New Roman;serif" w:hAnsi="Times New Roman;serif"/>
                <w:b w:val="false"/>
                <w:color w:val="000000"/>
                <w:sz w:val="13"/>
              </w:rPr>
              <w:t>(1)</w:t>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Performance stock units</w:t>
            </w:r>
            <w:r>
              <w:rPr>
                <w:rFonts w:ascii="Times New Roman;serif" w:hAnsi="Times New Roman;serif"/>
                <w:b w:val="false"/>
                <w:color w:val="000000"/>
                <w:sz w:val="13"/>
              </w:rPr>
              <w:t>(2)</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52" w:type="dxa"/>
        <w:jc w:val="left"/>
        <w:tblInd w:w="0" w:type="dxa"/>
        <w:tblLayout w:type="fixed"/>
        <w:tblCellMar>
          <w:top w:w="28" w:type="dxa"/>
          <w:left w:w="28" w:type="dxa"/>
          <w:bottom w:w="28" w:type="dxa"/>
          <w:right w:w="28" w:type="dxa"/>
        </w:tblCellMar>
      </w:tblPr>
      <w:tblGrid>
        <w:gridCol w:w="124"/>
        <w:gridCol w:w="109"/>
        <w:gridCol w:w="109"/>
        <w:gridCol w:w="2692"/>
        <w:gridCol w:w="2692"/>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21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4"/>
              </w:rPr>
            </w:pPr>
            <w:r>
              <w:rPr>
                <w:rFonts w:ascii="Times New Roman;serif" w:hAnsi="Times New Roman;serif"/>
                <w:b w:val="false"/>
                <w:color w:val="000000"/>
                <w:sz w:val="14"/>
              </w:rPr>
              <w:t>Share-based awards were not included in the computation of diluted earnings per common share, as their effect would have been antidilutive.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9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Performance stock units that did not meet or have not yet met performance targets were not included in the computation of diluted earnings per common share.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17, 2024, a purported shareholder of Vestis, the Company's former Uniform segment that was spun-off from Aramark in September 2023, commenced a putative class action lawsuit against Vestis and certain of its officers in the United States District Court for the Northern District of Georgia on behalf of purchasers of Vestis’ common stock between October 2, 2023 and May 1, 2024. The complaint alleges claims under Sections 10(b) and 20(a) of the Securities Exchange Act of 1934, based on allegedly false or misleading statements generally related to Vestis’ business and operations, pricing practices,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results and outlook. The lawsuit seeks unspecified damages and other relief. On November 22, 2024, the complaint was amended to add the Company and its Chief Executive Officer as additional defendants. On September 30, 2025, the motion to dismiss the case was denied. The Company continues to vigorously defend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10. BUSINESS SEGMENTS:</w:t>
      </w:r>
    </w:p>
    <w:p>
      <w:pPr>
        <w:pStyle w:val="TextBody"/>
        <w:bidi w:val="0"/>
        <w:spacing w:lineRule="auto" w:line="256"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are determined based on how the Company's Chief Operating Decision Maker (CODM), the Chief Executive Officer, assesses performance and decides how to allocate resources for the Company. Based on the CODM's assessment, the Company has two reportable segments: FSS United States and FSS International.</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CODM evaluates each segment’s performance based on financial metrics, including revenue and adjusted operating income. The CODM uses these metrics to assess performance and allocate resources to each segment, primarily through periodic budgeting and segment performance reviews. Segment revenue represents food and facilities services sales. Adjusted operating income represents operating income adjusted to eliminate the impact of amortization of acquisition-related intangible assets, severance and other charges and other items impacting comparability.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Corporate expenses include certain operating and non-operating costs not allocated to the segments. The nature of these expenses may vary but primarily consist of corporate personnel compensation costs, share-based compensation expense and other unallocated costs.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Approximately 85% of the global revenue is related to food services and 15% is related to facilities services. Financial information by segment is as follows (in millions):</w:t>
      </w:r>
    </w:p>
    <w:tbl>
      <w:tblPr>
        <w:tblW w:w="10205" w:type="dxa"/>
        <w:jc w:val="left"/>
        <w:tblInd w:w="0" w:type="dxa"/>
        <w:tblLayout w:type="fixed"/>
        <w:tblCellMar>
          <w:top w:w="28" w:type="dxa"/>
          <w:left w:w="28" w:type="dxa"/>
          <w:bottom w:w="28" w:type="dxa"/>
          <w:right w:w="28" w:type="dxa"/>
        </w:tblCellMar>
      </w:tblPr>
      <w:tblGrid>
        <w:gridCol w:w="699"/>
        <w:gridCol w:w="330"/>
        <w:gridCol w:w="331"/>
        <w:gridCol w:w="109"/>
        <w:gridCol w:w="109"/>
        <w:gridCol w:w="109"/>
        <w:gridCol w:w="216"/>
        <w:gridCol w:w="787"/>
        <w:gridCol w:w="112"/>
        <w:gridCol w:w="109"/>
        <w:gridCol w:w="109"/>
        <w:gridCol w:w="109"/>
        <w:gridCol w:w="216"/>
        <w:gridCol w:w="787"/>
        <w:gridCol w:w="112"/>
        <w:gridCol w:w="109"/>
        <w:gridCol w:w="109"/>
        <w:gridCol w:w="109"/>
        <w:gridCol w:w="211"/>
        <w:gridCol w:w="766"/>
        <w:gridCol w:w="109"/>
        <w:gridCol w:w="109"/>
        <w:gridCol w:w="109"/>
        <w:gridCol w:w="109"/>
        <w:gridCol w:w="214"/>
        <w:gridCol w:w="885"/>
        <w:gridCol w:w="110"/>
        <w:gridCol w:w="109"/>
        <w:gridCol w:w="109"/>
        <w:gridCol w:w="109"/>
        <w:gridCol w:w="216"/>
        <w:gridCol w:w="787"/>
        <w:gridCol w:w="112"/>
        <w:gridCol w:w="109"/>
        <w:gridCol w:w="109"/>
        <w:gridCol w:w="109"/>
        <w:gridCol w:w="211"/>
        <w:gridCol w:w="871"/>
        <w:gridCol w:w="161"/>
      </w:tblGrid>
      <w:tr>
        <w:trPr/>
        <w:tc>
          <w:tcPr>
            <w:tcW w:w="69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direct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to Income Before Income Taxes:</w:t>
            </w:r>
          </w:p>
        </w:tc>
      </w:tr>
      <w:tr>
        <w:trPr/>
        <w:tc>
          <w:tcPr>
            <w:tcW w:w="424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other charges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and settlements impacting comparability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012" w:type="dxa"/>
            <w:gridSpan w:val="12"/>
            <w:tcBorders/>
          </w:tcPr>
          <w:p>
            <w:pPr>
              <w:pStyle w:val="TableContents"/>
              <w:bidi w:val="0"/>
              <w:spacing w:before="0" w:after="283"/>
              <w:jc w:val="left"/>
              <w:rPr>
                <w:sz w:val="4"/>
                <w:szCs w:val="4"/>
              </w:rPr>
            </w:pPr>
            <w:r>
              <w:rPr>
                <w:sz w:val="4"/>
                <w:szCs w:val="4"/>
              </w:rPr>
            </w:r>
          </w:p>
        </w:tc>
      </w:tr>
      <w:tr>
        <w:trPr/>
        <w:tc>
          <w:tcPr>
            <w:tcW w:w="424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pPr>
      <w:r>
        <w:rPr>
          <w:rFonts w:ascii="Times New Roman;serif" w:hAnsi="Times New Roman;serif"/>
          <w:b w:val="false"/>
          <w:color w:val="000000"/>
          <w:sz w:val="14"/>
        </w:rPr>
        <w:t>(1)Adjusted for Severance and Other Charges of $2.0 million</w:t>
      </w:r>
      <w:r>
        <w:rPr>
          <w:color w:val="000000"/>
        </w:rPr>
        <w:t xml:space="preserve"> </w:t>
      </w:r>
      <w:r>
        <w:rPr>
          <w:rFonts w:ascii="Times New Roman;serif" w:hAnsi="Times New Roman;serif"/>
          <w:b w:val="false"/>
          <w:color w:val="000000"/>
          <w:sz w:val="14"/>
        </w:rPr>
        <w:t>and $7.5 million incurred by FSS United States for the three and nine months ended July 3, 2026, respectively. Adjusted for Severance and Other Charges of $3.6 million incurred by FSS International for the three and nine months ended July 3, 2026.</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(2)Adjusted for Gains, Losses, and Settlements impacting comparability consisting of certain transactions that are not indicative of the Company's ongoing operational performance. Adjustment impacting FSS United States Personnel costs includes a $0.8 million benefit and a $4.8 million charge related to a multiemployer pension plan withdrawal for the three and nine months ended July 3, 2026, respectively. Adjustment impacting FSS United States Other direct costs includes a non-cash charge for the impairment of certain assets related to a business held-for-sale of $6.1 million for the nine months ended July 3, 2026. Adjustments impacting FSS International Other direct costs consist of charges related to hyperinflation in Argentina of $1.4 million and $1.0 million for the three and nine months ended July 3, 2026, respectively, and legal and professional fees related to an antitrust review of $1.1 million and $2.4 million for the three and nine months ended July 3, 2026, respectively.</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(3)Adjusted for Amortization of Acquisition-Related Intangible Assets of $27.7 million and $78.0 million incurred by FSS United States for the three and nine months ended July 3, 2026, respectively. Adjusted for Amortization of Acquisition-Related Intangible Assets of $10.2 million and $25.2 million incurred by FSS International for the three and nine months ended July 3, 2026, respectively.</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(4)Includes certain operating and non-operating costs not allocated to the segments, such as corporate personnel compensation costs, share-based compensation expense and other unallocated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710"/>
        <w:gridCol w:w="350"/>
        <w:gridCol w:w="352"/>
        <w:gridCol w:w="109"/>
        <w:gridCol w:w="109"/>
        <w:gridCol w:w="109"/>
        <w:gridCol w:w="218"/>
        <w:gridCol w:w="794"/>
        <w:gridCol w:w="113"/>
        <w:gridCol w:w="109"/>
        <w:gridCol w:w="109"/>
        <w:gridCol w:w="109"/>
        <w:gridCol w:w="218"/>
        <w:gridCol w:w="794"/>
        <w:gridCol w:w="113"/>
        <w:gridCol w:w="109"/>
        <w:gridCol w:w="109"/>
        <w:gridCol w:w="109"/>
        <w:gridCol w:w="211"/>
        <w:gridCol w:w="766"/>
        <w:gridCol w:w="109"/>
        <w:gridCol w:w="109"/>
        <w:gridCol w:w="109"/>
        <w:gridCol w:w="109"/>
        <w:gridCol w:w="218"/>
        <w:gridCol w:w="794"/>
        <w:gridCol w:w="113"/>
        <w:gridCol w:w="109"/>
        <w:gridCol w:w="109"/>
        <w:gridCol w:w="109"/>
        <w:gridCol w:w="218"/>
        <w:gridCol w:w="794"/>
        <w:gridCol w:w="113"/>
        <w:gridCol w:w="109"/>
        <w:gridCol w:w="109"/>
        <w:gridCol w:w="109"/>
        <w:gridCol w:w="211"/>
        <w:gridCol w:w="871"/>
        <w:gridCol w:w="163"/>
      </w:tblGrid>
      <w:tr>
        <w:trPr/>
        <w:tc>
          <w:tcPr>
            <w:tcW w:w="71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FSS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Personnel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direct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to Income Before Income Taxes:</w:t>
            </w:r>
          </w:p>
        </w:tc>
      </w:tr>
      <w:tr>
        <w:trPr/>
        <w:tc>
          <w:tcPr>
            <w:tcW w:w="4316"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other charges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and settlements impacting comparability</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024" w:type="dxa"/>
            <w:gridSpan w:val="12"/>
            <w:tcBorders/>
          </w:tcPr>
          <w:p>
            <w:pPr>
              <w:pStyle w:val="TableContents"/>
              <w:bidi w:val="0"/>
              <w:spacing w:before="0" w:after="283"/>
              <w:jc w:val="left"/>
              <w:rPr>
                <w:sz w:val="4"/>
                <w:szCs w:val="4"/>
              </w:rPr>
            </w:pPr>
            <w:r>
              <w:rPr>
                <w:sz w:val="4"/>
                <w:szCs w:val="4"/>
              </w:rPr>
            </w:r>
          </w:p>
        </w:tc>
      </w:tr>
      <w:tr>
        <w:trPr/>
        <w:tc>
          <w:tcPr>
            <w:tcW w:w="431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(1)Adjusted for Severance and Other Charges of $4.5 million and $8.2 million incurred by FSS United States and FSS International, respectively, for the three and nine months ended June 27, 2025.</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(2)Adjusted for Gains, Losses, and Settlements impacting comparability consisting of certain transactions that are not indicative of the Company's ongoing operational performance. Adjustment impacting FSS United States includes a charge for contingent consideration liabilities related to acquisition earn outs of $11.1 million for the nine months ended June 27, 2025. Adjustment impacting FSS International consists of charges related to hyperinflation in Argentina of $1.7 million and $3.0 million for the three and nine months ended June 27, 2025, respectively, and legal charges related to an antitrust review of $1.1 million for the three and nine months ended June 27, 2025.</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(3)Adjusted for Amortization of Acquisition-Related Intangible Assets of $24.8 million and $72.9 million incurred by FSS United States for the three and nine months ended June 27, 2025, respectively. Adjusted for Amortization of Acquisition-Related Intangible Assets of $7.3 million and $17.8 million incurred by FSS International for the three and nine months ended June 27, 2025, respectively.</w:t>
      </w:r>
    </w:p>
    <w:p>
      <w:pPr>
        <w:pStyle w:val="TextBody"/>
        <w:bidi w:val="0"/>
        <w:spacing w:lineRule="auto" w:line="288" w:before="6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(4)Includes certain operating and non-operating costs not allocated to the segments, such as corporate personnel compensation costs, share-based compensation expense and other unallocated costs.</w:t>
      </w:r>
    </w:p>
    <w:p>
      <w:pPr>
        <w:pStyle w:val="TextBody"/>
        <w:bidi w:val="0"/>
        <w:spacing w:before="60" w:after="60"/>
        <w:jc w:val="left"/>
        <w:rPr/>
      </w:pPr>
      <w:r>
        <w:rPr/>
      </w:r>
    </w:p>
    <w:p>
      <w:pPr>
        <w:pStyle w:val="TextBody"/>
        <w:bidi w:val="0"/>
        <w:spacing w:lineRule="auto" w:line="288" w:before="60" w:after="100"/>
        <w:jc w:val="left"/>
        <w:rPr>
          <w:rFonts w:ascii="Times New Roman;serif" w:hAnsi="Times New Roman;serif"/>
          <w:b w:val="false"/>
          <w:color w:val="000000"/>
          <w:sz w:val="20"/>
        </w:rPr>
      </w:pPr>
      <w:r>
        <w:rPr>
          <w:rFonts w:ascii="Times New Roman;serif" w:hAnsi="Times New Roman;serif"/>
          <w:b w:val="false"/>
          <w:color w:val="000000"/>
          <w:sz w:val="20"/>
        </w:rPr>
        <w:t>Additional financial information by segment is as follows (in millions):</w:t>
      </w:r>
    </w:p>
    <w:tbl>
      <w:tblPr>
        <w:tblW w:w="8269" w:type="dxa"/>
        <w:jc w:val="left"/>
        <w:tblInd w:w="0" w:type="dxa"/>
        <w:tblLayout w:type="fixed"/>
        <w:tblCellMar>
          <w:top w:w="28" w:type="dxa"/>
          <w:left w:w="28" w:type="dxa"/>
          <w:bottom w:w="28" w:type="dxa"/>
          <w:right w:w="28" w:type="dxa"/>
        </w:tblCellMar>
      </w:tblPr>
      <w:tblGrid>
        <w:gridCol w:w="1080"/>
        <w:gridCol w:w="951"/>
        <w:gridCol w:w="953"/>
        <w:gridCol w:w="226"/>
        <w:gridCol w:w="662"/>
        <w:gridCol w:w="117"/>
        <w:gridCol w:w="109"/>
        <w:gridCol w:w="109"/>
        <w:gridCol w:w="109"/>
        <w:gridCol w:w="253"/>
        <w:gridCol w:w="741"/>
        <w:gridCol w:w="131"/>
        <w:gridCol w:w="109"/>
        <w:gridCol w:w="109"/>
        <w:gridCol w:w="109"/>
        <w:gridCol w:w="226"/>
        <w:gridCol w:w="662"/>
        <w:gridCol w:w="117"/>
        <w:gridCol w:w="109"/>
        <w:gridCol w:w="109"/>
        <w:gridCol w:w="109"/>
        <w:gridCol w:w="251"/>
        <w:gridCol w:w="735"/>
        <w:gridCol w:w="183"/>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Capital Expenditures and Other</w:t>
            </w:r>
            <w:r>
              <w:rPr>
                <w:rFonts w:ascii="Times New Roman;serif" w:hAnsi="Times New Roman;serif"/>
                <w:b/>
                <w:color w:val="000000"/>
                <w:sz w:val="13"/>
              </w:rPr>
              <w:t>(1)</w:t>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269" w:type="dxa"/>
            <w:gridSpan w:val="24"/>
            <w:tcBorders/>
            <w:tcMar>
              <w:top w:w="0" w:type="dxa"/>
              <w:left w:w="0" w:type="dxa"/>
              <w:bottom w:w="0" w:type="dxa"/>
              <w:right w:w="0" w:type="dxa"/>
            </w:tcMar>
            <w:vAlign w:val="center"/>
          </w:tcPr>
          <w:p>
            <w:pPr>
              <w:pStyle w:val="TableContents"/>
              <w:bidi w:val="0"/>
              <w:spacing w:lineRule="auto" w:line="288" w:before="10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(1)Includes amounts acquired in business combinations.</w:t>
            </w:r>
          </w:p>
        </w:tc>
      </w:tr>
    </w:tbl>
    <w:tbl>
      <w:tblPr>
        <w:tblW w:w="8045" w:type="dxa"/>
        <w:jc w:val="left"/>
        <w:tblInd w:w="0" w:type="dxa"/>
        <w:tblLayout w:type="fixed"/>
        <w:tblCellMar>
          <w:top w:w="28" w:type="dxa"/>
          <w:left w:w="28" w:type="dxa"/>
          <w:bottom w:w="28" w:type="dxa"/>
          <w:right w:w="28" w:type="dxa"/>
        </w:tblCellMar>
      </w:tblPr>
      <w:tblGrid>
        <w:gridCol w:w="1000"/>
        <w:gridCol w:w="878"/>
        <w:gridCol w:w="882"/>
        <w:gridCol w:w="226"/>
        <w:gridCol w:w="662"/>
        <w:gridCol w:w="117"/>
        <w:gridCol w:w="109"/>
        <w:gridCol w:w="109"/>
        <w:gridCol w:w="109"/>
        <w:gridCol w:w="253"/>
        <w:gridCol w:w="741"/>
        <w:gridCol w:w="131"/>
        <w:gridCol w:w="109"/>
        <w:gridCol w:w="109"/>
        <w:gridCol w:w="109"/>
        <w:gridCol w:w="226"/>
        <w:gridCol w:w="662"/>
        <w:gridCol w:w="117"/>
        <w:gridCol w:w="109"/>
        <w:gridCol w:w="109"/>
        <w:gridCol w:w="109"/>
        <w:gridCol w:w="251"/>
        <w:gridCol w:w="735"/>
        <w:gridCol w:w="183"/>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ARAMARK AND SUBSIDIARIES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tbl>
      <w:tblPr>
        <w:tblW w:w="4503" w:type="dxa"/>
        <w:jc w:val="left"/>
        <w:tblInd w:w="0" w:type="dxa"/>
        <w:tblLayout w:type="fixed"/>
        <w:tblCellMar>
          <w:top w:w="28" w:type="dxa"/>
          <w:left w:w="28" w:type="dxa"/>
          <w:bottom w:w="28" w:type="dxa"/>
          <w:right w:w="28" w:type="dxa"/>
        </w:tblCellMar>
      </w:tblPr>
      <w:tblGrid>
        <w:gridCol w:w="598"/>
        <w:gridCol w:w="525"/>
        <w:gridCol w:w="527"/>
        <w:gridCol w:w="211"/>
        <w:gridCol w:w="871"/>
        <w:gridCol w:w="109"/>
        <w:gridCol w:w="109"/>
        <w:gridCol w:w="109"/>
        <w:gridCol w:w="109"/>
        <w:gridCol w:w="228"/>
        <w:gridCol w:w="941"/>
        <w:gridCol w:w="166"/>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Identifiable Assets</w:t>
            </w:r>
          </w:p>
        </w:tc>
        <w:tc>
          <w:tcPr>
            <w:tcW w:w="28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3,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FSS International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13,304.6 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NOTE 11. FAIR VALUE OF FINANCIAL ASSETS AND FINANCIAL LIABILITIES: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bidi w:val="0"/>
        <w:spacing w:lineRule="auto" w:line="288" w:before="100" w:after="60"/>
        <w:ind w:left="0" w:right="0" w:hanging="360"/>
        <w:jc w:val="left"/>
        <w:rPr>
          <w:color w:val="000000"/>
        </w:rPr>
      </w:pPr>
      <w:r>
        <w:rPr>
          <w:color w:val="000000"/>
        </w:rPr>
        <w:t>•    </w:t>
      </w:r>
      <w:r>
        <w:rPr>
          <w:rFonts w:ascii="Times New Roman;serif" w:hAnsi="Times New Roman;serif"/>
          <w:b w:val="false"/>
          <w:color w:val="000000"/>
          <w:sz w:val="20"/>
        </w:rPr>
        <w:t>Level 1—inputs to the valuation methodology are quoted prices (unadjusted) for identical assets or liabilities in active markets</w:t>
      </w:r>
    </w:p>
    <w:p>
      <w:pPr>
        <w:pStyle w:val="TextBody"/>
        <w:bidi w:val="0"/>
        <w:spacing w:lineRule="auto" w:line="288" w:before="100" w:after="60"/>
        <w:ind w:left="0" w:right="0" w:hanging="360"/>
        <w:jc w:val="left"/>
        <w:rPr>
          <w:color w:val="000000"/>
        </w:rPr>
      </w:pPr>
      <w:r>
        <w:rPr>
          <w:color w:val="000000"/>
        </w:rPr>
        <w:t>•    </w:t>
      </w:r>
      <w:r>
        <w:rPr>
          <w:rFonts w:ascii="Times New Roman;serif" w:hAnsi="Times New Roman;serif"/>
          <w:b w:val="false"/>
          <w:color w:val="000000"/>
          <w:sz w:val="20"/>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lineRule="auto" w:line="288" w:before="100" w:after="60"/>
        <w:ind w:left="0" w:right="0" w:hanging="360"/>
        <w:jc w:val="left"/>
        <w:rPr>
          <w:color w:val="000000"/>
        </w:rPr>
      </w:pPr>
      <w:r>
        <w:rPr>
          <w:color w:val="000000"/>
        </w:rPr>
        <w:t>•    </w:t>
      </w:r>
      <w:r>
        <w:rPr>
          <w:rFonts w:ascii="Times New Roman;serif" w:hAnsi="Times New Roman;serif"/>
          <w:b w:val="false"/>
          <w:color w:val="000000"/>
          <w:sz w:val="20"/>
        </w:rPr>
        <w:t xml:space="preserve">Level 3—inputs to the valuation methodology are unobservable and significant to the fair value measurement </w:t>
      </w: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July 3, 2026 and October 3, 2025 was $6,150.9 million and $5,445.7 million, respectively. The carrying value of the Company's debt at July 3, 2026 and October 3, 2025 was $6,129.8 million and $5,405.9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As part of the Union Supply acquisition completed in fiscal 2022, the Company recorded a contingent consideration obligation. During the nine months ended June 27, 2025, the Company adjusted the contingent consideration liability, resulting in expense of $11.1 million, which is included in "Cost of services provided (exclusive of depreciation and amortization)" on the Condensed Consolidated Statements of Income. The earnout period has ended with the contingent consideration liability being fully paid out in the second quarter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2.</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OF FINANCIAL CONDITION AND RESULTS OF OPERATIONS</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Aramark's (the "Company," "we," "our" and "us") financial condition and results of operations for the three and nine months ended July 3, 2026 and June 27, 2025 should be read in conjunction with our audited consolidated financial statements and the notes to those statements for the fiscal year ended October 3, 2025 included in our Annual Report on Form 10-K, filed with the Securities and Exchange Commission (the "SEC") on November 25, 2025.</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Current Business Environment</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ongoing conflict in the Middle East and evolving tariff policies have increased volatility and uncertainty in the global macroeconomic environment. While we have not experienced material impacts to date, given this elevated level of uncertainty and its potential impact on current and future economic conditions, we may continue to experience fluctuations in global inflationary pressures and market interest rates, as well as volatility in foreign currency markets in the near term. We regularly monitor these conditions and believe we take appropriate actions, as necessary, to mitigate related risks. These actions include actively managing operating costs through supply chain initiatives and pricing strategies, as well as managing interest rate exposure through the use of interest rate swaps and other risk mitigation strategies.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has been cash inflow during our fourth fiscal quarter due to customer prepayments particularly within our Higher Education business in anticipation of the fall semester and higher activity within our sports and leisure clients.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Foreign Currency Fluctuations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fiscal year is the fifty-two or fifty-three week period which ends on the Friday nearest September 30th. The fiscal year ending October 2, 2026 is a fifty-two week period, while the fiscal year ended October 3, 2025 was a fifty-three week period. The calendar shift resulting from the fifty-third week in the fiscal year ended October 3, 2025 has affected, and is expected to continue to affect, the fiscal year ending October 2, 2026 quarterly comparisons of operating results due to the change in the number of operational service days in each quarter as compared to the corresponding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an overview of our results on a consolidated basis with the amount of and percentage change between periods for the three and nine months ended July 3, 2026 and June 27, 2025 (in millions). </w:t>
      </w:r>
    </w:p>
    <w:tbl>
      <w:tblPr>
        <w:tblW w:w="10205" w:type="dxa"/>
        <w:jc w:val="left"/>
        <w:tblInd w:w="0" w:type="dxa"/>
        <w:tblLayout w:type="fixed"/>
        <w:tblCellMar>
          <w:top w:w="28" w:type="dxa"/>
          <w:left w:w="28" w:type="dxa"/>
          <w:bottom w:w="28" w:type="dxa"/>
          <w:right w:w="28" w:type="dxa"/>
        </w:tblCellMar>
      </w:tblPr>
      <w:tblGrid>
        <w:gridCol w:w="1920"/>
        <w:gridCol w:w="1661"/>
        <w:gridCol w:w="1672"/>
        <w:gridCol w:w="211"/>
        <w:gridCol w:w="766"/>
        <w:gridCol w:w="109"/>
        <w:gridCol w:w="109"/>
        <w:gridCol w:w="109"/>
        <w:gridCol w:w="109"/>
        <w:gridCol w:w="217"/>
        <w:gridCol w:w="790"/>
        <w:gridCol w:w="112"/>
        <w:gridCol w:w="109"/>
        <w:gridCol w:w="109"/>
        <w:gridCol w:w="109"/>
        <w:gridCol w:w="211"/>
        <w:gridCol w:w="616"/>
        <w:gridCol w:w="109"/>
        <w:gridCol w:w="109"/>
        <w:gridCol w:w="109"/>
        <w:gridCol w:w="109"/>
        <w:gridCol w:w="255"/>
        <w:gridCol w:w="256"/>
        <w:gridCol w:w="319"/>
      </w:tblGrid>
      <w:tr>
        <w:trPr/>
        <w:tc>
          <w:tcPr>
            <w:tcW w:w="192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(exclusive of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general corporate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5"/>
        <w:gridCol w:w="1551"/>
        <w:gridCol w:w="1561"/>
        <w:gridCol w:w="211"/>
        <w:gridCol w:w="871"/>
        <w:gridCol w:w="109"/>
        <w:gridCol w:w="109"/>
        <w:gridCol w:w="109"/>
        <w:gridCol w:w="109"/>
        <w:gridCol w:w="211"/>
        <w:gridCol w:w="871"/>
        <w:gridCol w:w="109"/>
        <w:gridCol w:w="109"/>
        <w:gridCol w:w="109"/>
        <w:gridCol w:w="109"/>
        <w:gridCol w:w="211"/>
        <w:gridCol w:w="766"/>
        <w:gridCol w:w="109"/>
        <w:gridCol w:w="109"/>
        <w:gridCol w:w="109"/>
        <w:gridCol w:w="109"/>
        <w:gridCol w:w="255"/>
        <w:gridCol w:w="256"/>
        <w:gridCol w:w="318"/>
      </w:tblGrid>
      <w:tr>
        <w:trPr/>
        <w:tc>
          <w:tcPr>
            <w:tcW w:w="181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(exclusive of 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general corporate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Consolidated Overview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 periods of fiscal 2026, revenue increased by approximately 9.3% or $431.5 million and 9.9% or $1,339.0 million compared to the prior year periods, respectively. The increase was primarily attributable to base business growth and net new business. Additionally, foreign currency translation favorably impacted revenue by 0.7% and 1.4% for the three and nine month periods, respectively. The increase was partially offset by the estimated impact of the reduced number of operational service days in the three and nine month periods of fiscal 2026 from the calendar shift related to the fifty-third week in fiscal 2025 (approximately 2% and 1%, respectively).</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Cost of services provided (exclusive of depreciation and amortization)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in cost of services provided (exclusive of depreciation and amortization) and as a percentage of revenue for the three and nine month periods ended July 3, 2026 and June 27, 2025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43"/>
        <w:gridCol w:w="740"/>
        <w:gridCol w:w="744"/>
        <w:gridCol w:w="109"/>
        <w:gridCol w:w="109"/>
        <w:gridCol w:w="109"/>
        <w:gridCol w:w="211"/>
        <w:gridCol w:w="766"/>
        <w:gridCol w:w="109"/>
        <w:gridCol w:w="109"/>
        <w:gridCol w:w="109"/>
        <w:gridCol w:w="109"/>
        <w:gridCol w:w="211"/>
        <w:gridCol w:w="871"/>
        <w:gridCol w:w="109"/>
        <w:gridCol w:w="109"/>
        <w:gridCol w:w="109"/>
        <w:gridCol w:w="109"/>
        <w:gridCol w:w="211"/>
        <w:gridCol w:w="766"/>
        <w:gridCol w:w="109"/>
        <w:gridCol w:w="109"/>
        <w:gridCol w:w="109"/>
        <w:gridCol w:w="109"/>
        <w:gridCol w:w="255"/>
        <w:gridCol w:w="256"/>
        <w:gridCol w:w="271"/>
        <w:gridCol w:w="109"/>
        <w:gridCol w:w="109"/>
        <w:gridCol w:w="109"/>
        <w:gridCol w:w="255"/>
        <w:gridCol w:w="256"/>
        <w:gridCol w:w="340"/>
        <w:gridCol w:w="109"/>
        <w:gridCol w:w="109"/>
        <w:gridCol w:w="109"/>
        <w:gridCol w:w="255"/>
        <w:gridCol w:w="256"/>
        <w:gridCol w:w="409"/>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Percentage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of Revenue</w:t>
            </w:r>
          </w:p>
        </w:tc>
      </w:tr>
      <w:tr>
        <w:trPr/>
        <w:tc>
          <w:tcPr>
            <w:tcW w:w="2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Percentage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of Revenue</w:t>
            </w:r>
          </w:p>
        </w:tc>
      </w:tr>
      <w:tr>
        <w:trPr/>
        <w:tc>
          <w:tcPr>
            <w:tcW w:w="2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2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(exclusive of depreciation and amortization) increased by $371.3 million and $1,196.7 million during the three and nine month periods of fiscal 2026 compared to the prior year periods, respectively, principally attributable to the revenue growth described above. Key drivers of the year-over-year increase include:</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Food and support service costs increased by $98.7 million and $342.8 million during the three and nine month periods of fiscal 2026 compared to the prior year periods, respectively, primarily due to food and beverage costs associated with business growth, partially offset by supply chain efficiencies.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Personnel costs rose by $125.3 million and $513.1 million during the three and nine month periods of fiscal 2026 compared to the prior year periods, respectively, reflecting overall business expansion. The increase was partially offset by lower severance charges during the three month period of fiscal 2026 ($7.1 million) and lower medical costs during the three and nine month periods of fiscal 2026 ($25.7 million and $24.8 million, respectively). The increase during the nine month period of fiscal 2026 was also attributable to a multiemployer pension plan withdrawal charge ($4.8 million).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direct costs grew by $147.3 million and $340.8 million during the three and nine month periods of fiscal 2026 compared to the prior year periods, respectively, driven by business growth. The increase during the three and nine month periods was also attributable to higher commissions ($40.7 million and $83.9 million, respectively), primarily within our Sports &amp; Entertainment business. The increase during the nine month period was also attributable to a non-cash charge for the impairment of certain assets related to a business held-for-sale ($6.1 million) that was offset by the absence of a prior-year charge related to contingent consideration liabilities from acquisition earn-outs ($11.1 million).</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increased by $14.3 million and $42.1 million during the three and nine month periods of fiscal 2026 compared to the prior year periods, respectively. The increase during the three and nine month periods of fiscal 2026 was driven by a higher depreciation expense on property and equipment ($8.2 million and $29.7 million, respectively) and higher amortization expense, primarily from acquisition related intangible assets ($6.1 million and $12.4 million, respectively).</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Selling and general corporate expenses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Selling and general corporate expenses increased by $12.9 million and $21.3 million during the three and nine month periods of fiscal 2026 compared to the prior year periods, respectively. The increase was primarily driven by higher share-based compensation expense, incentive expenses related to the annual bonus and selling costs to support business expansion.</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Operating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Operating income increased by $33.0 million and $78.9 million during the three and nine month periods of fiscal 2026 compared to the prior year periods, respectively, as a result of the aforementioned changes. The reduced number of operational service days from the calendar shift related to the fifty-third week in fiscal 2025 negatively impacted the three and nine month periods of fiscal 2026 operating income by an estimated $20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$6.5 million and $7.9 million during the three and nine month periods of fiscal 2026 compared to the prior year periods, respectively. The decrease during the three and nine month periods was due to repayments on term loan balances and lower interest rates, partially offset by recently executed interest rate swaps with higher fixed rates replacing maturing swaps that were entered into during a lower interest rate environment. The decrease during the nine month period was also due to the prior year impact of refinancing term loan and senior note balances, higher interest rates on the euro denominated Senior Notes, the prior year payment of $5.8 million of transaction costs related to the refinancing of the United States dollar denominated Term B-8 Loans due 2030 (the “U.S. Term B-8 Loans due 2030”) and the prior year $2.5 million non-cash loss for the write-off of unamortized deferred financing costs and discount on the United States dollar denominated Term B-4 Loans due 2027 (the “U.S. Term B-4 Loans due 2027”) and 5.000% Senior Notes due April 2025 (the “5.000% 2025 Notes”). The decrease during the nine month period was partially offset by the payment of $0.7 million of transaction costs and a $0.4 million non-cash loss for the write-off of unamortized deferred financing costs and discount, both relating to the repricing of the United States dollar denominated Term B-10 Loans due 2030. </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for the three and nine month periods of fiscal 2026 was recorded at an effective tax rate of 27.9% and 27.5%, respectively, resulting in an increase of $13.7 million and $29.9 million, respectively, compared to the prior year periods. The Provision for Income Taxes for the three and nine month periods of fiscal 2025 was recorded at an effective tax rate of 25.2% and 25.6%, respectively. During the three and nine months ended July 3, 2026, we recorded a valuation allowance to the “Provision for Income Taxes” on the Condensed Consolidated Statements of Income of $8.1 million and $11.5 million, respectively, against global deferred tax asset balances, as it is more likely than not a tax benefit will not be realized (see Note 6 to the condensed consolidated financial statements). We also recorded a benefit of $6.6 million from the remeasurement of certain tax reserves during the three and nine months ended July 3, 2026. During the three and nine month periods of fiscal 2025, we recorded an income tax benefit of $3.1 million for the reversal of a valuation allowance against deferred tax assets within a foreign subsidiary due to an acquisition of a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FSS United States Segment</w:t>
      </w:r>
    </w:p>
    <w:p>
      <w:pPr>
        <w:pStyle w:val="TextBody"/>
        <w:bidi w:val="0"/>
        <w:spacing w:lineRule="auto" w:line="288" w:before="100" w:after="60"/>
        <w:jc w:val="left"/>
        <w:rPr/>
      </w:pPr>
      <w:r>
        <w:rPr>
          <w:rFonts w:ascii="Times New Roman;serif" w:hAnsi="Times New Roman;serif"/>
          <w:b w:val="false"/>
          <w:color w:val="000000"/>
          <w:sz w:val="20"/>
        </w:rPr>
        <w:t>The following tables present segment adjusted operating results for the three and nine month periods of fiscal 2026 and fiscal 2025 (in millions)</w:t>
      </w:r>
      <w:r>
        <w:rPr>
          <w:rFonts w:ascii="Times New Roman;serif" w:hAnsi="Times New Roman;serif"/>
          <w:b w:val="false"/>
          <w:color w:val="000000"/>
          <w:sz w:val="13"/>
        </w:rPr>
        <w:t>(1)(2)</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094"/>
        <w:gridCol w:w="707"/>
        <w:gridCol w:w="710"/>
        <w:gridCol w:w="156"/>
        <w:gridCol w:w="156"/>
        <w:gridCol w:w="156"/>
        <w:gridCol w:w="302"/>
        <w:gridCol w:w="1249"/>
        <w:gridCol w:w="156"/>
        <w:gridCol w:w="156"/>
        <w:gridCol w:w="156"/>
        <w:gridCol w:w="156"/>
        <w:gridCol w:w="306"/>
        <w:gridCol w:w="1114"/>
        <w:gridCol w:w="158"/>
        <w:gridCol w:w="156"/>
        <w:gridCol w:w="156"/>
        <w:gridCol w:w="156"/>
        <w:gridCol w:w="302"/>
        <w:gridCol w:w="883"/>
        <w:gridCol w:w="156"/>
        <w:gridCol w:w="156"/>
        <w:gridCol w:w="156"/>
        <w:gridCol w:w="156"/>
        <w:gridCol w:w="365"/>
        <w:gridCol w:w="367"/>
        <w:gridCol w:w="464"/>
      </w:tblGrid>
      <w:tr>
        <w:trPr/>
        <w:tc>
          <w:tcPr>
            <w:tcW w:w="109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For the three month periods, adjusted operating income represents operating income adjusted to eliminate the impact of amortization of acquisition-related intangible assets ($27.7 million and $24.8 million in fiscal 2026 and fiscal 2025, respectively), severance charges ($2.0 million and $4.5 million in fiscal 2026 and fiscal 2025, respectively) and other items impacting comparability ($0.8 million benefit in fiscal 2026). The amounts in the table above may represent adjusted figures to arrive at adjusted operating income. Refer to Note 10 to the condensed consolidated financial statements for a description of adjustments comprising adjusted operating income.</w:t>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1" w:type="dxa"/>
            <w:gridSpan w:val="3"/>
            <w:tcBorders/>
            <w:vAlign w:val="center"/>
          </w:tcPr>
          <w:p>
            <w:pPr>
              <w:pStyle w:val="TableContents"/>
              <w:bidi w:val="0"/>
              <w:spacing w:before="0" w:after="283"/>
              <w:jc w:val="left"/>
              <w:rPr>
                <w:sz w:val="4"/>
                <w:szCs w:val="4"/>
              </w:rPr>
            </w:pPr>
            <w:r>
              <w:rPr>
                <w:sz w:val="4"/>
                <w:szCs w:val="4"/>
              </w:rPr>
            </w:r>
          </w:p>
        </w:tc>
        <w:tc>
          <w:tcPr>
            <w:tcW w:w="7694" w:type="dxa"/>
            <w:gridSpan w:val="24"/>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53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For the nine month periods, adjusted operating income represents operating income adjusted to eliminate the impact of amortization of acquisition-related intangible assets ($78.0 million and $72.9 million in fiscal 2026 and fiscal 2025, respectively), severance charges ($7.5 million and $4.5 million in fiscal 2026 and fiscal 2025, respectively) and other items impacting comparability ($10.8 million and $11.1 million in fiscal 2026 and fiscal 2025, respectively). The amounts in the table above may represent adjusted figures to arrive at adjusted operating income. Refer to Note 10 to the condensed consolidated financial statements for a description of adjustments comprising adjusted operating income.</w:t>
            </w:r>
          </w:p>
        </w:tc>
      </w:tr>
    </w:tbl>
    <w:p>
      <w:pPr>
        <w:pStyle w:val="TextBody"/>
        <w:bidi w:val="0"/>
        <w:spacing w:lineRule="auto" w:line="288" w:before="6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Revenue for each of these sectors is summarized as follows (in millions):</w:t>
      </w:r>
    </w:p>
    <w:tbl>
      <w:tblPr>
        <w:tblW w:w="11480" w:type="dxa"/>
        <w:jc w:val="left"/>
        <w:tblInd w:w="0" w:type="dxa"/>
        <w:tblLayout w:type="fixed"/>
        <w:tblCellMar>
          <w:top w:w="28" w:type="dxa"/>
          <w:left w:w="28" w:type="dxa"/>
          <w:bottom w:w="28" w:type="dxa"/>
          <w:right w:w="28" w:type="dxa"/>
        </w:tblCellMar>
      </w:tblPr>
      <w:tblGrid>
        <w:gridCol w:w="629"/>
        <w:gridCol w:w="315"/>
        <w:gridCol w:w="31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271"/>
        <w:gridCol w:w="109"/>
        <w:gridCol w:w="109"/>
        <w:gridCol w:w="109"/>
        <w:gridCol w:w="211"/>
        <w:gridCol w:w="871"/>
        <w:gridCol w:w="109"/>
        <w:gridCol w:w="109"/>
        <w:gridCol w:w="109"/>
        <w:gridCol w:w="109"/>
        <w:gridCol w:w="211"/>
        <w:gridCol w:w="766"/>
        <w:gridCol w:w="109"/>
        <w:gridCol w:w="109"/>
        <w:gridCol w:w="109"/>
        <w:gridCol w:w="109"/>
        <w:gridCol w:w="211"/>
        <w:gridCol w:w="616"/>
        <w:gridCol w:w="109"/>
        <w:gridCol w:w="109"/>
        <w:gridCol w:w="109"/>
        <w:gridCol w:w="109"/>
        <w:gridCol w:w="255"/>
        <w:gridCol w:w="256"/>
        <w:gridCol w:w="316"/>
      </w:tblGrid>
      <w:tr>
        <w:trPr/>
        <w:tc>
          <w:tcPr>
            <w:tcW w:w="6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&amp; Industry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Sports, Leisure &amp; Corrections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&amp;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FSS United States segment revenue increased by approximately 7.7% and 7.1% during the three and nine month periods of fiscal 2026 compared to the prior year periods, respectively, primarily driven by base business growth and net new business. The increase in segment revenue was partially offset by the estimated impact of the reduced number of operational service days in the three and nine month periods of fiscal 2026 compared to the prior year periods from the calendar shift related to the fifty-third week in fiscal 2025 (approximately 2% and 1%, respectively). During the three and nine month periods, the Business &amp; Industry sector experienced double-digit growth attributable to base business growth partially driven by high client retention rates and net new business. Growth in the Sports, Leisure &amp; Corrections sector was primarily attributable to base business due to higher per cap spending and attendance levels in Sports &amp; Entertainment, including FIFA World Cup matches and NBA and NHL playoffs. Growth in the Healthcare sector was attributable to a combination of base business and net new business. The calendar shift primarily impacted the Education sector, reducing its revenue by approximately 10% and 3% for the three and nine month periods of fiscal 2026 as compared to the prior year periods, respectively.</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Facilities &amp; Other sector had an adjusted operating income margin over ten percent in both the three and nine month periods of fiscal 2026 and in the prior year periods. The Business &amp; Industry and Healthcare sectors had high-single digit adjusted operating income margins in both the three and nine month periods of fiscal 2026 and in the prior year periods. The Sports, Leisure &amp; Corrections sector had high-single digit adjusted operating income margins in the three month period of fiscal 2026 and in the prior year period; the nine month period of fiscal 2026 and the prior year period had mid-single digit adjusted operating income margins. The Education sector had low-single digit adjusted operating income margins in the three month period of fiscal 2026 primarily driven by the calendar shift related to the fifty-third week in fiscal 2025 and mid-single digit adjusted operating income margins in the prior year period; the nine month period of fiscal 2026 and the prior year period had high-single digit adjusted operating income margins.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 increased by $21.8 million and $66.0 million during the three and nine month periods of fiscal 2026 compared to the prior year periods, respectively. The increase during the three and nine month periods was driven by revenue growth in the Business &amp; Industry, Sports, Leisure &amp; Corrections and Healthcare sectors, strengthened supply chain economics and lower medical costs ($25.7 million and $24.8 million, respectively). The increase was partially offset by the estimated impact due to the reduced number of operational service days in the three and nine month periods of fiscal 2026 compared to the prior year periods from the calendar shift related to the fifty-third week in fiscal 2025 (approximately $20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FSS International Segment</w:t>
      </w:r>
    </w:p>
    <w:p>
      <w:pPr>
        <w:pStyle w:val="TextBody"/>
        <w:bidi w:val="0"/>
        <w:spacing w:lineRule="auto" w:line="288" w:before="100" w:after="60"/>
        <w:jc w:val="left"/>
        <w:rPr/>
      </w:pPr>
      <w:r>
        <w:rPr>
          <w:rFonts w:ascii="Times New Roman;serif" w:hAnsi="Times New Roman;serif"/>
          <w:b w:val="false"/>
          <w:color w:val="000000"/>
          <w:sz w:val="20"/>
        </w:rPr>
        <w:t>The following tables present segment adjusted operating results for the three and nine month periods of fiscal 2026 and fiscal 2025 (in millions)</w:t>
      </w:r>
      <w:r>
        <w:rPr>
          <w:rFonts w:ascii="Times New Roman;serif" w:hAnsi="Times New Roman;serif"/>
          <w:b w:val="false"/>
          <w:color w:val="000000"/>
          <w:sz w:val="13"/>
        </w:rPr>
        <w:t>(1)(2)</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111"/>
        <w:gridCol w:w="721"/>
        <w:gridCol w:w="724"/>
        <w:gridCol w:w="158"/>
        <w:gridCol w:w="158"/>
        <w:gridCol w:w="158"/>
        <w:gridCol w:w="306"/>
        <w:gridCol w:w="1114"/>
        <w:gridCol w:w="158"/>
        <w:gridCol w:w="158"/>
        <w:gridCol w:w="158"/>
        <w:gridCol w:w="158"/>
        <w:gridCol w:w="310"/>
        <w:gridCol w:w="1130"/>
        <w:gridCol w:w="160"/>
        <w:gridCol w:w="158"/>
        <w:gridCol w:w="158"/>
        <w:gridCol w:w="158"/>
        <w:gridCol w:w="306"/>
        <w:gridCol w:w="896"/>
        <w:gridCol w:w="158"/>
        <w:gridCol w:w="158"/>
        <w:gridCol w:w="158"/>
        <w:gridCol w:w="158"/>
        <w:gridCol w:w="370"/>
        <w:gridCol w:w="372"/>
        <w:gridCol w:w="473"/>
      </w:tblGrid>
      <w:tr>
        <w:trPr/>
        <w:tc>
          <w:tcPr>
            <w:tcW w:w="11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100" w:after="60"/>
              <w:jc w:val="left"/>
              <w:rPr>
                <w:rFonts w:ascii="Times New Roman;serif" w:hAnsi="Times New Roman;serif"/>
                <w:b w:val="false"/>
                <w:color w:val="000000"/>
                <w:sz w:val="14"/>
              </w:rPr>
            </w:pPr>
            <w:r>
              <w:rPr>
                <w:rFonts w:ascii="Times New Roman;serif" w:hAnsi="Times New Roman;serif"/>
                <w:b w:val="false"/>
                <w:color w:val="000000"/>
                <w:sz w:val="14"/>
              </w:rPr>
              <w:t>(1) For the three month periods, adjusted operating income represents operating income adjusted to eliminate the impact of amortization of acquisition-related intangible assets ($10.2 million and $7.3 million in fiscal 2026 and fiscal 2025, respectively), severance charges ($3.6 million and $8.2 million in fiscal 2026 and fiscal 2025, respectively) and other items impacting comparability ($2.5 million and $2.8 million loss in fiscal 2026 and fiscal 2025, respectively). The amounts in the table above may represent adjusted figures to arrive at adjusted operating income. Refer to Note 10 to the condensed consolidated financial statements for a description of adjustments comprising adjusted operating income.</w:t>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support services costs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direct costs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100" w:after="60"/>
              <w:jc w:val="left"/>
              <w:rPr>
                <w:rFonts w:ascii="Times New Roman;serif" w:hAnsi="Times New Roman;serif"/>
                <w:b w:val="false"/>
                <w:color w:val="000000"/>
                <w:sz w:val="14"/>
              </w:rPr>
            </w:pPr>
            <w:r>
              <w:rPr>
                <w:rFonts w:ascii="Times New Roman;serif" w:hAnsi="Times New Roman;serif"/>
                <w:b w:val="false"/>
                <w:color w:val="000000"/>
                <w:sz w:val="14"/>
              </w:rPr>
              <w:t>(2) For the nine month periods, adjusted operating income represents operating income adjusted to eliminate the impact of amortization of acquisition-related intangible assets ($25.2 million and $17.8 million in fiscal 2026 and fiscal 2025, respectively), severance charges ($3.6 million and $8.2 million in fiscal 2026 and fiscal 2025, respectively) and other items impacting comparability ($3.4 million and $4.1 million in fiscal 2026 and fiscal 2025, respectively). The amounts in the table above may represent adjusted figures to arrive at adjusted operating income. Refer to Note 10 to the condensed consolidated financial statements for a description of adjustments comprising adjusted operating income.</w:t>
            </w:r>
          </w:p>
        </w:tc>
      </w:tr>
    </w:tbl>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FSS International segment revenue increased by approximately 13.2% and 17.0% during the three and nine month periods of fiscal 2026 compared to the prior year periods, respectively. The increase was primarily attributable to base business growth and net new business, driven largely by performance in the U.K., Spain, Germany and Canada and the favorable impact of foreign currency translation (approximately 2.4% and 4.7% for the three and nine month periods, respectively). </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Adjusted operating income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Adjusted operating income increased by $17.6 million and $37.8 million during the three and nine month periods of fiscal 2026 compared to the prior year periods, respectively. The increase was primarily attributable to higher base business volume, net new business and strengthened supply chain economics from revenue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 2026, we had $499.4 million of cash and cash equivalents and $914.9 million of availability under our senior secured revolving credit facility. A significant portion of our cash and cash equivalents are held in mature, liquid geographies where we have operations. As of July 3, 2026, we had $1.1 billion of outstanding foreign currency borrowings.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and cash equivalents and availability under our revolving credit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25, 2025.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cash activity (in millions):</w:t>
      </w:r>
    </w:p>
    <w:tbl>
      <w:tblPr>
        <w:tblW w:w="5971" w:type="dxa"/>
        <w:jc w:val="left"/>
        <w:tblInd w:w="0" w:type="dxa"/>
        <w:tblLayout w:type="fixed"/>
        <w:tblCellMar>
          <w:top w:w="28" w:type="dxa"/>
          <w:left w:w="28" w:type="dxa"/>
          <w:bottom w:w="28" w:type="dxa"/>
          <w:right w:w="28" w:type="dxa"/>
        </w:tblCellMar>
      </w:tblPr>
      <w:tblGrid>
        <w:gridCol w:w="1253"/>
        <w:gridCol w:w="1104"/>
        <w:gridCol w:w="1107"/>
        <w:gridCol w:w="211"/>
        <w:gridCol w:w="691"/>
        <w:gridCol w:w="109"/>
        <w:gridCol w:w="109"/>
        <w:gridCol w:w="109"/>
        <w:gridCol w:w="109"/>
        <w:gridCol w:w="233"/>
        <w:gridCol w:w="766"/>
        <w:gridCol w:w="170"/>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Reference to the Condensed Consolidated Statements of Cash Flows will facilitate understanding of the discussion that follows.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Cash Flows Used in Operating Activities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increased by $10.2 million during the nine month period of fiscal 2026 compared to the prior year period. The increase was primarily driven by a greater use of cash from the change in operating assets and liabilities as compared to the prior year period ($118.0 million) and higher payments made to clients on contracts ($90.4 million), partially offset by higher net income and non-cash gains and losses.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increase in cash used in operating assets and liabilities compared to the prior year period was primarily due to:</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Accounts payable by $113.8 million, resulting in a higher use of cash due to the timing of disbursements; and</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Receivables by $79.6 million, resulting in a higher use of cash due to base business growth, net new business and the timing of collections.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These changes in operating assets and liabilities more than offset:</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Accrued expenses by $74.2 million, resulting in a lower use of cash primarily due to the timing of payroll payments, higher accrual of employee incentive awards and higher deferred income driven by new business, partially offset due to the timing of insurance payments.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"Other operating activities" caption in both periods reflects a source of cash due to adjustments to net income related to non-cash gains and losses and adjustments to non-operating cash transactions.</w:t>
      </w:r>
    </w:p>
    <w:p>
      <w:pPr>
        <w:pStyle w:val="TextBody"/>
        <w:bidi w:val="0"/>
        <w:spacing w:lineRule="auto" w:line="268" w:before="100" w:after="60"/>
        <w:jc w:val="left"/>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$178.3 million lower during the nine month period of fiscal 2026 compared to the prior year period, primarily due to lower acquisitions of certain businesses ($168.7 million), partially offset by the acquisition of certain equity investments ($23.4 million).</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 xml:space="preserve">Cash Flows Provided by Financing Activities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nine month period of fiscal 2026, cash provided by financing activities was primarily impacted by net borrowings under both the Receivables Facility ($625.0 million) and the revolving credit facility ($187.2 million) and proceeds from the issuance of common stock ($43.2 million). Cash provided by financing activities more than offset the optional prepayment and repayment of long-term borrowings ($68.2 million and $30.2 million, respectively), the payment of dividends ($94.7 million), the repurchase of common stock through the share repurchase program and taxes paid by us when we withhold shares upon an employee's exercise or vesting of equity awards to cover income taxes ($53.6 million and $13.6 million, respectively) and the payment of contingent consideration ($35.6 million).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nine month period of fiscal 2025, cash provided by financing activities was primarily impacted by the upsizing of the U.S. Term B-8 Loans due 2030 ($1,395.0 million), net borrowings under the Receivables Facility ($570.0 million), the issuance of the euro denominated 4.375% Senior Notes due April 2033 ("4.375% 2033 Notes") ($429.7 million), net borrowings under the revolving credit facility ($394.7 million) and proceeds from the issuance of common stock ($36.4 million). Cash provided by financing activities more than offset the repayment of the U.S. Term B-4 Loans due 2027 ($839.3 million), the redemption of the 5.000% 2025 Notes ($551.5 million), repayment of the euro denominated 3.125% 2025 Senior Notes due April 2025 ($363.4 million), the repurchase of common stock through the share repurchase program and taxes paid by us when we withhold shares upon an employee's exercise or vesting of equity awards to cover income taxes ($140.2 million and $29.4 million, respectively), payment of dividends ($83.2 million) and contingent consideration obligations ($25.2 million). The ”Other financing activities” caption also includes transaction costs related to the issuance of the 4.375% 2033 Notes and the U.S. Term B-8 Loans due 2030 ($15.1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Covenant Compliance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July 3, 2026, we were in compliance with these covenants.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Attributable to ASI stockholders, which is a U.S. GAAP measure of ASI's operating results, to Covenant Adjusted EBITDA as defined in our Credit Agreement. The terms and related calculations are defined in the Credit Agreement. The calculation for the purpose of the indentures governing our senior notes is slightly different. Covenant Adjusted EBITDA is a measure of ASI and its restricted subsidiaries only and does not include the results of Aramark.</w:t>
      </w:r>
    </w:p>
    <w:tbl>
      <w:tblPr>
        <w:tblW w:w="5174" w:type="dxa"/>
        <w:jc w:val="left"/>
        <w:tblInd w:w="0" w:type="dxa"/>
        <w:tblLayout w:type="fixed"/>
        <w:tblCellMar>
          <w:top w:w="28" w:type="dxa"/>
          <w:left w:w="28" w:type="dxa"/>
          <w:bottom w:w="28" w:type="dxa"/>
          <w:right w:w="28" w:type="dxa"/>
        </w:tblCellMar>
      </w:tblPr>
      <w:tblGrid>
        <w:gridCol w:w="1345"/>
        <w:gridCol w:w="1181"/>
        <w:gridCol w:w="1193"/>
        <w:gridCol w:w="271"/>
        <w:gridCol w:w="986"/>
        <w:gridCol w:w="198"/>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Twelve Months Ended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ASI stockholders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Income Taxes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0"/>
              </w:rPr>
              <w:t>(1)</w:t>
            </w:r>
            <w:r>
              <w:rPr>
                <w:color w:val="000000"/>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Unusual or non-recurring losses</w:t>
            </w:r>
            <w:r>
              <w:rPr>
                <w:rFonts w:ascii="Times New Roman;serif" w:hAnsi="Times New Roman;serif"/>
                <w:b w:val="false"/>
                <w:color w:val="000000"/>
                <w:sz w:val="10"/>
              </w:rPr>
              <w:t>(2)</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 forma EBITDA for certain transactions</w:t>
            </w:r>
            <w:r>
              <w:rPr>
                <w:rFonts w:ascii="Times New Roman;serif" w:hAnsi="Times New Roman;serif"/>
                <w:b w:val="false"/>
                <w:color w:val="000000"/>
                <w:sz w:val="10"/>
              </w:rPr>
              <w:t>(3)</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0"/>
              </w:rPr>
              <w:t>(4)</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Covenant Adjusted EBITDA</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Represents share-based compensation expense of equity awards resulting from the application of accounting for stock options, restricted stock units, performance stock units and deferred stock unit awards.</w:t>
      </w:r>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Represents a fiscal 2026 non-cash charge for the impairment of certain assets related to a business held-for-sale ($6.1 million) and a fiscal 2025 non-cash charge for the impairment of an equity investment ($19.5 million).</w:t>
      </w:r>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Represents the annualizing of net EBITDA from certain acquisitions made during the period and, for purposes of the Credit Agreement, the net benefit from cost savings initiatives ($21.4 million).</w:t>
      </w:r>
    </w:p>
    <w:p>
      <w:pPr>
        <w:pStyle w:val="TextBody"/>
        <w:bidi w:val="0"/>
        <w:spacing w:lineRule="auto" w:line="26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"Other" includes adjustments to remove the impact attributable to the adoption of certain accounting standards that are made to the calculation in accordance with the Credit Agreement and indentures ($58.1 million), severance charges ($34.9 million), non-cash charges for the impairments of assets ($8.9 million), merger and integration charges ($5.7 million), multiemployer pension plan withdrawal charge, net ($4.8 million), earnings from miscellaneous investments, net of dividends ($4.6 million), legal and professional fees related to an antitrust review ($3.8 million), the impact of hyperinflation in Argentina ($3.7 million) and other miscellaneous expenses.</w:t>
      </w:r>
    </w:p>
    <w:p>
      <w:pPr>
        <w:pStyle w:val="TextBody"/>
        <w:bidi w:val="0"/>
        <w:spacing w:before="0" w:after="0"/>
        <w:jc w:val="left"/>
        <w:rPr/>
      </w:pPr>
      <w:r>
        <w:rPr/>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covenant requirements and actual ratios for the twelve months ended July 3, 2026 are as follows: </w:t>
      </w:r>
    </w:p>
    <w:tbl>
      <w:tblPr>
        <w:tblW w:w="6779" w:type="dxa"/>
        <w:jc w:val="left"/>
        <w:tblInd w:w="0" w:type="dxa"/>
        <w:tblLayout w:type="fixed"/>
        <w:tblCellMar>
          <w:top w:w="28" w:type="dxa"/>
          <w:left w:w="28" w:type="dxa"/>
          <w:bottom w:w="28" w:type="dxa"/>
          <w:right w:w="28" w:type="dxa"/>
        </w:tblCellMar>
      </w:tblPr>
      <w:tblGrid>
        <w:gridCol w:w="1733"/>
        <w:gridCol w:w="1524"/>
        <w:gridCol w:w="1528"/>
        <w:gridCol w:w="345"/>
        <w:gridCol w:w="345"/>
        <w:gridCol w:w="346"/>
        <w:gridCol w:w="109"/>
        <w:gridCol w:w="109"/>
        <w:gridCol w:w="109"/>
        <w:gridCol w:w="184"/>
        <w:gridCol w:w="184"/>
        <w:gridCol w:w="263"/>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br/>
              <w:t>Ratio</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Consolidated Secured Debt Ratio</w:t>
            </w:r>
            <w:r>
              <w:rPr>
                <w:rFonts w:ascii="Times New Roman;serif" w:hAnsi="Times New Roman;serif"/>
                <w:b w:val="false"/>
                <w:color w:val="000000"/>
                <w:sz w:val="13"/>
              </w:rPr>
              <w:t>(1)</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2.59x</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Coverage Ratio (Fixed Charge Coverage Ratio)</w:t>
            </w:r>
            <w:r>
              <w:rPr>
                <w:rFonts w:ascii="Times New Roman;serif" w:hAnsi="Times New Roman;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4.77x</w:t>
            </w:r>
          </w:p>
        </w:tc>
      </w:tr>
    </w:tbl>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Secured Debt Ratio covenant) failed to waive any such default, would also constitute a default under the indentures governing our senior notes. </w:t>
      </w:r>
    </w:p>
    <w:p>
      <w:pPr>
        <w:pStyle w:val="TextBody"/>
        <w:bidi w:val="0"/>
        <w:spacing w:lineRule="auto" w:line="288" w:before="100" w:after="6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certain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certain specified exceptions, and (2) make certain restricted payments, other than pursuant to certain specified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non-cash or nonrecurring interest expense. The indentures governing our senior notes include a similar requirement which is referred to as a Fixed Charge Coverage Ratio. </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Supplemental Consolidating Information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100" w:after="6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business activities do not include the use of unconsolidated special purpose entities and there are no significant business transactions that have not been reflected in the accompanying condensed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July 3, 2026.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July 3, 2026 and October 3, 2025, cash and cash equivalents at the Captive were $154.0 million and $133.5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described in the notes to the audited consolidated financial statements included in our Annual Report on Form 10-K, filed with the SEC on November 25, 2025. For a more complete discussion of our accounting policies and critical accounting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25, 2025.</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Critical accounting estimates and the related assumptions are evaluated periodically as conditions warrant, and changes to such estimates are recorded as new information or changed conditions require.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erif" w:hAnsi="Times New Roman;serif"/>
          <w:b/>
          <w:color w:val="000000"/>
          <w:sz w:val="20"/>
        </w:rPr>
      </w:pPr>
      <w:r>
        <w:rPr>
          <w:rFonts w:ascii="Times New Roman;serif" w:hAnsi="Times New Roman;serif"/>
          <w:b/>
          <w:color w:val="000000"/>
          <w:sz w:val="20"/>
        </w:rPr>
        <w:t>New Accounting Standard Updates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See Note 1 to the condensed consolidated financial statements for a full description of recent accounting standard updates,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July 3, 2026 has not materially changed from October 3, 2025 (see Part II, Item 7A "Quantitative and Qualitative Disclosure About Market Risk" in our Annual Report on Form 10-K for the fiscal year ended October 3, 2025 filed with the SEC on November 25, 2025). However, we completed a debt related transaction during the first quarter of fiscal 2026 that may impact our related exposure to this market risk. Specifically, we repriced $2.4 billion of U.S. Term B-8 Loans due 2030 under the Credit Agreement by refinancing them with $2.4 billion of new U.S. Term B-10 Loans due June 2030. Additionally, during the nine months ended July 3, 2026, we entered into interest rate swaps with a notional amount of $200.0 million. See Note 3 to the condensed consolidated financial statements related to the changes in our debt levels. See Note 4 to the condensed consolidated financial statements for a discussion of our derivative instruments and Note 11 for the disclosure of the fair value and related carrying value of our debt obligations as of July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occurred during our third quarter of fiscal 2026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80"/>
            <w:sz w:val="20"/>
            <w:u w:val="single"/>
          </w:rPr>
          <w:t xml:space="preserve">Table of </w:t>
        </w:r>
      </w:hyperlink>
      <w:hyperlink w:anchor="i1d69ea458dd4405fb107b9e3de94c4e7_7">
        <w:r>
          <w:rPr>
            <w:rStyle w:val="InternetLink"/>
            <w:rFonts w:ascii="Times New Roman;serif" w:hAnsi="Times New Roman;serif"/>
            <w:b w:val="false"/>
            <w:color w:val="000080"/>
            <w:sz w:val="20"/>
            <w:u w:val="single"/>
          </w:rPr>
          <w:t>Contents</w:t>
        </w:r>
      </w:hyperlink>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July 3, 2026.</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See Note 9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Part I, Item 1A, "Risk Factors" in our Annual Report on Form 10-K for the fiscal year ended October 3, 2025 filed with the SEC on November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July 3, 2026,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See the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6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6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August 11, 2026.</w:t>
      </w:r>
    </w:p>
    <w:tbl>
      <w:tblPr>
        <w:tblW w:w="6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Controller and Chief Accounting Officer</w:t>
              <w:br/>
              <w:t>(Principal Accounting Officer and Authorized Signatory)</w:t>
            </w:r>
          </w:p>
        </w:tc>
      </w:tr>
    </w:tbl>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d69ea458dd4405fb107b9e3de94c4e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17"/>
        <w:gridCol w:w="189"/>
        <w:gridCol w:w="191"/>
        <w:gridCol w:w="109"/>
        <w:gridCol w:w="109"/>
        <w:gridCol w:w="109"/>
        <w:gridCol w:w="2713"/>
        <w:gridCol w:w="2713"/>
        <w:gridCol w:w="3855"/>
      </w:tblGrid>
      <w:tr>
        <w:trPr/>
        <w:tc>
          <w:tcPr>
            <w:tcW w:w="2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55" w:type="dxa"/>
            <w:tcBorders/>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Description</w:t>
            </w:r>
            <w:r>
              <w:rPr>
                <w:color w:val="000000"/>
              </w:rPr>
              <w:t> </w:t>
            </w:r>
          </w:p>
        </w:tc>
      </w:tr>
      <w:tr>
        <w:trPr/>
        <w:tc>
          <w:tcPr>
            <w:tcW w:w="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w:anchor="ex311q3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32026.htm">
              <w:r>
                <w:rPr>
                  <w:rStyle w:val="InternetLink"/>
                  <w:rFonts w:ascii="Times New Roman;serif" w:hAnsi="Times New Roman;serif"/>
                  <w:b w:val="false"/>
                  <w:color w:val="0000FF"/>
                  <w:sz w:val="20"/>
                  <w:u w:val="single"/>
                </w:rPr>
                <w:t>Certification of John J. Zillmer, Chief Executive Officer, pursuant to Section 302 of the Sarbanes-Oxley Act of 2002.</w:t>
              </w:r>
            </w:hyperlink>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q3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32026.htm">
              <w:r>
                <w:rPr>
                  <w:rStyle w:val="InternetLink"/>
                  <w:rFonts w:ascii="Times New Roman;serif" w:hAnsi="Times New Roman;serif"/>
                  <w:b w:val="false"/>
                  <w:color w:val="0000FF"/>
                  <w:sz w:val="20"/>
                  <w:u w:val="single"/>
                </w:rPr>
                <w:t>Certification of James J. Tarangelo, Chief Financial Officer, pursuant to Section 302 of the Sarbanes-Oxley Act of 2002.</w:t>
              </w:r>
            </w:hyperlink>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q3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32026.htm">
              <w:r>
                <w:rPr>
                  <w:rStyle w:val="InternetLink"/>
                  <w:rFonts w:ascii="Times New Roman;serif" w:hAnsi="Times New Roman;serif"/>
                  <w:b w:val="false"/>
                  <w:color w:val="0000FF"/>
                  <w:sz w:val="20"/>
                  <w:u w:val="single"/>
                </w:rPr>
                <w:t>Certification of John J. Zillmer, Chief Executive Officer, and James J. Tarangelo, Chief Financial Officer, pursuant to Section 906 of the Sarbanes-Oxley Act of 2002.</w:t>
              </w:r>
            </w:hyperlink>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69ea458dd4405fb107b9e3de94c4e7_16">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69ea458dd4405fb107b9e3de94c4e7_16">
              <w:r>
                <w:rPr>
                  <w:rStyle w:val="InternetLink"/>
                  <w:rFonts w:ascii="Times New Roman;serif" w:hAnsi="Times New Roman;serif"/>
                  <w:b w:val="false"/>
                  <w:color w:val="000080"/>
                  <w:sz w:val="20"/>
                  <w:u w:val="single"/>
                </w:rPr>
                <w:t xml:space="preserve">The following financial information from Aramark's Quarterly Report on Form 10-Q for the period ended </w:t>
              </w:r>
            </w:hyperlink>
            <w:hyperlink w:anchor="i1d69ea458dd4405fb107b9e3de94c4e7_16">
              <w:r>
                <w:rPr>
                  <w:rStyle w:val="InternetLink"/>
                  <w:rFonts w:ascii="Times New Roman;serif" w:hAnsi="Times New Roman;serif"/>
                  <w:b w:val="false"/>
                  <w:color w:val="000080"/>
                  <w:sz w:val="20"/>
                  <w:u w:val="single"/>
                </w:rPr>
                <w:t>July</w:t>
              </w:r>
            </w:hyperlink>
            <w:hyperlink w:anchor="i1d69ea458dd4405fb107b9e3de94c4e7_16">
              <w:r>
                <w:rPr>
                  <w:rStyle w:val="InternetLink"/>
                  <w:rFonts w:ascii="Times New Roman;serif" w:hAnsi="Times New Roman;serif"/>
                  <w:b w:val="false"/>
                  <w:color w:val="000080"/>
                  <w:sz w:val="20"/>
                  <w:u w:val="single"/>
                </w:rPr>
                <w:t xml:space="preserve"> 3, 2026 formatted in inline XBRL: (i) Condensed Consolidated Balance Sheets as of </w:t>
              </w:r>
            </w:hyperlink>
            <w:hyperlink w:anchor="i1d69ea458dd4405fb107b9e3de94c4e7_16">
              <w:r>
                <w:rPr>
                  <w:rStyle w:val="InternetLink"/>
                  <w:rFonts w:ascii="Times New Roman;serif" w:hAnsi="Times New Roman;serif"/>
                  <w:b w:val="false"/>
                  <w:color w:val="000080"/>
                  <w:sz w:val="20"/>
                  <w:u w:val="single"/>
                </w:rPr>
                <w:t>July</w:t>
              </w:r>
            </w:hyperlink>
            <w:hyperlink w:anchor="i1d69ea458dd4405fb107b9e3de94c4e7_16">
              <w:r>
                <w:rPr>
                  <w:rStyle w:val="InternetLink"/>
                  <w:rFonts w:ascii="Times New Roman;serif" w:hAnsi="Times New Roman;serif"/>
                  <w:b w:val="false"/>
                  <w:color w:val="000080"/>
                  <w:sz w:val="20"/>
                  <w:u w:val="single"/>
                </w:rPr>
                <w:t xml:space="preserve"> 3, 2026 and October 3, 2025; (ii) Condensed Consolidated Statements of Income for the three and </w:t>
              </w:r>
            </w:hyperlink>
            <w:hyperlink w:anchor="i1d69ea458dd4405fb107b9e3de94c4e7_16">
              <w:r>
                <w:rPr>
                  <w:rStyle w:val="InternetLink"/>
                  <w:rFonts w:ascii="Times New Roman;serif" w:hAnsi="Times New Roman;serif"/>
                  <w:b w:val="false"/>
                  <w:color w:val="000080"/>
                  <w:sz w:val="20"/>
                  <w:u w:val="single"/>
                </w:rPr>
                <w:t>nine</w:t>
              </w:r>
            </w:hyperlink>
            <w:hyperlink w:anchor="i1d69ea458dd4405fb107b9e3de94c4e7_16">
              <w:r>
                <w:rPr>
                  <w:rStyle w:val="InternetLink"/>
                  <w:rFonts w:ascii="Times New Roman;serif" w:hAnsi="Times New Roman;serif"/>
                  <w:b w:val="false"/>
                  <w:color w:val="000080"/>
                  <w:sz w:val="20"/>
                  <w:u w:val="single"/>
                </w:rPr>
                <w:t xml:space="preserve"> months ended </w:t>
              </w:r>
            </w:hyperlink>
            <w:hyperlink w:anchor="i1d69ea458dd4405fb107b9e3de94c4e7_16">
              <w:r>
                <w:rPr>
                  <w:rStyle w:val="InternetLink"/>
                  <w:rFonts w:ascii="Times New Roman;serif" w:hAnsi="Times New Roman;serif"/>
                  <w:b w:val="false"/>
                  <w:color w:val="000080"/>
                  <w:sz w:val="20"/>
                  <w:u w:val="single"/>
                </w:rPr>
                <w:t>July</w:t>
              </w:r>
            </w:hyperlink>
            <w:hyperlink w:anchor="i1d69ea458dd4405fb107b9e3de94c4e7_16">
              <w:r>
                <w:rPr>
                  <w:rStyle w:val="InternetLink"/>
                  <w:rFonts w:ascii="Times New Roman;serif" w:hAnsi="Times New Roman;serif"/>
                  <w:b w:val="false"/>
                  <w:color w:val="000080"/>
                  <w:sz w:val="20"/>
                  <w:u w:val="single"/>
                </w:rPr>
                <w:t xml:space="preserve"> 3, 2026 and </w:t>
              </w:r>
            </w:hyperlink>
            <w:hyperlink w:anchor="i1d69ea458dd4405fb107b9e3de94c4e7_16">
              <w:r>
                <w:rPr>
                  <w:rStyle w:val="InternetLink"/>
                  <w:rFonts w:ascii="Times New Roman;serif" w:hAnsi="Times New Roman;serif"/>
                  <w:b w:val="false"/>
                  <w:color w:val="000080"/>
                  <w:sz w:val="20"/>
                  <w:u w:val="single"/>
                </w:rPr>
                <w:t>June</w:t>
              </w:r>
            </w:hyperlink>
            <w:hyperlink w:anchor="i1d69ea458dd4405fb107b9e3de94c4e7_16">
              <w:r>
                <w:rPr>
                  <w:rStyle w:val="InternetLink"/>
                  <w:rFonts w:ascii="Times New Roman;serif" w:hAnsi="Times New Roman;serif"/>
                  <w:b w:val="false"/>
                  <w:color w:val="000080"/>
                  <w:sz w:val="20"/>
                  <w:u w:val="single"/>
                </w:rPr>
                <w:t xml:space="preserve"> 2</w:t>
              </w:r>
            </w:hyperlink>
            <w:hyperlink w:anchor="i1d69ea458dd4405fb107b9e3de94c4e7_16">
              <w:r>
                <w:rPr>
                  <w:rStyle w:val="InternetLink"/>
                  <w:rFonts w:ascii="Times New Roman;serif" w:hAnsi="Times New Roman;serif"/>
                  <w:b w:val="false"/>
                  <w:color w:val="000080"/>
                  <w:sz w:val="20"/>
                  <w:u w:val="single"/>
                </w:rPr>
                <w:t>7</w:t>
              </w:r>
            </w:hyperlink>
            <w:hyperlink w:anchor="i1d69ea458dd4405fb107b9e3de94c4e7_16">
              <w:r>
                <w:rPr>
                  <w:rStyle w:val="InternetLink"/>
                  <w:rFonts w:ascii="Times New Roman;serif" w:hAnsi="Times New Roman;serif"/>
                  <w:b w:val="false"/>
                  <w:color w:val="000080"/>
                  <w:sz w:val="20"/>
                  <w:u w:val="single"/>
                </w:rPr>
                <w:t xml:space="preserve">, 2025; (iii) Condensed Consolidated Statements of Comprehensive Income for the three and </w:t>
              </w:r>
            </w:hyperlink>
            <w:hyperlink w:anchor="i1d69ea458dd4405fb107b9e3de94c4e7_16">
              <w:r>
                <w:rPr>
                  <w:rStyle w:val="InternetLink"/>
                  <w:rFonts w:ascii="Times New Roman;serif" w:hAnsi="Times New Roman;serif"/>
                  <w:b w:val="false"/>
                  <w:color w:val="000080"/>
                  <w:sz w:val="20"/>
                  <w:u w:val="single"/>
                </w:rPr>
                <w:t>nine</w:t>
              </w:r>
            </w:hyperlink>
            <w:hyperlink w:anchor="i1d69ea458dd4405fb107b9e3de94c4e7_16">
              <w:r>
                <w:rPr>
                  <w:rStyle w:val="InternetLink"/>
                  <w:rFonts w:ascii="Times New Roman;serif" w:hAnsi="Times New Roman;serif"/>
                  <w:b w:val="false"/>
                  <w:color w:val="000080"/>
                  <w:sz w:val="20"/>
                  <w:u w:val="single"/>
                </w:rPr>
                <w:t xml:space="preserve"> months ended </w:t>
              </w:r>
            </w:hyperlink>
            <w:hyperlink w:anchor="i1d69ea458dd4405fb107b9e3de94c4e7_16">
              <w:r>
                <w:rPr>
                  <w:rStyle w:val="InternetLink"/>
                  <w:rFonts w:ascii="Times New Roman;serif" w:hAnsi="Times New Roman;serif"/>
                  <w:b w:val="false"/>
                  <w:color w:val="000080"/>
                  <w:sz w:val="20"/>
                  <w:u w:val="single"/>
                </w:rPr>
                <w:t>July</w:t>
              </w:r>
            </w:hyperlink>
            <w:hyperlink w:anchor="i1d69ea458dd4405fb107b9e3de94c4e7_16">
              <w:r>
                <w:rPr>
                  <w:rStyle w:val="InternetLink"/>
                  <w:rFonts w:ascii="Times New Roman;serif" w:hAnsi="Times New Roman;serif"/>
                  <w:b w:val="false"/>
                  <w:color w:val="000080"/>
                  <w:sz w:val="20"/>
                  <w:u w:val="single"/>
                </w:rPr>
                <w:t xml:space="preserve"> 3, 2026 and </w:t>
              </w:r>
            </w:hyperlink>
            <w:hyperlink w:anchor="i1d69ea458dd4405fb107b9e3de94c4e7_16">
              <w:r>
                <w:rPr>
                  <w:rStyle w:val="InternetLink"/>
                  <w:rFonts w:ascii="Times New Roman;serif" w:hAnsi="Times New Roman;serif"/>
                  <w:b w:val="false"/>
                  <w:color w:val="000080"/>
                  <w:sz w:val="20"/>
                  <w:u w:val="single"/>
                </w:rPr>
                <w:t>June</w:t>
              </w:r>
            </w:hyperlink>
            <w:hyperlink w:anchor="i1d69ea458dd4405fb107b9e3de94c4e7_16">
              <w:r>
                <w:rPr>
                  <w:rStyle w:val="InternetLink"/>
                  <w:rFonts w:ascii="Times New Roman;serif" w:hAnsi="Times New Roman;serif"/>
                  <w:b w:val="false"/>
                  <w:color w:val="000080"/>
                  <w:sz w:val="20"/>
                  <w:u w:val="single"/>
                </w:rPr>
                <w:t xml:space="preserve"> 2</w:t>
              </w:r>
            </w:hyperlink>
            <w:hyperlink w:anchor="i1d69ea458dd4405fb107b9e3de94c4e7_16">
              <w:r>
                <w:rPr>
                  <w:rStyle w:val="InternetLink"/>
                  <w:rFonts w:ascii="Times New Roman;serif" w:hAnsi="Times New Roman;serif"/>
                  <w:b w:val="false"/>
                  <w:color w:val="000080"/>
                  <w:sz w:val="20"/>
                  <w:u w:val="single"/>
                </w:rPr>
                <w:t>7</w:t>
              </w:r>
            </w:hyperlink>
            <w:hyperlink w:anchor="i1d69ea458dd4405fb107b9e3de94c4e7_16">
              <w:r>
                <w:rPr>
                  <w:rStyle w:val="InternetLink"/>
                  <w:rFonts w:ascii="Times New Roman;serif" w:hAnsi="Times New Roman;serif"/>
                  <w:b w:val="false"/>
                  <w:color w:val="000080"/>
                  <w:sz w:val="20"/>
                  <w:u w:val="single"/>
                </w:rPr>
                <w:t xml:space="preserve">, 2025; (iv) Condensed Consolidated Statements of Cash Flows for the </w:t>
              </w:r>
            </w:hyperlink>
            <w:hyperlink w:anchor="i1d69ea458dd4405fb107b9e3de94c4e7_16">
              <w:r>
                <w:rPr>
                  <w:rStyle w:val="InternetLink"/>
                  <w:rFonts w:ascii="Times New Roman;serif" w:hAnsi="Times New Roman;serif"/>
                  <w:b w:val="false"/>
                  <w:color w:val="000080"/>
                  <w:sz w:val="20"/>
                  <w:u w:val="single"/>
                </w:rPr>
                <w:t>nine</w:t>
              </w:r>
            </w:hyperlink>
            <w:hyperlink w:anchor="i1d69ea458dd4405fb107b9e3de94c4e7_16">
              <w:r>
                <w:rPr>
                  <w:rStyle w:val="InternetLink"/>
                  <w:rFonts w:ascii="Times New Roman;serif" w:hAnsi="Times New Roman;serif"/>
                  <w:b w:val="false"/>
                  <w:color w:val="000080"/>
                  <w:sz w:val="20"/>
                  <w:u w:val="single"/>
                </w:rPr>
                <w:t xml:space="preserve"> months ended </w:t>
              </w:r>
            </w:hyperlink>
            <w:hyperlink w:anchor="i1d69ea458dd4405fb107b9e3de94c4e7_16">
              <w:r>
                <w:rPr>
                  <w:rStyle w:val="InternetLink"/>
                  <w:rFonts w:ascii="Times New Roman;serif" w:hAnsi="Times New Roman;serif"/>
                  <w:b w:val="false"/>
                  <w:color w:val="000080"/>
                  <w:sz w:val="20"/>
                  <w:u w:val="single"/>
                </w:rPr>
                <w:t>July</w:t>
              </w:r>
            </w:hyperlink>
            <w:hyperlink w:anchor="i1d69ea458dd4405fb107b9e3de94c4e7_16">
              <w:r>
                <w:rPr>
                  <w:rStyle w:val="InternetLink"/>
                  <w:rFonts w:ascii="Times New Roman;serif" w:hAnsi="Times New Roman;serif"/>
                  <w:b w:val="false"/>
                  <w:color w:val="000080"/>
                  <w:sz w:val="20"/>
                  <w:u w:val="single"/>
                </w:rPr>
                <w:t xml:space="preserve"> 3, 2026 and </w:t>
              </w:r>
            </w:hyperlink>
            <w:hyperlink w:anchor="i1d69ea458dd4405fb107b9e3de94c4e7_16">
              <w:r>
                <w:rPr>
                  <w:rStyle w:val="InternetLink"/>
                  <w:rFonts w:ascii="Times New Roman;serif" w:hAnsi="Times New Roman;serif"/>
                  <w:b w:val="false"/>
                  <w:color w:val="000080"/>
                  <w:sz w:val="20"/>
                  <w:u w:val="single"/>
                </w:rPr>
                <w:t>June</w:t>
              </w:r>
            </w:hyperlink>
            <w:hyperlink w:anchor="i1d69ea458dd4405fb107b9e3de94c4e7_16">
              <w:r>
                <w:rPr>
                  <w:rStyle w:val="InternetLink"/>
                  <w:rFonts w:ascii="Times New Roman;serif" w:hAnsi="Times New Roman;serif"/>
                  <w:b w:val="false"/>
                  <w:color w:val="000080"/>
                  <w:sz w:val="20"/>
                  <w:u w:val="single"/>
                </w:rPr>
                <w:t xml:space="preserve"> 2</w:t>
              </w:r>
            </w:hyperlink>
            <w:hyperlink w:anchor="i1d69ea458dd4405fb107b9e3de94c4e7_16">
              <w:r>
                <w:rPr>
                  <w:rStyle w:val="InternetLink"/>
                  <w:rFonts w:ascii="Times New Roman;serif" w:hAnsi="Times New Roman;serif"/>
                  <w:b w:val="false"/>
                  <w:color w:val="000080"/>
                  <w:sz w:val="20"/>
                  <w:u w:val="single"/>
                </w:rPr>
                <w:t>7</w:t>
              </w:r>
            </w:hyperlink>
            <w:hyperlink w:anchor="i1d69ea458dd4405fb107b9e3de94c4e7_16">
              <w:r>
                <w:rPr>
                  <w:rStyle w:val="InternetLink"/>
                  <w:rFonts w:ascii="Times New Roman;serif" w:hAnsi="Times New Roman;serif"/>
                  <w:b w:val="false"/>
                  <w:color w:val="000080"/>
                  <w:sz w:val="20"/>
                  <w:u w:val="single"/>
                </w:rPr>
                <w:t xml:space="preserve">, 2025; (v) Condensed Consolidated Statements of Stockholders' Equity for the three and </w:t>
              </w:r>
            </w:hyperlink>
            <w:hyperlink w:anchor="i1d69ea458dd4405fb107b9e3de94c4e7_16">
              <w:r>
                <w:rPr>
                  <w:rStyle w:val="InternetLink"/>
                  <w:rFonts w:ascii="Times New Roman;serif" w:hAnsi="Times New Roman;serif"/>
                  <w:b w:val="false"/>
                  <w:color w:val="000080"/>
                  <w:sz w:val="20"/>
                  <w:u w:val="single"/>
                </w:rPr>
                <w:t>nine</w:t>
              </w:r>
            </w:hyperlink>
            <w:hyperlink w:anchor="i1d69ea458dd4405fb107b9e3de94c4e7_16">
              <w:r>
                <w:rPr>
                  <w:rStyle w:val="InternetLink"/>
                  <w:rFonts w:ascii="Times New Roman;serif" w:hAnsi="Times New Roman;serif"/>
                  <w:b w:val="false"/>
                  <w:color w:val="000080"/>
                  <w:sz w:val="20"/>
                  <w:u w:val="single"/>
                </w:rPr>
                <w:t xml:space="preserve"> months ended </w:t>
              </w:r>
            </w:hyperlink>
            <w:hyperlink w:anchor="i1d69ea458dd4405fb107b9e3de94c4e7_16">
              <w:r>
                <w:rPr>
                  <w:rStyle w:val="InternetLink"/>
                  <w:rFonts w:ascii="Times New Roman;serif" w:hAnsi="Times New Roman;serif"/>
                  <w:b w:val="false"/>
                  <w:color w:val="000080"/>
                  <w:sz w:val="20"/>
                  <w:u w:val="single"/>
                </w:rPr>
                <w:t>July</w:t>
              </w:r>
            </w:hyperlink>
            <w:hyperlink w:anchor="i1d69ea458dd4405fb107b9e3de94c4e7_16">
              <w:r>
                <w:rPr>
                  <w:rStyle w:val="InternetLink"/>
                  <w:rFonts w:ascii="Times New Roman;serif" w:hAnsi="Times New Roman;serif"/>
                  <w:b w:val="false"/>
                  <w:color w:val="000080"/>
                  <w:sz w:val="20"/>
                  <w:u w:val="single"/>
                </w:rPr>
                <w:t xml:space="preserve"> 3, 2026 and </w:t>
              </w:r>
            </w:hyperlink>
            <w:hyperlink w:anchor="i1d69ea458dd4405fb107b9e3de94c4e7_16">
              <w:r>
                <w:rPr>
                  <w:rStyle w:val="InternetLink"/>
                  <w:rFonts w:ascii="Times New Roman;serif" w:hAnsi="Times New Roman;serif"/>
                  <w:b w:val="false"/>
                  <w:color w:val="000080"/>
                  <w:sz w:val="20"/>
                  <w:u w:val="single"/>
                </w:rPr>
                <w:t>June</w:t>
              </w:r>
            </w:hyperlink>
            <w:hyperlink w:anchor="i1d69ea458dd4405fb107b9e3de94c4e7_16">
              <w:r>
                <w:rPr>
                  <w:rStyle w:val="InternetLink"/>
                  <w:rFonts w:ascii="Times New Roman;serif" w:hAnsi="Times New Roman;serif"/>
                  <w:b w:val="false"/>
                  <w:color w:val="000080"/>
                  <w:sz w:val="20"/>
                  <w:u w:val="single"/>
                </w:rPr>
                <w:t xml:space="preserve"> 2</w:t>
              </w:r>
            </w:hyperlink>
            <w:hyperlink w:anchor="i1d69ea458dd4405fb107b9e3de94c4e7_16">
              <w:r>
                <w:rPr>
                  <w:rStyle w:val="InternetLink"/>
                  <w:rFonts w:ascii="Times New Roman;serif" w:hAnsi="Times New Roman;serif"/>
                  <w:b w:val="false"/>
                  <w:color w:val="000080"/>
                  <w:sz w:val="20"/>
                  <w:u w:val="single"/>
                </w:rPr>
                <w:t>7</w:t>
              </w:r>
            </w:hyperlink>
            <w:hyperlink w:anchor="i1d69ea458dd4405fb107b9e3de94c4e7_16">
              <w:r>
                <w:rPr>
                  <w:rStyle w:val="InternetLink"/>
                  <w:rFonts w:ascii="Times New Roman;serif" w:hAnsi="Times New Roman;serif"/>
                  <w:b w:val="false"/>
                  <w:color w:val="000080"/>
                  <w:sz w:val="20"/>
                  <w:u w:val="single"/>
                </w:rPr>
                <w:t>, 2025; and (vi) Notes to condensed consolidated financial statements.</w:t>
              </w:r>
            </w:hyperlink>
          </w:p>
        </w:tc>
      </w:tr>
      <w:tr>
        <w:trPr/>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Quarterly Report on Form 10-Q; included in Exhibit 101 Inline XBRL document set.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The XBRL instance document does not appear in the interactive data file because the XBRL tags are embedded within the inline XBRL document.</w:t>
      </w:r>
    </w:p>
    <w:p>
      <w:pPr>
        <w:pStyle w:val="TextBody"/>
        <w:bidi w:val="0"/>
        <w:spacing w:lineRule="auto" w:line="288" w:before="100" w:after="60"/>
        <w:jc w:val="left"/>
        <w:rPr>
          <w:rFonts w:ascii="Times New Roman;serif" w:hAnsi="Times New Roman;serif"/>
          <w:b w:val="false"/>
          <w:i/>
          <w:color w:val="000000"/>
          <w:sz w:val="20"/>
        </w:rPr>
      </w:pPr>
      <w:r>
        <w:rPr>
          <w:rFonts w:ascii="Times New Roman;serif" w:hAnsi="Times New Roman;serif"/>
          <w:b w:val="false"/>
          <w:i/>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80" w:after="283"/>
        <w:jc w:val="right"/>
        <w:rPr/>
      </w:pPr>
      <w:r>
        <w:rPr>
          <w:color w:val="000000"/>
        </w:rPr>
        <w:t> </w:t>
      </w: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John J. Zillmer, Chief Executive Officer,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Aramark for the quarter ended July 3, 2026;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2026 </w:t>
      </w:r>
    </w:p>
    <w:tbl>
      <w:tblPr>
        <w:tblW w:w="2145" w:type="dxa"/>
        <w:jc w:val="lef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ZILLMER</w:t>
            </w:r>
          </w:p>
        </w:tc>
      </w:tr>
      <w:tr>
        <w:trPr/>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 James J. Tarangelo, Executive Vice President and Chief Financial Officer,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Aramark for the quarter ended July 3, 2026;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11, 2026 </w:t>
      </w:r>
    </w:p>
    <w:tbl>
      <w:tblPr>
        <w:tblW w:w="2625" w:type="dxa"/>
        <w:jc w:val="lef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TARANGELO</w:t>
            </w:r>
          </w:p>
        </w:tc>
      </w:tr>
      <w:tr>
        <w:trPr/>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J. Tarangelo</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Vice President and</w:t>
              <w:br/>
              <w:t>Chief Financial Officer</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SARBANES-OXLEY ACT OF 2002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Aramark (the “Company”) on Form 10-Q for the fiscal quarter ended July 3, 2026, as filed with the Securities and Exchange Commission on the date hereof (the “Report”), we, John J. Zillmer, Chief Executive Officer of the Company, and James J. Tarangelo, Executive Vice President and Chief Financial Officer of the Company, each certify, pursuant to 18 U.S.C. Section 1350, as adopted pursuant to Section 906 of the Sarbanes-Oxley Act of 2002, that, based on each of our knowledge:</w:t>
      </w:r>
    </w:p>
    <w:p>
      <w:pPr>
        <w:pStyle w:val="TextBody"/>
        <w:bidi w:val="0"/>
        <w:spacing w:before="100" w:after="283"/>
        <w:jc w:val="left"/>
        <w:rPr/>
      </w:pPr>
      <w:r>
        <w:rPr/>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and </w:t>
      </w:r>
    </w:p>
    <w:p>
      <w:pPr>
        <w:pStyle w:val="TextBody"/>
        <w:bidi w:val="0"/>
        <w:spacing w:before="100" w:after="283"/>
        <w:ind w:left="0" w:right="0" w:firstLine="90"/>
        <w:jc w:val="left"/>
        <w:rPr/>
      </w:pPr>
      <w:r>
        <w:rPr/>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p>
      <w:pPr>
        <w:pStyle w:val="TextBody"/>
        <w:bidi w:val="0"/>
        <w:spacing w:lineRule="auto" w:line="288" w:before="0" w:after="0"/>
        <w:jc w:val="right"/>
        <w:rPr>
          <w:color w:val="000000"/>
        </w:rPr>
      </w:pPr>
      <w:r>
        <w:rPr>
          <w:color w:val="000000"/>
        </w:rPr>
        <w:t>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ZILLMER</w:t>
            </w:r>
          </w:p>
        </w:tc>
      </w:tr>
      <w:tr>
        <w:trPr/>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2625" w:type="dxa"/>
        <w:jc w:val="right"/>
        <w:tblInd w:w="0" w:type="dxa"/>
        <w:tblLayout w:type="fixed"/>
        <w:tblCellMar>
          <w:top w:w="28" w:type="dxa"/>
          <w:left w:w="28" w:type="dxa"/>
          <w:bottom w:w="28" w:type="dxa"/>
          <w:right w:w="28" w:type="dxa"/>
        </w:tblCellMar>
      </w:tblPr>
      <w:tblGrid>
        <w:gridCol w:w="841"/>
        <w:gridCol w:w="738"/>
        <w:gridCol w:w="1046"/>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J. TARANGELO</w:t>
            </w:r>
          </w:p>
        </w:tc>
      </w:tr>
      <w:tr>
        <w:trPr/>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James J. Tarangelo</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Vice President and</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19978</Words>
  <Characters>112446</Characters>
  <CharactersWithSpaces>131128</CharactersWithSpaces>
  <Paragraphs>2474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