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 OF</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3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1, 2021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242570</wp:posOffset>
            </wp:positionV>
            <wp:extent cx="246888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1840" w:type="dxa"/>
        <w:tblCellMar>
          <w:top w:w="0" w:type="dxa"/>
          <w:left w:w="0" w:type="dxa"/>
          <w:bottom w:w="0" w:type="dxa"/>
          <w:right w:w="0" w:type="dxa"/>
        </w:tblCellMar>
      </w:tblPr>
      <w:tr>
        <w:trPr>
          <w:trHeight w:val="402"/>
        </w:trPr>
        <w:tc>
          <w:tcPr>
            <w:tcW w:w="2300" w:type="dxa"/>
            <w:vAlign w:val="bottom"/>
          </w:tcPr>
          <w:p>
            <w:pPr>
              <w:spacing w:after="0"/>
              <w:rPr>
                <w:sz w:val="24"/>
                <w:szCs w:val="24"/>
                <w:color w:val="auto"/>
              </w:rPr>
            </w:pPr>
          </w:p>
        </w:tc>
        <w:tc>
          <w:tcPr>
            <w:tcW w:w="4880" w:type="dxa"/>
            <w:vAlign w:val="bottom"/>
          </w:tcPr>
          <w:p>
            <w:pPr>
              <w:jc w:val="center"/>
              <w:ind w:right="1810"/>
              <w:spacing w:after="0"/>
              <w:rPr>
                <w:sz w:val="20"/>
                <w:szCs w:val="20"/>
                <w:color w:val="auto"/>
              </w:rPr>
            </w:pPr>
            <w:r>
              <w:rPr>
                <w:rFonts w:ascii="Times New Roman" w:cs="Times New Roman" w:eastAsia="Times New Roman" w:hAnsi="Times New Roman"/>
                <w:sz w:val="32"/>
                <w:szCs w:val="32"/>
                <w:b w:val="1"/>
                <w:bCs w:val="1"/>
                <w:color w:val="auto"/>
              </w:rPr>
              <w:t>Aramark</w:t>
            </w:r>
          </w:p>
        </w:tc>
      </w:tr>
      <w:tr>
        <w:trPr>
          <w:trHeight w:val="188"/>
        </w:trPr>
        <w:tc>
          <w:tcPr>
            <w:tcW w:w="2300" w:type="dxa"/>
            <w:vAlign w:val="bottom"/>
          </w:tcPr>
          <w:p>
            <w:pPr>
              <w:spacing w:after="0"/>
              <w:rPr>
                <w:sz w:val="16"/>
                <w:szCs w:val="16"/>
                <w:color w:val="auto"/>
              </w:rPr>
            </w:pPr>
          </w:p>
        </w:tc>
        <w:tc>
          <w:tcPr>
            <w:tcW w:w="4880" w:type="dxa"/>
            <w:vAlign w:val="bottom"/>
          </w:tcPr>
          <w:p>
            <w:pPr>
              <w:jc w:val="center"/>
              <w:ind w:right="181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20-8236097</w:t>
            </w:r>
          </w:p>
        </w:tc>
      </w:tr>
      <w:tr>
        <w:trPr>
          <w:trHeight w:val="144"/>
        </w:trPr>
        <w:tc>
          <w:tcPr>
            <w:tcW w:w="2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880" w:type="dxa"/>
            <w:vAlign w:val="bottom"/>
          </w:tcPr>
          <w:p>
            <w:pPr>
              <w:jc w:val="center"/>
              <w:ind w:left="3450"/>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880" w:type="dxa"/>
            <w:vAlign w:val="bottom"/>
          </w:tcPr>
          <w:p>
            <w:pPr>
              <w:jc w:val="center"/>
              <w:ind w:left="3450"/>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57"/>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2400 Market Street</w:t>
            </w:r>
          </w:p>
        </w:tc>
        <w:tc>
          <w:tcPr>
            <w:tcW w:w="4880" w:type="dxa"/>
            <w:vAlign w:val="bottom"/>
          </w:tcPr>
          <w:p>
            <w:pPr>
              <w:spacing w:after="0"/>
              <w:rPr>
                <w:sz w:val="22"/>
                <w:szCs w:val="22"/>
                <w:color w:val="auto"/>
              </w:rPr>
            </w:pPr>
          </w:p>
        </w:tc>
      </w:tr>
      <w:tr>
        <w:trPr>
          <w:trHeight w:val="247"/>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Philadelphia, Pennsylvania</w:t>
            </w:r>
          </w:p>
        </w:tc>
        <w:tc>
          <w:tcPr>
            <w:tcW w:w="4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19103</w:t>
            </w:r>
          </w:p>
        </w:tc>
      </w:tr>
      <w:tr>
        <w:trPr>
          <w:trHeight w:val="188"/>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880" w:type="dxa"/>
            <w:vAlign w:val="bottom"/>
          </w:tcPr>
          <w:p>
            <w:pPr>
              <w:jc w:val="center"/>
              <w:ind w:left="3450"/>
              <w:spacing w:after="0"/>
              <w:rPr>
                <w:sz w:val="20"/>
                <w:szCs w:val="20"/>
                <w:color w:val="auto"/>
              </w:rPr>
            </w:pPr>
            <w:r>
              <w:rPr>
                <w:rFonts w:ascii="Times New Roman" w:cs="Times New Roman" w:eastAsia="Times New Roman" w:hAnsi="Times New Roman"/>
                <w:sz w:val="14"/>
                <w:szCs w:val="14"/>
                <w:color w:val="auto"/>
              </w:rPr>
              <w:t>(Zip Code)</w:t>
            </w:r>
          </w:p>
        </w:tc>
      </w:tr>
      <w:tr>
        <w:trPr>
          <w:trHeight w:val="334"/>
        </w:trPr>
        <w:tc>
          <w:tcPr>
            <w:tcW w:w="2300" w:type="dxa"/>
            <w:vAlign w:val="bottom"/>
          </w:tcPr>
          <w:p>
            <w:pPr>
              <w:spacing w:after="0"/>
              <w:rPr>
                <w:sz w:val="24"/>
                <w:szCs w:val="24"/>
                <w:color w:val="auto"/>
              </w:rPr>
            </w:pPr>
          </w:p>
        </w:tc>
        <w:tc>
          <w:tcPr>
            <w:tcW w:w="48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(215) 238-3000</w:t>
            </w:r>
          </w:p>
        </w:tc>
      </w:tr>
    </w:tbl>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32"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97"/>
        </w:trPr>
        <w:tc>
          <w:tcPr>
            <w:tcW w:w="152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00" w:type="dxa"/>
            <w:vAlign w:val="bottom"/>
          </w:tcPr>
          <w:p>
            <w:pPr>
              <w:spacing w:after="0"/>
              <w:rPr>
                <w:sz w:val="24"/>
                <w:szCs w:val="24"/>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0"/>
        </w:trPr>
        <w:tc>
          <w:tcPr>
            <w:tcW w:w="4480" w:type="dxa"/>
            <w:vAlign w:val="bottom"/>
            <w:gridSpan w:val="3"/>
          </w:tcPr>
          <w:p>
            <w:pPr>
              <w:ind w:left="12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9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ARMK</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343" w:lineRule="exact"/>
        <w:rPr>
          <w:sz w:val="24"/>
          <w:szCs w:val="24"/>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8" w:lineRule="exact"/>
        <w:tabs>
          <w:tab w:leader="none" w:pos="600" w:val="left"/>
        </w:tabs>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4" w:lineRule="exact"/>
        <w:rPr>
          <w:sz w:val="24"/>
          <w:szCs w:val="24"/>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8" w:lineRule="exact"/>
        <w:tabs>
          <w:tab w:leader="none" w:pos="600" w:val="left"/>
        </w:tabs>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8"/>
          <w:szCs w:val="18"/>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4" w:lineRule="exact"/>
        <w:rPr>
          <w:sz w:val="24"/>
          <w:szCs w:val="24"/>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p>
      <w:pPr>
        <w:ind w:left="60"/>
        <w:spacing w:after="0" w:line="207" w:lineRule="exact"/>
        <w:tabs>
          <w:tab w:leader="none" w:pos="1960" w:val="left"/>
          <w:tab w:leader="none" w:pos="2300" w:val="left"/>
          <w:tab w:leader="none" w:pos="4060" w:val="left"/>
          <w:tab w:leader="none" w:pos="6100" w:val="left"/>
          <w:tab w:leader="none" w:pos="8420" w:val="left"/>
          <w:tab w:leader="none" w:pos="1098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Times New Roman" w:cs="Times New Roman" w:eastAsia="Times New Roman" w:hAnsi="Times New Roman"/>
          <w:sz w:val="18"/>
          <w:szCs w:val="18"/>
          <w:color w:val="auto"/>
        </w:rPr>
        <w:t>Non-accelerated filer</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ind w:right="40"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420" w:right="146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As of January 29, 2021, the number of shares of the registrant's common stock outstanding is 253,977,249.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3" w:right="399" w:bottom="1440" w:gutter="0" w:footer="0" w:header="0"/>
        </w:sectPr>
      </w:pPr>
    </w:p>
    <w:bookmarkStart w:id="1" w:name="page2"/>
    <w:bookmarkEnd w:id="1"/>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60" w:type="dxa"/>
            <w:vAlign w:val="bottom"/>
            <w:vMerge w:val="restart"/>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PART I - Financial Information</w:t>
              </w:r>
            </w:hyperlink>
          </w:p>
        </w:tc>
        <w:tc>
          <w:tcPr>
            <w:tcW w:w="732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0"/>
        </w:trPr>
        <w:tc>
          <w:tcPr>
            <w:tcW w:w="2360" w:type="dxa"/>
            <w:vAlign w:val="bottom"/>
            <w:vMerge w:val="continue"/>
          </w:tcPr>
          <w:p>
            <w:pPr>
              <w:spacing w:after="0"/>
              <w:rPr>
                <w:sz w:val="18"/>
                <w:szCs w:val="18"/>
                <w:color w:val="auto"/>
              </w:rPr>
            </w:pPr>
          </w:p>
        </w:tc>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 (Unaudited)</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Balance Sheets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Statements of (Loss) Income</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Comprehensive (Loss) Income</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Cash Flows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Condensed Consolidated Statements of Stockholders' Equity</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Condensed Consolidated Financial Statements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Item 2.</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18</w:t>
              </w:r>
            </w:hyperlink>
          </w:p>
        </w:tc>
        <w:tc>
          <w:tcPr>
            <w:tcW w:w="0" w:type="dxa"/>
            <w:vAlign w:val="bottom"/>
          </w:tcPr>
          <w:p>
            <w:pPr>
              <w:spacing w:after="0"/>
              <w:rPr>
                <w:sz w:val="1"/>
                <w:szCs w:val="1"/>
                <w:color w:val="auto"/>
              </w:rPr>
            </w:pPr>
          </w:p>
        </w:tc>
      </w:tr>
      <w:tr>
        <w:trPr>
          <w:trHeight w:val="230"/>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Item 3.</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Quantitative and Qualitative Disclosure About Market Risk</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27</w:t>
              </w:r>
            </w:hyperlink>
          </w:p>
        </w:tc>
        <w:tc>
          <w:tcPr>
            <w:tcW w:w="0" w:type="dxa"/>
            <w:vAlign w:val="bottom"/>
          </w:tcPr>
          <w:p>
            <w:pPr>
              <w:spacing w:after="0"/>
              <w:rPr>
                <w:sz w:val="1"/>
                <w:szCs w:val="1"/>
                <w:color w:val="auto"/>
              </w:rPr>
            </w:pPr>
          </w:p>
        </w:tc>
      </w:tr>
      <w:tr>
        <w:trPr>
          <w:trHeight w:val="234"/>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Item 4.</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Controls and Procedures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28</w:t>
              </w:r>
            </w:hyperlink>
          </w:p>
        </w:tc>
        <w:tc>
          <w:tcPr>
            <w:tcW w:w="0" w:type="dxa"/>
            <w:vAlign w:val="bottom"/>
          </w:tcPr>
          <w:p>
            <w:pPr>
              <w:spacing w:after="0"/>
              <w:rPr>
                <w:sz w:val="1"/>
                <w:szCs w:val="1"/>
                <w:color w:val="auto"/>
              </w:rPr>
            </w:pPr>
          </w:p>
        </w:tc>
      </w:tr>
      <w:tr>
        <w:trPr>
          <w:trHeight w:val="495"/>
        </w:trPr>
        <w:tc>
          <w:tcPr>
            <w:tcW w:w="2360" w:type="dxa"/>
            <w:vAlign w:val="bottom"/>
          </w:tcPr>
          <w:p>
            <w:pPr>
              <w:ind w:left="2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PART II - Other Information</w:t>
              </w:r>
            </w:hyperlink>
          </w:p>
        </w:tc>
        <w:tc>
          <w:tcPr>
            <w:tcW w:w="7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1.</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Legal Proceedings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2.</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3.</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Defaults Upon Senior Securities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0" w:type="dxa"/>
            <w:vAlign w:val="bottom"/>
          </w:tcPr>
          <w:p>
            <w:pPr>
              <w:spacing w:after="0"/>
              <w:rPr>
                <w:sz w:val="1"/>
                <w:szCs w:val="1"/>
                <w:color w:val="auto"/>
              </w:rPr>
            </w:pPr>
          </w:p>
        </w:tc>
      </w:tr>
      <w:tr>
        <w:trPr>
          <w:trHeight w:val="230"/>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4.</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Mine Safety Disclosures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0" w:type="dxa"/>
            <w:vAlign w:val="bottom"/>
          </w:tcPr>
          <w:p>
            <w:pPr>
              <w:spacing w:after="0"/>
              <w:rPr>
                <w:sz w:val="1"/>
                <w:szCs w:val="1"/>
                <w:color w:val="auto"/>
              </w:rPr>
            </w:pPr>
          </w:p>
        </w:tc>
      </w:tr>
      <w:tr>
        <w:trPr>
          <w:trHeight w:val="229"/>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5.</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Other Information</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0" w:type="dxa"/>
            <w:vAlign w:val="bottom"/>
          </w:tcPr>
          <w:p>
            <w:pPr>
              <w:spacing w:after="0"/>
              <w:rPr>
                <w:sz w:val="1"/>
                <w:szCs w:val="1"/>
                <w:color w:val="auto"/>
              </w:rPr>
            </w:pPr>
          </w:p>
        </w:tc>
      </w:tr>
      <w:tr>
        <w:trPr>
          <w:trHeight w:val="234"/>
        </w:trPr>
        <w:tc>
          <w:tcPr>
            <w:tcW w:w="2360" w:type="dxa"/>
            <w:vAlign w:val="bottom"/>
          </w:tcPr>
          <w:p>
            <w:pPr>
              <w:ind w:left="11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Item 6.</w:t>
              </w:r>
            </w:hyperlink>
          </w:p>
        </w:tc>
        <w:tc>
          <w:tcPr>
            <w:tcW w:w="7320" w:type="dxa"/>
            <w:vAlign w:val="bottom"/>
          </w:tcPr>
          <w:p>
            <w:pPr>
              <w:ind w:left="8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Exhibits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0" w:type="dxa"/>
            <w:vAlign w:val="bottom"/>
          </w:tcPr>
          <w:p>
            <w:pPr>
              <w:spacing w:after="0"/>
              <w:rPr>
                <w:sz w:val="1"/>
                <w:szCs w:val="1"/>
                <w:color w:val="auto"/>
              </w:rPr>
            </w:pPr>
          </w:p>
        </w:tc>
      </w:tr>
      <w:tr>
        <w:trPr>
          <w:trHeight w:val="1330"/>
        </w:trPr>
        <w:tc>
          <w:tcPr>
            <w:tcW w:w="236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3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 xml:space="preserve">Some of the factors that we believe could affect or continue to affect our results include without limitation: the severity and duration of the COVID-19 pandemic; the pandemic's impact on the U.S. and global economies, including particularly the client sectors we serve and governmental responses to the pandemic; the manner and timing of benefits we expect to receive under the CARES Act or other government programs; unfavorable economic conditions; natural disasters, global calamities,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Foreign Corrupt Practices Act, U.K. Bribery Act and other anti-corruption law compliance;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and other factors set forth under the headings “Part I—Item 2— Management’s Discussion and Analysis of Financial Condition and Results of Operations" herein and headings </w:t>
      </w:r>
      <w:r>
        <w:rPr>
          <w:rFonts w:ascii="Times New Roman" w:cs="Times New Roman" w:eastAsia="Times New Roman" w:hAnsi="Times New Roman"/>
          <w:sz w:val="17"/>
          <w:szCs w:val="17"/>
          <w:color w:val="auto"/>
        </w:rPr>
        <w:t>Item 1A "Risk Factors," Item 3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Proceedings" and Item 7 "Management's Discussion and Analysis of Financial Condition and Results of Operations" and other sections of our Annual Report on Form 10-K, filed with the SEC on November 24, 2020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20" w:type="dxa"/>
            <w:vAlign w:val="bottom"/>
          </w:tcPr>
          <w:p>
            <w:pPr>
              <w:spacing w:after="0"/>
              <w:rPr>
                <w:sz w:val="16"/>
                <w:szCs w:val="16"/>
                <w:color w:val="auto"/>
              </w:rPr>
            </w:pPr>
          </w:p>
        </w:tc>
        <w:tc>
          <w:tcPr>
            <w:tcW w:w="14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14"/>
        </w:trPr>
        <w:tc>
          <w:tcPr>
            <w:tcW w:w="7780" w:type="dxa"/>
            <w:vAlign w:val="bottom"/>
            <w:tcBorders>
              <w:top w:val="single" w:sz="8" w:color="CCEEFF"/>
            </w:tcBorders>
            <w:shd w:val="clear" w:color="auto" w:fill="CCEEFF"/>
          </w:tcPr>
          <w:p>
            <w:pPr>
              <w:ind w:left="3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2,509,188</w:t>
            </w:r>
          </w:p>
        </w:tc>
        <w:tc>
          <w:tcPr>
            <w:tcW w:w="0" w:type="dxa"/>
            <w:vAlign w:val="bottom"/>
          </w:tcPr>
          <w:p>
            <w:pPr>
              <w:spacing w:after="0"/>
              <w:rPr>
                <w:sz w:val="1"/>
                <w:szCs w:val="1"/>
                <w:color w:val="auto"/>
              </w:rPr>
            </w:pPr>
          </w:p>
        </w:tc>
      </w:tr>
      <w:tr>
        <w:trPr>
          <w:trHeight w:val="229"/>
        </w:trPr>
        <w:tc>
          <w:tcPr>
            <w:tcW w:w="7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Receivables (less allowances: 2021 - $82,918; 2020 - $74,925)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436,473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298,944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3,416,105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4,675,811</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2,050,908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5,369,298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5,343,828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1,932,637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551,394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1,158,106</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14,506,199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15,712,684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Current maturities of long-term borrowings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71,810</w:t>
            </w: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663,455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1,512,278</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2,276,615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2,347,458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9,178,508</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341,667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Noncurrent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1,099,075</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shd w:val="clear" w:color="auto" w:fill="CCEEFF"/>
          </w:tcPr>
          <w:p>
            <w:pPr>
              <w:ind w:left="90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600,000,000 shares; issued: 2021—291,894,615</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900"/>
              <w:spacing w:after="0" w:line="189" w:lineRule="exact"/>
              <w:rPr>
                <w:sz w:val="20"/>
                <w:szCs w:val="20"/>
                <w:color w:val="auto"/>
              </w:rPr>
            </w:pPr>
            <w:r>
              <w:rPr>
                <w:rFonts w:ascii="Times New Roman" w:cs="Times New Roman" w:eastAsia="Times New Roman" w:hAnsi="Times New Roman"/>
                <w:sz w:val="18"/>
                <w:szCs w:val="18"/>
                <w:color w:val="auto"/>
              </w:rPr>
              <w:t>shares and 2020—290,663,529 shares; and outstanding: 2021—253,957,496 shares and 2020</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—253,042,169 shares)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30"/>
        </w:trPr>
        <w:tc>
          <w:tcPr>
            <w:tcW w:w="7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Capital surplus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3,444,919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3,416,132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532,379</w:t>
            </w:r>
          </w:p>
        </w:tc>
        <w:tc>
          <w:tcPr>
            <w:tcW w:w="0" w:type="dxa"/>
            <w:vAlign w:val="bottom"/>
          </w:tcPr>
          <w:p>
            <w:pPr>
              <w:spacing w:after="0"/>
              <w:rPr>
                <w:sz w:val="1"/>
                <w:szCs w:val="1"/>
                <w:color w:val="auto"/>
              </w:rPr>
            </w:pPr>
          </w:p>
        </w:tc>
      </w:tr>
      <w:tr>
        <w:trPr>
          <w:trHeight w:val="229"/>
        </w:trPr>
        <w:tc>
          <w:tcPr>
            <w:tcW w:w="7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(307,258)</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900"/>
              <w:spacing w:after="0" w:line="176" w:lineRule="exact"/>
              <w:rPr>
                <w:sz w:val="20"/>
                <w:szCs w:val="20"/>
                <w:color w:val="auto"/>
              </w:rPr>
            </w:pPr>
            <w:r>
              <w:rPr>
                <w:rFonts w:ascii="Times New Roman" w:cs="Times New Roman" w:eastAsia="Times New Roman" w:hAnsi="Times New Roman"/>
                <w:sz w:val="18"/>
                <w:szCs w:val="18"/>
                <w:color w:val="auto"/>
              </w:rPr>
              <w:t>Treasury stock (shares held in treasury: 2021—37,937,119 shares and 2020—37,621,360</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(918,793)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(908,172)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2,677,139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2,735,988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14,506,199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15,712,684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00" w:type="dxa"/>
            <w:vAlign w:val="bottom"/>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10"/>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2,743,789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4,253,597</w:t>
            </w: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Cost of services provided (exclusive of depreciation and amortization)</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3,768,113</w:t>
            </w:r>
          </w:p>
        </w:tc>
      </w:tr>
      <w:tr>
        <w:trPr>
          <w:trHeight w:val="213"/>
        </w:trPr>
        <w:tc>
          <w:tcPr>
            <w:tcW w:w="7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147,936</w:t>
            </w:r>
          </w:p>
        </w:tc>
      </w:tr>
      <w:tr>
        <w:trPr>
          <w:trHeight w:val="216"/>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Selling and general corporate expenses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83,255</w:t>
            </w:r>
          </w:p>
        </w:tc>
      </w:tr>
      <w:tr>
        <w:trPr>
          <w:trHeight w:val="210"/>
        </w:trPr>
        <w:tc>
          <w:tcPr>
            <w:tcW w:w="7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2,764,256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3,999,304</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(loss) income</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254,293</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and Other Financing Costs, net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79,585</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174,708</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28,825</w:t>
            </w:r>
          </w:p>
        </w:tc>
      </w:tr>
      <w:tr>
        <w:trPr>
          <w:trHeight w:val="212"/>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145,883</w:t>
            </w:r>
          </w:p>
        </w:tc>
      </w:tr>
      <w:tr>
        <w:trPr>
          <w:trHeight w:val="213"/>
        </w:trPr>
        <w:tc>
          <w:tcPr>
            <w:tcW w:w="7640" w:type="dxa"/>
            <w:vAlign w:val="bottom"/>
            <w:tcBorders>
              <w:bottom w:val="single" w:sz="8" w:color="CCEEFF"/>
            </w:tcBorders>
          </w:tcPr>
          <w:p>
            <w:pPr>
              <w:jc w:val="right"/>
              <w:ind w:right="3079"/>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35"/>
        </w:trPr>
        <w:tc>
          <w:tcPr>
            <w:tcW w:w="7640" w:type="dxa"/>
            <w:vAlign w:val="bottom"/>
            <w:tcBorders>
              <w:bottom w:val="single" w:sz="8" w:color="CCEEFF"/>
            </w:tcBorders>
            <w:shd w:val="clear" w:color="auto" w:fill="CCEEFF"/>
          </w:tcPr>
          <w:p>
            <w:pPr>
              <w:jc w:val="right"/>
              <w:ind w:right="3079"/>
              <w:spacing w:after="0"/>
              <w:rPr>
                <w:sz w:val="20"/>
                <w:szCs w:val="20"/>
                <w:color w:val="auto"/>
              </w:rPr>
            </w:pPr>
            <w:r>
              <w:rPr>
                <w:rFonts w:ascii="Times New Roman" w:cs="Times New Roman" w:eastAsia="Times New Roman" w:hAnsi="Times New Roman"/>
                <w:sz w:val="16"/>
                <w:szCs w:val="16"/>
                <w:color w:val="auto"/>
              </w:rPr>
              <w:t>Net (loss) income attributable to Aramark stockholders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145,761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Earnings per share attributable to Aramark stockholders: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r>
      <w:tr>
        <w:trPr>
          <w:trHeight w:val="219"/>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248,731</w:t>
            </w: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254,121</w:t>
            </w:r>
          </w:p>
        </w:tc>
      </w:tr>
    </w:tbl>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Pension plan adjustments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Share of equity investee's comprehensive (loss) income</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167,083</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Aramark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166,961</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169"/>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r>
      <w:tr>
        <w:trPr>
          <w:trHeight w:val="189"/>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(loss)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(81,380)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145,883</w:t>
            </w:r>
          </w:p>
        </w:tc>
      </w:tr>
      <w:tr>
        <w:trPr>
          <w:trHeight w:val="189"/>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138,574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147,936</w:t>
            </w:r>
          </w:p>
        </w:tc>
      </w:tr>
      <w:tr>
        <w:trPr>
          <w:trHeight w:val="189"/>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29,432</w:t>
            </w:r>
          </w:p>
        </w:tc>
      </w:tr>
      <w:tr>
        <w:trPr>
          <w:trHeight w:val="189"/>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14,116</w:t>
            </w:r>
          </w:p>
        </w:tc>
      </w:tr>
      <w:tr>
        <w:trPr>
          <w:trHeight w:val="189"/>
        </w:trPr>
        <w:tc>
          <w:tcPr>
            <w:tcW w:w="7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89"/>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(155,284)</w:t>
            </w:r>
          </w:p>
        </w:tc>
      </w:tr>
      <w:tr>
        <w:trPr>
          <w:trHeight w:val="189"/>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w:t>
            </w:r>
          </w:p>
        </w:tc>
      </w:tr>
      <w:tr>
        <w:trPr>
          <w:trHeight w:val="189"/>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r>
      <w:tr>
        <w:trPr>
          <w:trHeight w:val="189"/>
        </w:trPr>
        <w:tc>
          <w:tcPr>
            <w:tcW w:w="78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(141,235)</w:t>
            </w:r>
          </w:p>
        </w:tc>
      </w:tr>
      <w:tr>
        <w:trPr>
          <w:trHeight w:val="189"/>
        </w:trPr>
        <w:tc>
          <w:tcPr>
            <w:tcW w:w="78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(359,801)</w:t>
            </w:r>
          </w:p>
        </w:tc>
      </w:tr>
      <w:tr>
        <w:trPr>
          <w:trHeight w:val="189"/>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made to clients on contracts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(10,006)</w:t>
            </w:r>
          </w:p>
        </w:tc>
      </w:tr>
      <w:tr>
        <w:trPr>
          <w:trHeight w:val="189"/>
        </w:trPr>
        <w:tc>
          <w:tcPr>
            <w:tcW w:w="78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7,500</w:t>
            </w: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(115,170)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(309,484)</w:t>
            </w:r>
          </w:p>
        </w:tc>
      </w:tr>
      <w:tr>
        <w:trPr>
          <w:trHeight w:val="16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9"/>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Purchases of property and equipment and other</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(99,196)</w:t>
            </w:r>
          </w:p>
        </w:tc>
      </w:tr>
      <w:tr>
        <w:trPr>
          <w:trHeight w:val="189"/>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Disposals of property and equipment</w:t>
            </w: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w:t>
            </w:r>
          </w:p>
        </w:tc>
      </w:tr>
      <w:tr>
        <w:trPr>
          <w:trHeight w:val="189"/>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Acquisition of certain businesses, net of cash acquired</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w:t>
            </w:r>
          </w:p>
        </w:tc>
      </w:tr>
      <w:tr>
        <w:trPr>
          <w:trHeight w:val="189"/>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governmental agencies related to property and equipment</w:t>
            </w: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15,250</w:t>
            </w:r>
          </w:p>
        </w:tc>
      </w:tr>
      <w:tr>
        <w:trPr>
          <w:trHeight w:val="189"/>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(90,776)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(87,351)</w:t>
            </w:r>
          </w:p>
        </w:tc>
      </w:tr>
      <w:tr>
        <w:trPr>
          <w:trHeight w:val="16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9"/>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58,671</w:t>
            </w:r>
          </w:p>
        </w:tc>
      </w:tr>
      <w:tr>
        <w:trPr>
          <w:trHeight w:val="189"/>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long-term borrowings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(38,385)</w:t>
            </w:r>
          </w:p>
        </w:tc>
      </w:tr>
      <w:tr>
        <w:trPr>
          <w:trHeight w:val="189"/>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change in funding under the Receivables Facility</w:t>
            </w: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r>
      <w:tr>
        <w:trPr>
          <w:trHeight w:val="189"/>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Payments of dividends</w:t>
            </w:r>
          </w:p>
        </w:tc>
        <w:tc>
          <w:tcPr>
            <w:tcW w:w="2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(27,483)</w:t>
            </w:r>
          </w:p>
        </w:tc>
      </w:tr>
      <w:tr>
        <w:trPr>
          <w:trHeight w:val="189"/>
        </w:trPr>
        <w:tc>
          <w:tcPr>
            <w:tcW w:w="7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26,089</w:t>
            </w:r>
          </w:p>
        </w:tc>
      </w:tr>
      <w:tr>
        <w:trPr>
          <w:trHeight w:val="189"/>
        </w:trPr>
        <w:tc>
          <w:tcPr>
            <w:tcW w:w="7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(57,329)</w:t>
            </w:r>
          </w:p>
        </w:tc>
      </w:tr>
      <w:tr>
        <w:trPr>
          <w:trHeight w:val="18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(1,148,163)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411,563</w:t>
            </w:r>
          </w:p>
        </w:tc>
      </w:tr>
      <w:tr>
        <w:trPr>
          <w:trHeight w:val="18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w:t>
            </w:r>
          </w:p>
        </w:tc>
        <w:tc>
          <w:tcPr>
            <w:tcW w:w="2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11,147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w:t>
            </w:r>
          </w:p>
        </w:tc>
      </w:tr>
      <w:tr>
        <w:trPr>
          <w:trHeight w:val="18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17,975</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2,509,188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246,643</w:t>
            </w:r>
          </w:p>
        </w:tc>
      </w:tr>
      <w:tr>
        <w:trPr>
          <w:trHeight w:val="18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1,166,226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264,618</w:t>
            </w:r>
          </w:p>
        </w:tc>
      </w:tr>
      <w:tr>
        <w:trPr>
          <w:trHeight w:val="21"/>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183"/>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r>
      <w:tr>
        <w:trPr>
          <w:trHeight w:val="188"/>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(refunded) paid</w:t>
            </w:r>
          </w:p>
        </w:tc>
        <w:tc>
          <w:tcPr>
            <w:tcW w:w="200" w:type="dxa"/>
            <w:vAlign w:val="bottom"/>
          </w:tcPr>
          <w:p>
            <w:pPr>
              <w:spacing w:after="0"/>
              <w:rPr>
                <w:sz w:val="16"/>
                <w:szCs w:val="16"/>
                <w:color w:val="auto"/>
              </w:rPr>
            </w:pPr>
          </w:p>
        </w:tc>
        <w:tc>
          <w:tcPr>
            <w:tcW w:w="14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October 2, 2020</w:t>
      </w:r>
    </w:p>
    <w:p>
      <w:pPr>
        <w:spacing w:after="0" w:line="27" w:lineRule="exact"/>
        <w:rPr>
          <w:sz w:val="20"/>
          <w:szCs w:val="20"/>
          <w:color w:val="auto"/>
        </w:rPr>
      </w:pPr>
    </w:p>
    <w:p>
      <w:pPr>
        <w:ind w:left="260" w:right="440"/>
        <w:spacing w:after="0" w:line="234" w:lineRule="auto"/>
        <w:rPr>
          <w:sz w:val="20"/>
          <w:szCs w:val="20"/>
          <w:color w:val="auto"/>
        </w:rPr>
      </w:pPr>
      <w:r>
        <w:rPr>
          <w:rFonts w:ascii="Times New Roman" w:cs="Times New Roman" w:eastAsia="Times New Roman" w:hAnsi="Times New Roman"/>
          <w:sz w:val="18"/>
          <w:szCs w:val="18"/>
          <w:color w:val="auto"/>
        </w:rPr>
        <w:t>Net loss attributable to Aramark stockholders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3"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Payments of dividends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January 1, 2021</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2,735,988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3,416,132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532,379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(908,172)</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(81,243)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(29,890)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2,677,139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2,919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3,444,919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300"/>
              <w:spacing w:after="0" w:line="196" w:lineRule="exact"/>
              <w:rPr>
                <w:sz w:val="20"/>
                <w:szCs w:val="20"/>
                <w:color w:val="auto"/>
              </w:rPr>
            </w:pPr>
            <w:r>
              <w:rPr>
                <w:rFonts w:ascii="Times New Roman" w:cs="Times New Roman" w:eastAsia="Times New Roman" w:hAnsi="Times New Roman"/>
                <w:sz w:val="18"/>
                <w:szCs w:val="18"/>
                <w:color w:val="auto"/>
              </w:rPr>
              <w:t>421,246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(273,152)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(918,793)</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-1439545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-1010920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-607695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-316230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300"/>
            <w:col w:w="792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27, 2019</w:t>
      </w:r>
    </w:p>
    <w:p>
      <w:pPr>
        <w:spacing w:after="0" w:line="27" w:lineRule="exact"/>
        <w:rPr>
          <w:sz w:val="20"/>
          <w:szCs w:val="20"/>
          <w:color w:val="auto"/>
        </w:rPr>
      </w:pPr>
    </w:p>
    <w:p>
      <w:pPr>
        <w:ind w:left="260" w:right="200"/>
        <w:spacing w:after="0" w:line="234" w:lineRule="auto"/>
        <w:rPr>
          <w:sz w:val="20"/>
          <w:szCs w:val="20"/>
          <w:color w:val="auto"/>
        </w:rPr>
      </w:pPr>
      <w:r>
        <w:rPr>
          <w:rFonts w:ascii="Times New Roman" w:cs="Times New Roman" w:eastAsia="Times New Roman" w:hAnsi="Times New Roman"/>
          <w:sz w:val="18"/>
          <w:szCs w:val="18"/>
          <w:color w:val="auto"/>
        </w:rPr>
        <w:t>Net income attributable to Aramark stockholders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23" w:lineRule="exact"/>
        <w:rPr>
          <w:sz w:val="20"/>
          <w:szCs w:val="20"/>
          <w:color w:val="auto"/>
        </w:rPr>
      </w:pPr>
    </w:p>
    <w:p>
      <w:pPr>
        <w:ind w:left="260"/>
        <w:spacing w:after="0" w:line="234" w:lineRule="auto"/>
        <w:rPr>
          <w:sz w:val="20"/>
          <w:szCs w:val="20"/>
          <w:color w:val="auto"/>
        </w:rPr>
      </w:pPr>
      <w:r>
        <w:rPr>
          <w:rFonts w:ascii="Times New Roman" w:cs="Times New Roman" w:eastAsia="Times New Roman" w:hAnsi="Times New Roman"/>
          <w:sz w:val="18"/>
          <w:szCs w:val="18"/>
          <w:color w:val="auto"/>
        </w:rPr>
        <w:t>Capital contributions from issuance of common stock</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Payments of dividends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27, 2019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3,320,047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3,236,450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1,107,029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(216,965)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(809,296)</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7"/>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(80,459)</w:t>
            </w:r>
          </w:p>
        </w:tc>
        <w:tc>
          <w:tcPr>
            <w:tcW w:w="0" w:type="dxa"/>
            <w:vAlign w:val="bottom"/>
          </w:tcPr>
          <w:p>
            <w:pPr>
              <w:spacing w:after="0"/>
              <w:rPr>
                <w:sz w:val="1"/>
                <w:szCs w:val="1"/>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3,451,576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3,311,147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(889,755)</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-1456690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-1028065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-624840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-333375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300"/>
            <w:col w:w="7920"/>
          </w:cols>
          <w:pgMar w:left="320" w:top="175" w:right="3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24, 2020. The Condensed Consolidated Balance Sheet as of October 2, 2020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the impact of the COVID-19 pandemic ("COVID-19") and the possibility of changes in general economic conditions.</w:t>
      </w:r>
    </w:p>
    <w:p>
      <w:pPr>
        <w:spacing w:after="0" w:line="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an accounting standards update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Company early adopted this guidance in the first quarter of fiscal 2021. The adoption of this guidance did not have a material impact on the condensed consolidated financial statements.</w:t>
      </w:r>
    </w:p>
    <w:p>
      <w:pPr>
        <w:spacing w:after="0" w:line="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November 2019, the FASB issued an ASU which provides clarification and improvements to existing guidance related to the credit losses on financial instruments standard. The guidance was effective for the Company in the first quarter of fiscal 2021. The adoption of this guidance did not have a material impact on the condensed consolidated financial statements.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guidance was effective for the Company in the first quarter of fiscal 2021. The adoption of this guidance did not have a material impact on the condensed consolidated financial statements.</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Company adopted the guidance related to the financial instruments ASU and the derivatives and hedging ASU in prior fiscal years, which did not have a material impact on the condensed consolidated financial statements. The guidance related to the credit losses on financial instruments ASU was effective for the Company in the first quarter of fiscal 2021, which did not have a material impact on the condensed consolidated financial statements.</w:t>
      </w:r>
    </w:p>
    <w:p>
      <w:pPr>
        <w:spacing w:after="0" w:line="6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August 2018, the FASB issued an ASU which adds, modifies and removes several disclosure requirements related to fair value measurements. The guidance was effective for the Company in the first quarter of fiscal 2021, which did not have a material impact on the condensed consolidated financial statements.</w:t>
      </w:r>
    </w:p>
    <w:p>
      <w:pPr>
        <w:spacing w:after="0" w:line="1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 June 2016, the FASB issued an ASU to require entities to account for expected credit losses on financial instruments including trade receivables. The expected credit loss model replaced the incurred credit loss model, that generally required a loss to be incurred before it was recognized. The forward-looking credit loss model requires the Company to consider historical experience, current conditions and reasonable and supportable forecasts that affect the collectability of the reported amount in estimating credit losses. The amended guidance requires financial assets that are measured at amortized cost be presented at the net amount expected to be collected. The allowance for credit losses is a valuation account that is deducted from the amortized cost basis of financial assets. The Company adopted this guidance on October 3, 2020 (the first date of fiscal 2021) using 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modified retrospective approach. This approach allows the new standard to be applied retrospectively through a cumulative-effect adjustment to retained earnings recognized upon adoption. The adoption of this guidance did not have a material impact on the condensed consolidated financial statements.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Not Yet Adopted (from most to least recent date of issuance)</w:t>
      </w:r>
    </w:p>
    <w:p>
      <w:pPr>
        <w:spacing w:after="0" w:line="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the second quarter of fiscal 2020, the Company adopted the optional expedient to assert probability of forecasted hedged transactions occurring on its interest rate swap derivative contracts regardless of any expected contract modifications related to reference reform. Other optional expedients related to hedging relationships may be contemplated in the future resulting from reference rate reform. The Company reviewed its portfolio of debt agreements, lease agreements and other contracts and determined that only its debt agreements will be impacted by this standard, as the lease agreements and other contracts do not use LIBOR as a reference rate. The Company is currently evaluating the impact of the remaining amendment of this standard.</w:t>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January 2020, the FASB issued an ASU which provides clarification and improvements to existing guidance related to accounting for certain equity securities upon the application or discontinuation of equity method accounting and the measurement of forward contracts and purchased options on certain securities. The guidance is effective for the Company in the first quarter of fiscal 2022 and early adoption is permitted. The Company is currently evaluating the impact of this standard.</w:t>
      </w:r>
    </w:p>
    <w:p>
      <w:pPr>
        <w:spacing w:after="0" w:line="5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this standard.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Comprehensive (loss) income includes all changes to stockholders' equity during a period, except those resulting from investments by and distributions to stockholders. Components of comprehensive (loss) income include net (loss) income, changes in foreign currency translation adjustments (net of tax), pension plan adjustments (net of tax), changes in the fair value of cash flow hedges (net of tax) and changes to the share of any equity investees' comprehensive (loss) income (net of tax).</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the components of comprehensive (loss) income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5460" w:type="dxa"/>
            <w:vAlign w:val="bottom"/>
          </w:tcPr>
          <w:p>
            <w:pPr>
              <w:spacing w:after="0"/>
              <w:rPr>
                <w:sz w:val="11"/>
                <w:szCs w:val="11"/>
                <w:color w:val="auto"/>
              </w:rPr>
            </w:pPr>
          </w:p>
        </w:tc>
        <w:tc>
          <w:tcPr>
            <w:tcW w:w="92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900" w:type="dxa"/>
            <w:vAlign w:val="bottom"/>
            <w:gridSpan w:val="2"/>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After-Tax</w:t>
            </w:r>
          </w:p>
        </w:tc>
        <w:tc>
          <w:tcPr>
            <w:tcW w:w="100" w:type="dxa"/>
            <w:vAlign w:val="bottom"/>
          </w:tcPr>
          <w:p>
            <w:pPr>
              <w:spacing w:after="0"/>
              <w:rPr>
                <w:sz w:val="11"/>
                <w:szCs w:val="11"/>
                <w:color w:val="auto"/>
              </w:rPr>
            </w:pPr>
          </w:p>
        </w:tc>
        <w:tc>
          <w:tcPr>
            <w:tcW w:w="1020" w:type="dxa"/>
            <w:vAlign w:val="bottom"/>
          </w:tcPr>
          <w:p>
            <w:pPr>
              <w:jc w:val="right"/>
              <w:ind w:right="244"/>
              <w:spacing w:after="0" w:line="129" w:lineRule="exact"/>
              <w:rPr>
                <w:sz w:val="20"/>
                <w:szCs w:val="20"/>
                <w:color w:val="auto"/>
              </w:rPr>
            </w:pPr>
            <w:r>
              <w:rPr>
                <w:rFonts w:ascii="Times New Roman" w:cs="Times New Roman" w:eastAsia="Times New Roman" w:hAnsi="Times New Roman"/>
                <w:sz w:val="14"/>
                <w:szCs w:val="14"/>
                <w:b w:val="1"/>
                <w:bCs w:val="1"/>
                <w:color w:val="auto"/>
              </w:rPr>
              <w:t>Pre-Tax</w:t>
            </w:r>
          </w:p>
        </w:tc>
        <w:tc>
          <w:tcPr>
            <w:tcW w:w="96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00" w:type="dxa"/>
            <w:vAlign w:val="bottom"/>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w w:val="96"/>
              </w:rPr>
              <w:t>After-Tax</w:t>
            </w: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145,883</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1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11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14,354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cash flow hedges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12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9,126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equity investee's comprehensive (loss)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12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8"/>
                <w:szCs w:val="18"/>
                <w:color w:val="auto"/>
              </w:rPr>
              <w:t>23,342</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167,083</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9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1"/>
        </w:trPr>
        <w:tc>
          <w:tcPr>
            <w:tcW w:w="54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 income attributable to Aramark stockholders</w:t>
            </w:r>
          </w:p>
        </w:tc>
        <w:tc>
          <w:tcPr>
            <w:tcW w:w="9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(47,137)</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166,961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(in thousands):</w:t>
            </w: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3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46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20" w:type="dxa"/>
            <w:vAlign w:val="bottom"/>
            <w:tcBorders>
              <w:bottom w:val="single" w:sz="8" w:color="CCEEFF"/>
            </w:tcBorders>
          </w:tcPr>
          <w:p>
            <w:pPr>
              <w:spacing w:after="0"/>
              <w:rPr>
                <w:sz w:val="24"/>
                <w:szCs w:val="24"/>
                <w:color w:val="auto"/>
              </w:rPr>
            </w:pPr>
          </w:p>
        </w:tc>
        <w:tc>
          <w:tcPr>
            <w:tcW w:w="164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adjustments</w:t>
            </w: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(72,891)</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(109,755)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(87,598)</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equity investee's accumulated other comprehensive loss</w:t>
            </w:r>
          </w:p>
        </w:tc>
        <w:tc>
          <w:tcPr>
            <w:tcW w:w="9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(307,258)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4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Beginning in fiscal 2018, Argentina was determined to have a highly inflationary economy. As a result, the Company remeasures the financial statements of Argentina's operations in accordance with the accounting guidance for highly inflationary economies. During the first quarter of both fiscal 2021 and 2020, the impact of foreign currency transaction gains and losses were immaterial to the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insures portions of its general liability, automobile liability and workers’ compensation risks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January 1, 2021. These regulations may have the effect of limiting the Company's ability to access certain cash and cash equivalents held by the Captive for uses other than for the payment of its general liability, automobile liability and workers' compensation claims and related Captive costs. As of January 1, 2021 and October 2, 2020, cash and cash equivalents at the Captive were $118.7 million and $92.1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assets consist primarily of costs to obtain or fulfill contracts, including rental merchandise in-service, long-term receivables, investments in 50% or less owned entities, computer software costs and employee sales commissions. 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January 1, 2021 and October 2, 2020 was $42.5 million.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Current and Noncurrent Liabilities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self-insured for certain obligations related to its employee health care benefit programs as well as for certain risks retained under its general liability, automobile liability and workers’ compensation liability programs. Reserves are estimated through actuarial methods, with the assistance of third-party actuaries using loss development assumptions based on the Company's claims history.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Impact of COVID-19</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COVID-19 has adversely affected global economies, financial markets and the overall environment for the Company and the extent to which it may impact future results of operations and overall financial performance continues to remain uncertain. The Company began experiencing a significant decline in operations due to COVID-19 towards the end of its second quarter of fiscal 2020, which has continued through the first quarter of fiscal 2021. The decline in operations from COVID-19 caused a material deterioration in the Company's revenue, operating (loss) income and net (loss) income for the three months ended January 1, 2021. The allowance for credit losses increased to $82.9 million as of January 1, 2021 compared to $74.9 million as of October 2, 2020, which includes the Company's current estimates that reflect the continued economic uncertainty resulting from COVID-19. Certain businesses, mainly those related to the Company's Sports, Leisure &amp; Correction, Education and Business &amp; Industry sectors, continue to be significantly impacted by COVID-</w:t>
      </w:r>
    </w:p>
    <w:p>
      <w:pPr>
        <w:spacing w:after="0" w:line="3" w:lineRule="exact"/>
        <w:rPr>
          <w:sz w:val="20"/>
          <w:szCs w:val="20"/>
          <w:color w:val="auto"/>
        </w:rPr>
      </w:pPr>
    </w:p>
    <w:p>
      <w:pPr>
        <w:ind w:right="220" w:firstLine="8"/>
        <w:spacing w:after="0" w:line="255" w:lineRule="auto"/>
        <w:tabs>
          <w:tab w:leader="none" w:pos="27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the Company continues to apply effective cost discipline to mitigate the negative impact of COVID-19 as well as leveraging relief provisions provided under the </w:t>
      </w:r>
      <w:r>
        <w:rPr>
          <w:rFonts w:ascii="Times New Roman" w:cs="Times New Roman" w:eastAsia="Times New Roman" w:hAnsi="Times New Roman"/>
          <w:sz w:val="18"/>
          <w:szCs w:val="18"/>
          <w:color w:val="212529"/>
        </w:rPr>
        <w:t>Coronavirus Aid, Relief and Economic Security Act ("CARES Act")</w:t>
      </w:r>
      <w:r>
        <w:rPr>
          <w:rFonts w:ascii="Times New Roman" w:cs="Times New Roman" w:eastAsia="Times New Roman" w:hAnsi="Times New Roman"/>
          <w:sz w:val="18"/>
          <w:szCs w:val="18"/>
          <w:color w:val="auto"/>
        </w:rPr>
        <w:t xml:space="preserve"> and other foreign governmental programs (see below and Note 7).</w:t>
      </w:r>
    </w:p>
    <w:p>
      <w:pPr>
        <w:spacing w:after="0" w:line="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ongoing impact of COVID-19 on the Company's longer-term operational and financial performance will depend on future developments, which continue to be highly uncertain and cannot be predicted.</w:t>
      </w:r>
    </w:p>
    <w:p>
      <w:pPr>
        <w:spacing w:after="0" w:line="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12529"/>
        </w:rPr>
        <w:t xml:space="preserve">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 2020. In December 2020, the Consolidated Appropriations Act of 2021 ("CAA") was passed, which extends and slightly expands the qualified wage caps on these credits through June 30, 2021. The Company qualifies for the tax credit under the CARES Act and expects to continue to receive additional tax credits under the CAA for qualified wages through June 30, 2021. 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months ended </w:t>
      </w:r>
      <w:r>
        <w:rPr>
          <w:rFonts w:ascii="Times New Roman" w:cs="Times New Roman" w:eastAsia="Times New Roman" w:hAnsi="Times New Roman"/>
          <w:sz w:val="18"/>
          <w:szCs w:val="18"/>
          <w:color w:val="000000"/>
        </w:rPr>
        <w:t>January 1, 2021</w:t>
      </w:r>
      <w:r>
        <w:rPr>
          <w:rFonts w:ascii="Times New Roman" w:cs="Times New Roman" w:eastAsia="Times New Roman" w:hAnsi="Times New Roman"/>
          <w:sz w:val="18"/>
          <w:szCs w:val="18"/>
          <w:color w:val="212529"/>
        </w:rPr>
        <w:t xml:space="preserve">, the Company recorded $1.9 million related to the CARES Employee Retention credit in “Cost of services provided </w:t>
      </w:r>
      <w:r>
        <w:rPr>
          <w:rFonts w:ascii="Times New Roman" w:cs="Times New Roman" w:eastAsia="Times New Roman" w:hAnsi="Times New Roman"/>
          <w:sz w:val="18"/>
          <w:szCs w:val="18"/>
          <w:color w:val="000000"/>
        </w:rPr>
        <w:t>(exclusive of depreciation and amortization)</w:t>
      </w:r>
      <w:r>
        <w:rPr>
          <w:rFonts w:ascii="Times New Roman" w:cs="Times New Roman" w:eastAsia="Times New Roman" w:hAnsi="Times New Roman"/>
          <w:sz w:val="18"/>
          <w:szCs w:val="18"/>
          <w:color w:val="212529"/>
        </w:rPr>
        <w:t>” on the Company’s Condensed Consolidated Statements of (Loss) Income.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212529"/>
        </w:rPr>
        <w:t xml:space="preserve">The CARES Act also provides for deferred payment of the employer portion of social security taxes through the end of calendar 2020, with 50% of the deferred amount due December 31, 2021 and the remaining 50% due December 31, 2022. Approximately $128.5 million of social security taxes remain deferred, of which 50% are recorded as liabilities within "Accrued expenses and other current liabilities" and 50% are recorded as liabilities within "Deferred Income Taxes and Other Noncurrent Liabilities," on the Company’s Condensed Consolidated Balance Sheets as of </w:t>
      </w:r>
      <w:r>
        <w:rPr>
          <w:rFonts w:ascii="Times New Roman" w:cs="Times New Roman" w:eastAsia="Times New Roman" w:hAnsi="Times New Roman"/>
          <w:sz w:val="18"/>
          <w:szCs w:val="18"/>
          <w:color w:val="000000"/>
        </w:rPr>
        <w:t>January 1, 2021</w:t>
      </w:r>
      <w:r>
        <w:rPr>
          <w:rFonts w:ascii="Times New Roman" w:cs="Times New Roman" w:eastAsia="Times New Roman" w:hAnsi="Times New Roman"/>
          <w:sz w:val="18"/>
          <w:szCs w:val="18"/>
          <w:color w:val="212529"/>
        </w:rPr>
        <w:t>.</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Within the FSS International and Uniform segments, many foreign jurisdictions in which the Company operates are also providing companies various forms of relief from COVID-19, including labor related tax credits. These labor related tax credits generally allow companies to receive credits if they retain employees on their payroll, rather than furloughing or terminating employees as a result of the business disruption caused by COVID-19. The Company qualifies for these tax credits and expects to continue to receive additional tax credits for qualified wages in foreign jurisdictions further into fiscal 2021. The Company recorded approximately $35.1 million of labor related tax credits during the three months ended January 1, 2021 within "Cost of services provided (exclusive of depreciation and amortization)" on the Condensed Consolidated Statements of (Loss) Income, of which approximately $4.7 million was recorded in the Uniform segment and the remainder was recorded in the FSS International segment.</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accounts for these labor related tax credits as a reduction to the expense that it is intended to compensate in the period in which the corresponding expense is incurred and there is reasonable assurance the Company will both receive the tax credits and comply with all conditions attached to the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SEVERANCE: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Beginning in the third quarter of fiscal 2020, the Company made changes to its organization as a result of COVID-19 to align its cost base to better support its clients' needs as the Company navigates the current environment and focuses on its long-term strategy. These actions included headcount reductions, which resulted in severance charges primarily recognized during the third and fourth quarters of fiscal 2020. As of January 1, 2021 and October 2, 2020, the Company had an accrual of approximately $91.2 million and $118.5 million, respectively, related to unpaid severance obligations. The majority of the charges are expected to be paid out within the next nine months.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GOODWILL AND OTHER INTANGIBLE ASSETS: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total goodwill during the three months ended January 1, 2021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6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3"/>
                <w:szCs w:val="13"/>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January 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3,958,577</w:t>
            </w: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445,887</w:t>
            </w: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Uniforms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964,834</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5,343,828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5,369,298</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2, 2020</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2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887,698</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1,055,656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1,052,744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1,044,939</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3,248,444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1,932,637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January 1, 2021 and December 27, 2019 was approximately $29.6 million and $29.1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borrowings, net, are summarized in the following table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8"/>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due October 2023</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849,895</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October 2023</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485,346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March 2024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830,133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March 2025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1,659,487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1,659,194</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facility, due January 2027</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888,540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notes, due April 2025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593,381</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3.125% senior notes, due April 2025</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377,960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May 2025</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1,479,341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4.750% senior notes, due June 2026</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495,426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senior notes, due February 2028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1,138,864</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Facility, due June 2022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315,600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22,155</w:t>
            </w:r>
          </w:p>
        </w:tc>
      </w:tr>
      <w:tr>
        <w:trPr>
          <w:trHeight w:val="223"/>
        </w:trPr>
        <w:tc>
          <w:tcPr>
            <w:tcW w:w="7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8,209,468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9,278,423</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(99,915)</w:t>
            </w:r>
          </w:p>
        </w:tc>
      </w:tr>
      <w:tr>
        <w:trPr>
          <w:trHeight w:val="223"/>
        </w:trPr>
        <w:tc>
          <w:tcPr>
            <w:tcW w:w="78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8,111,140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9,178,508</w:t>
            </w: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420" w:hanging="394"/>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is a Euro denominated borrowing.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1, 2021, there were approximately $966.3 million of outstanding foreign currency borrowings.</w:t>
      </w:r>
    </w:p>
    <w:p>
      <w:pPr>
        <w:spacing w:after="0" w:line="10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fiscal 2020, the Company increased its borrowings under the revolving credit facility and the Receivables Facility and also issued new senior unsecured notes in order to provide additional cash availability and maximize flexibility in response to uncertainty surrounding COVID-19. As of January 1, 2021, the Company had $79.0 million of borrowings under the revolving credit facility, no borrowings under the Receivables Facility, $1,166.2 million of cash and cash equivalents, approximately $850.4 million of availability under the senior secured revolving credit facility and approximately $351.2 million of availability under the Receivables Facility. During the three month period of fiscal 2021, the Company repaid $780.0 million of outstanding borrowings under the U.S. revolving credit facility and $315.6 million of outstanding borrowings under the Receivables Facility utilizing cash and cash equivalents on hand. Additionally, during the three month period of fiscal 2021, the Company made $16.5 million of optional prepayments on the senior secured term loan facility due October 2023.</w:t>
      </w:r>
    </w:p>
    <w:p>
      <w:pPr>
        <w:spacing w:after="0" w:line="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accordance with Amendment No. 9 ("Amendment No. 9") to the credit agreement, dated as of March 28, 2017, (as supplemented or otherwise modified from time to time, the “Credit Agreement”) entered into during the third quarter of fiscal 2020, a covenant waiver period is in effect during the three months ended January 1, 2021, as the amendment suspends the Consolidated Secured Debt Ratio covenant required under the Credit Agreement for four fiscal quarters, commencing with the fourth quarter of fiscal 2020 through the third quarter of fiscal 2021. See Part IV, Item 15, "Note 5" in the Company's Annual Report on Form 10-K, filed with the SEC on November 24, 2020 for additional discussion of the terms of Amendment No. 9.</w:t>
      </w:r>
    </w:p>
    <w:p>
      <w:pPr>
        <w:spacing w:after="0" w:line="2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Company's Credit Agreement establishes an incurrence-based minimum Interest Coverage Ratio, defined as Covenant Adjusted EBITDA to consolidated interest expense, the achievement of which is a condition for the Company to incur additional indebtedness and to make certain restricted payments. If the Company does not maintain this minimum Interest Coverage Ratio calculated on a pro forma basis for any such additional indebtedness or restricted payments, the Company could be prohibited from being able to (1) incur additional indebtedness, other than the incremental capacity provided for under the Credit Agreement and pursuant to specified exceptions, and (2) make certain restricted payments, other than pursuant to certain exceptions. However, the Company’s failure to maintain the minimum Interest Coverage Ratio does not result in a default or an event of default under either the Credit Agreement or the indentures governing the senior notes. As of January 1, 2021, the Company was in compliance with this covenant. Due to the impact of COVID-19 on the Company's financial results, the Company may fall below the interest coverage covenant requirement of 2.000x in future periods, which may occur as early as the second quarter of fiscal 2021. The Company believes any short-term failure to maintain this ratio at the 2.000x level will not have a material impact on the business, results of operations or capital market strategies.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INSTRUMENTS: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has approximately $2.6 billion notional amount of outstanding interest rate swap agreements as of January 1, 2021, which fix the rate on a like amount of variable rate borrowings through January of fiscal 2025. During the three months ended January 1, 2021, interest rate swaps with notional amounts of $250.0 million matured.</w:t>
      </w:r>
    </w:p>
    <w:p>
      <w:pPr>
        <w:spacing w:after="0" w:line="4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January 1, 2021 and October 2, 2020, approximately ($78.5) million and ($87.6) million, respectively, of unrealized net of tax losses related to the interest rate swaps were included in "Accumulated other comprehensive loss."</w:t>
      </w:r>
    </w:p>
    <w:p>
      <w:pPr>
        <w:spacing w:after="0" w:line="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derivatives designated as cash flow hedging instruments on Other comprehensive income (loss)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in Hedging Relationships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pay fixed/receive floating gasoline and diesel fuel agreements based on the Department of Energy weekly retail on-highway index in order to limit its exposure to price fluctuations for gasoline and diesel fuel. As of January 1, 2021, the Company has contracts for approximately 9.8 million gallons outstanding through December of fiscal 2022. The Company does not record its gasoline and diesel fuel agreements as hedges for accounting purposes. The impact on earnings related to the change in fair value of these unsettled contracts was a gain of approximately $3.6 million for the three months ended January 1, 2021. The impact on earnings related to the change in fair value of these unsettled contracts was a gain of approximately $3.1 million for the three months ended December 27, 2019. The change in fair value for unsettled contracts is included in "Selling and general corporate expenses" on the Condensed Consolidated Statements of (Loss) Income. When the contracts settle, the gain or loss is recorded to "Cost of services provided (exclusive of depreciation and amortization)" on the Condensed Consolidated Statements of (Loss) Income.</w:t>
      </w:r>
    </w:p>
    <w:p>
      <w:pPr>
        <w:spacing w:after="0" w:line="7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As of January 1, 2021, the Company had foreign currency forward exchange contracts outstanding with nominal notional amounts to mitigate the risk of changes in foreign currency exchange rates on short-term intercompany loans to certain international subsidiaries. Gains and losses on foreign currency exchange contracts are recognized in earnings as the contracts were not designated as hedging instruments, substantially offsetting currency transaction gains and losses on short-term intercompany loans.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using Level 2 inputs (see Note 13 for a description of the fair value levels), of the Company's derivatives designated and not designated as hedging instruments in the Condensed Consolidated Balance Sheets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360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14"/>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116,882</w:t>
            </w:r>
          </w:p>
        </w:tc>
      </w:tr>
      <w:tr>
        <w:trPr>
          <w:trHeight w:val="223"/>
        </w:trPr>
        <w:tc>
          <w:tcPr>
            <w:tcW w:w="426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118,376</w:t>
            </w:r>
          </w:p>
        </w:tc>
      </w:tr>
      <w:tr>
        <w:trPr>
          <w:trHeight w:val="237"/>
        </w:trPr>
        <w:tc>
          <w:tcPr>
            <w:tcW w:w="4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Gasoline and diesel fuel agreements</w:t>
            </w: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23"/>
        </w:trPr>
        <w:tc>
          <w:tcPr>
            <w:tcW w:w="4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120,302</w:t>
            </w:r>
          </w:p>
        </w:tc>
      </w:tr>
      <w:tr>
        <w:trPr>
          <w:trHeight w:val="20"/>
        </w:trPr>
        <w:tc>
          <w:tcPr>
            <w:tcW w:w="4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location of the (gain) loss reclassified from "Accumulated other comprehensive loss" into earnings for derivatives designated as hedging instruments and the location of the (gain) loss for the Company's derivatives not designated as hedging instruments in the Condensed Consolidated Statements of (Loss) Income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366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Designated as hedging instruments:</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 designated as hedging instruments: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Gasoline and diesel fuel agreements</w:t>
            </w:r>
          </w:p>
        </w:tc>
        <w:tc>
          <w:tcPr>
            <w:tcW w:w="3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 Selling and</w:t>
            </w:r>
          </w:p>
        </w:tc>
        <w:tc>
          <w:tcPr>
            <w:tcW w:w="20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exchange contracts</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January 1, 2021, the net of tax loss expected to be reclassified from "Accumulated other comprehensive loss" into earnings over the next twelve months based on current market rates is approximately $36.1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REVENUE RECOGNITION:</w:t>
      </w:r>
    </w:p>
    <w:p>
      <w:pPr>
        <w:spacing w:after="0" w:line="9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its performance obligation is satisfied. Each contract generally has one performance obligation, which is satisfied over time. The Company primarily accounts for its performance obligations under the series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revenue source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4"/>
                <w:szCs w:val="14"/>
                <w:b w:val="1"/>
                <w:bCs w:val="1"/>
                <w:color w:val="auto"/>
              </w:rPr>
              <w:t>January 1, 2021</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10"/>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 &amp; Industry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r>
      <w:tr>
        <w:trPr>
          <w:trHeight w:val="230"/>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Education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r>
      <w:tr>
        <w:trPr>
          <w:trHeight w:val="22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Healthcare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29"/>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r>
      <w:tr>
        <w:trPr>
          <w:trHeight w:val="230"/>
        </w:trPr>
        <w:tc>
          <w:tcPr>
            <w:tcW w:w="7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Facilities &amp; Other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23"/>
        </w:trPr>
        <w:tc>
          <w:tcPr>
            <w:tcW w:w="7840" w:type="dxa"/>
            <w:vAlign w:val="bottom"/>
            <w:shd w:val="clear" w:color="auto" w:fill="CCEEFF"/>
          </w:tcPr>
          <w:p>
            <w:pPr>
              <w:jc w:val="right"/>
              <w:ind w:right="5610"/>
              <w:spacing w:after="0"/>
              <w:rPr>
                <w:sz w:val="20"/>
                <w:szCs w:val="20"/>
                <w:color w:val="auto"/>
              </w:rPr>
            </w:pPr>
            <w:r>
              <w:rPr>
                <w:rFonts w:ascii="Times New Roman" w:cs="Times New Roman" w:eastAsia="Times New Roman" w:hAnsi="Times New Roman"/>
                <w:sz w:val="18"/>
                <w:szCs w:val="18"/>
                <w:color w:val="auto"/>
              </w:rPr>
              <w:t>Total FSS United States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r>
      <w:tr>
        <w:trPr>
          <w:trHeight w:val="270"/>
        </w:trPr>
        <w:tc>
          <w:tcPr>
            <w:tcW w:w="7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29"/>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23"/>
        </w:trPr>
        <w:tc>
          <w:tcPr>
            <w:tcW w:w="7840" w:type="dxa"/>
            <w:vAlign w:val="bottom"/>
          </w:tcPr>
          <w:p>
            <w:pPr>
              <w:jc w:val="right"/>
              <w:ind w:right="5610"/>
              <w:spacing w:after="0"/>
              <w:rPr>
                <w:sz w:val="20"/>
                <w:szCs w:val="20"/>
                <w:color w:val="auto"/>
              </w:rPr>
            </w:pPr>
            <w:r>
              <w:rPr>
                <w:rFonts w:ascii="Times New Roman" w:cs="Times New Roman" w:eastAsia="Times New Roman" w:hAnsi="Times New Roman"/>
                <w:sz w:val="18"/>
                <w:szCs w:val="18"/>
                <w:color w:val="auto"/>
              </w:rPr>
              <w:t>Total FSS International</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r>
      <w:tr>
        <w:trPr>
          <w:trHeight w:val="270"/>
        </w:trPr>
        <w:tc>
          <w:tcPr>
            <w:tcW w:w="78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w:t>
            </w:r>
          </w:p>
        </w:tc>
      </w:tr>
      <w:tr>
        <w:trPr>
          <w:trHeight w:val="270"/>
        </w:trPr>
        <w:tc>
          <w:tcPr>
            <w:tcW w:w="78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4,253.6</w:t>
            </w: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3"/>
          <w:szCs w:val="13"/>
          <w:color w:val="auto"/>
        </w:rPr>
        <w:t>Revenue for the three months ended January 1, 2021 was negatively impacted by COVID-19.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 If the Company cannot render its performance obligation according to contract terms after receiving the consideration in advance, amounts may be contractually required to be refunded to the customer.</w:t>
      </w:r>
    </w:p>
    <w:p>
      <w:pPr>
        <w:spacing w:after="0" w:line="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1, 2021, deferred income increased related to customer prepayments and decreased related to income recognized during the period as a result of satisfying the performance obligation or return of funds related to non-performance. For the three months ended January 1, 2021, the Company recognized $151.7 million of revenue that was included in deferred income at the beginning of the period. Deferred income balances are summarized in the following table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2, 2020</w:t>
            </w:r>
          </w:p>
        </w:tc>
      </w:tr>
      <w:tr>
        <w:trPr>
          <w:trHeight w:val="228"/>
        </w:trPr>
        <w:tc>
          <w:tcPr>
            <w:tcW w:w="784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Deferred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bl>
    <w:p>
      <w:pPr>
        <w:spacing w:after="0" w:line="373" w:lineRule="exact"/>
        <w:rPr>
          <w:sz w:val="20"/>
          <w:szCs w:val="20"/>
          <w:color w:val="auto"/>
        </w:rPr>
      </w:pPr>
    </w:p>
    <w:p>
      <w:pPr>
        <w:ind w:left="420" w:hanging="394"/>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Due to the impact of COVID-19, the Company has refunded approximately $12.7 million of advanced payments primarily for meal plans to clients during the first quarter of fiscal 2021.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9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On March 27, 2020, the CARES Act was enacted in response to COVID-19. The CARES Act, among other things, permits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CARES Act contains modifications on the limitation of business interest for fiscal years 2020 and 2021 to increase the allowable business interest deduction from 30.0% of adjusted taxable income to 50.0% of adjusted taxable income. The CARES Act also includes a technical correction to the Tax Cut and Jobs Act (the "TCJA") that provides that Qualified Improvement Property ("QIP"), which includes almost any improvement to the interior of leased or owned space, is eligible for bonus depreciation retroactively to the January 1, 2018 effective date of the TCJA.</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CARES Act, the Company recorded a net benefit to the (Benefit) Provision for Income Taxes of approximately $22.2 million during the three month period ended January 1, 2021, which reflects the NOLs expected to be carried back to Pre-TCJA tax years at 35.0%. In addition, the Company recorded a valuation allowance to the (Benefit) Provision for Income Taxes of $16.1 million during the three month period ended January 1, 2021 against certain foreign tax credits ("FTCs") that were re-established by the NOL carryback, as it is more likely than not a tax benefit will not be realized.</w:t>
      </w:r>
    </w:p>
    <w:p>
      <w:pPr>
        <w:spacing w:after="0" w:line="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As of January 1, 2021, the Company had an income tax receivable balance of approximately $95.8 million, which primarily reflects the expected cash refund for NOLs generated in fiscal 2020 and through the first quarter of fiscal 2021 based on the carry back to Pre-TCJA years. The Company also recorded an additional $105.9 million of FTCs and $2.0 million of general business credits in "Deferred Income Taxes and Other Noncurrent Liabilities" on the Condensed Consolidated Balance Sheets that will be used to offset future federal income tax liabilities as of January 1, 2021. The Company continues to monitor and assess the impact the CARES Act and similar legislation in other countries may have on the Company's business and financial results.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1, 2021 and December 27, 2019, the Company paid cash dividends of approximately $27.9 million and $27.5 million to its stockholders, respectively. On February 2, 2021, the Company's Board declared a $0.11 dividend per share of common stock, payable on March 3, 2021, to shareholders of record on the close of business on February 17, 2021. In accordance with Amendment No. 9 to the Credit Agreement entered into in the third quarter of fiscal 2020, the Company cannot make any future share repurchases and must comply with certain liquidity requirements to pay dividends as long as the covenant compliance waiver remains in effect (see Note 4).</w:t>
      </w:r>
    </w:p>
    <w:p>
      <w:pPr>
        <w:spacing w:after="0" w:line="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has 100.0 million shares of preferred stock authorized, with a par value of $0.01 per share. At January 1, 2021 and October 2, 2020, zero shares of preferred stock were issued or outstanding.</w:t>
      </w:r>
    </w:p>
    <w:p>
      <w:pPr>
        <w:spacing w:after="0" w:line="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February 2, 2021, the Company's stockholders approved the Third Amended and Restated 2013 Stock Incentive Plan, which amends and restates the Company's 2013 Incentive Plan last amended on January 29, 2020. The Third Amended and Restated 2013 Stock Incentive Plan provides for up to</w:t>
      </w:r>
    </w:p>
    <w:p>
      <w:pPr>
        <w:ind w:right="340"/>
        <w:spacing w:after="0" w:line="260" w:lineRule="auto"/>
        <w:rPr>
          <w:sz w:val="20"/>
          <w:szCs w:val="20"/>
          <w:color w:val="auto"/>
        </w:rPr>
      </w:pPr>
      <w:r>
        <w:rPr>
          <w:rFonts w:ascii="Times New Roman" w:cs="Times New Roman" w:eastAsia="Times New Roman" w:hAnsi="Times New Roman"/>
          <w:sz w:val="18"/>
          <w:szCs w:val="18"/>
          <w:color w:val="auto"/>
        </w:rPr>
        <w:t>3.5 million of new shares authorized for issuance to participants, in addition to the shares that remained available for issuance under the 2013 Incentive Plan as of February 2, 2021.</w:t>
      </w:r>
    </w:p>
    <w:p>
      <w:pPr>
        <w:spacing w:after="0" w:line="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 2021, the Company’s stockholders approved the Aramark 2021 Employee Stock Purchase Plan (“ESPP”). The ESPP allows eligible employees to contribute up to 10% of their eligible pay toward the quarterly purchase of the Company’s common stock, subject to an annual maximum dollar amount. The purchase price is 85% of the lesser of the i) fair market value per share of the Company’s common stock as determined on the purchase date or ii) fair market value per share of the Company’s common stock as determined on the first trading day of the quarterly offering period. The aggregate number of shares of common stock that may be issued under the ESPP may not exceed 12.5 million shares.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share-based compensation expense and related information for Time-Based Options ("TBOs"), Retention Time-Based Options ("TBO-Rs"), Time-Based Restricted Stock Units ("RSUs"), Performance Stock Units ("PSUs") and Deferred Stock Units classified as "Selling and general corporate expenses" on the Condensed Consolidated Statements of (Loss) Income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23"/>
        </w:trPr>
        <w:tc>
          <w:tcPr>
            <w:tcW w:w="78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TBOs</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TBO-Rs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8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related to share-based compensation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Option Exercises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312"/>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 on Share Deliveries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91" w:lineRule="exact"/>
        <w:rPr>
          <w:sz w:val="20"/>
          <w:szCs w:val="20"/>
          <w:color w:val="auto"/>
        </w:rPr>
      </w:pPr>
    </w:p>
    <w:p>
      <w:pPr>
        <w:ind w:left="400" w:right="220" w:hanging="374"/>
        <w:spacing w:after="0" w:line="229" w:lineRule="auto"/>
        <w:tabs>
          <w:tab w:leader="none" w:pos="4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 increased during the three month period of fiscal 2021 due to the shortening of the vesting period on the annual grants issued in September 2020 from four years to three years and the accelerated timing of the issuance of the annual grant.</w:t>
      </w:r>
    </w:p>
    <w:p>
      <w:pPr>
        <w:spacing w:after="0" w:line="11" w:lineRule="exact"/>
        <w:rPr>
          <w:rFonts w:ascii="Times New Roman" w:cs="Times New Roman" w:eastAsia="Times New Roman" w:hAnsi="Times New Roman"/>
          <w:sz w:val="13"/>
          <w:szCs w:val="13"/>
          <w:color w:val="auto"/>
        </w:rPr>
      </w:pPr>
    </w:p>
    <w:p>
      <w:pPr>
        <w:ind w:left="400" w:hanging="374"/>
        <w:spacing w:after="0"/>
        <w:tabs>
          <w:tab w:leader="none" w:pos="4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benefit on option exercises and restricted stock unit deliveries is included in "Prepayments and Other Current Assets" on the Condensed Consolidated Statements of Cash Flows.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EARNINGS (LOSS) PER SHARE:</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attributable to the Company's stockholders (in thousands,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10"/>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(loss) income attributable to Aramark stockholders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145,761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248,731</w:t>
            </w:r>
          </w:p>
        </w:tc>
      </w:tr>
      <w:tr>
        <w:trPr>
          <w:trHeight w:val="230"/>
        </w:trPr>
        <w:tc>
          <w:tcPr>
            <w:tcW w:w="7840" w:type="dxa"/>
            <w:vAlign w:val="bottom"/>
            <w:shd w:val="clear" w:color="auto" w:fill="CCEEFF"/>
          </w:tcPr>
          <w:p>
            <w:pPr>
              <w:ind w:left="440"/>
              <w:spacing w:after="0" w:line="230" w:lineRule="exact"/>
              <w:rPr>
                <w:sz w:val="20"/>
                <w:szCs w:val="20"/>
                <w:color w:val="auto"/>
              </w:rPr>
            </w:pPr>
            <w:r>
              <w:rPr>
                <w:rFonts w:ascii="Times New Roman" w:cs="Times New Roman" w:eastAsia="Times New Roman" w:hAnsi="Times New Roman"/>
                <w:sz w:val="18"/>
                <w:szCs w:val="18"/>
                <w:color w:val="auto"/>
              </w:rPr>
              <w:t>Effect of dilutive securities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23"/>
        </w:trPr>
        <w:tc>
          <w:tcPr>
            <w:tcW w:w="7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253,668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income attributable to Aramark stockholders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income attributable to Aramark stockholders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bl>
    <w:p>
      <w:pPr>
        <w:spacing w:after="0" w:line="200" w:lineRule="exact"/>
        <w:rPr>
          <w:sz w:val="20"/>
          <w:szCs w:val="20"/>
          <w:color w:val="auto"/>
        </w:rPr>
      </w:pPr>
    </w:p>
    <w:p>
      <w:pPr>
        <w:spacing w:after="0" w:line="227" w:lineRule="exact"/>
        <w:rPr>
          <w:sz w:val="20"/>
          <w:szCs w:val="20"/>
          <w:color w:val="auto"/>
        </w:rPr>
      </w:pPr>
    </w:p>
    <w:p>
      <w:pPr>
        <w:ind w:left="400" w:right="580" w:hanging="276"/>
        <w:spacing w:after="0" w:line="229" w:lineRule="auto"/>
        <w:tabs>
          <w:tab w:leader="none" w:pos="4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Incremental shares of 1.9 million have been excluded from the computation of diluted weighted-average shares outstanding for the three months ended January 1, 2021 because the effect would have been antidilutive due to the net loss attributable to Aramark stockholders during the period.</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Share-based awards to purchase 13.4 million and 1.6 million shares were outstanding for the three months ended January 1, 2021 and December 27, 2019, respectively, but were not included in the computation of diluted (loss) earnings per common share, as their effect would have been antidilutive. In addition, PSUs related to 1.1 million and 1.7 million shares were outstanding for the three months ended January 1, 2021 and December 27, 2019, respectively, but were not included in the computation of diluted (loss) earnings per common share, as the performance targets were not yet met.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of the Company's lease arrangements, primarily vehicle leases, with terms of one to 12 years, contain provisions related to residual value guarantees. The maximum potential liability to the Company under such arrangements was approximately $28.9 million at January 1, 2021 if the terminal fair value of vehicles coming off lease was zero. Consistent with past experience, management does not expect any significant payments will be required pursuant to these arrangements. No amounts have been accrued for guarantee arrangements at January 1, 2021.</w:t>
      </w:r>
    </w:p>
    <w:p>
      <w:pPr>
        <w:spacing w:after="0" w:line="5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except for the matter discussed below,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8"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The Company is involved in a dispute with a client regarding Aramark’s provision of services pursuant to a contract. The Company is simultaneously litigating the matter and attempting to reach a negotiated resolution. The Company recorded a reserve for this matter as it is probable that a liability has been incurred and the amount of the loss can be reasonably estimated. As of January 1, 2021, the Company has accrued its best estimate of the probable loss associated with this contract, which is approximately $19.7 million. The Company believes it is reasonably possible that this potential exposure may change in the near term based on the outcome of either the settlement negotiations or through continued litigation.</w:t>
      </w:r>
    </w:p>
    <w:p>
      <w:pPr>
        <w:spacing w:after="0" w:line="63"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During fiscal 2019, Eric J. Foss, the Company's former Chairman, President and Chief Executive Officer, stepped down and $10.4 million of cash compensation related charges were recognized related to his separation from the Company. As of January 1, 2021, the Company had $4.3 million of remaining unpaid obligations related to his separation, which are recorded in "Accrued expenses and other current liabilities" on the Condensed Consolidated Balance Sheets. These unpaid obligations are expected to be paid through fiscal 2021.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BUSINESS SEGMENTS: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reported its operating results in three reportable segments: FSS United States, FSS International and Uniform. Corporate includes general expenses not specifically allocated to an individual segment and share-based compensation expense (see Note 9). In the Company's food and support services segments, approximately 73% of the global revenue is related to food services and 27% is related to facilities services. During the three months ended January 1, 2021 and December 27, 2019, the Company received proceeds of approximately $10.0 million and $15.3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(Loss) Income. Revenue and operating (loss) income during the three month period of fiscal 2021 were negatively impacted by COVID-19. Financial information by segment follows (in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20" w:type="dxa"/>
            <w:vAlign w:val="bottom"/>
            <w:tcBorders>
              <w:bottom w:val="single" w:sz="8" w:color="auto"/>
            </w:tcBorders>
          </w:tcPr>
          <w:p>
            <w:pPr>
              <w:spacing w:after="0"/>
              <w:rPr>
                <w:sz w:val="16"/>
                <w:szCs w:val="16"/>
                <w:color w:val="auto"/>
              </w:rPr>
            </w:pPr>
          </w:p>
        </w:tc>
      </w:tr>
      <w:tr>
        <w:trPr>
          <w:trHeight w:val="188"/>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20" w:type="dxa"/>
            <w:vAlign w:val="bottom"/>
          </w:tcPr>
          <w:p>
            <w:pPr>
              <w:spacing w:after="0"/>
              <w:rPr>
                <w:sz w:val="15"/>
                <w:szCs w:val="15"/>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r>
      <w:tr>
        <w:trPr>
          <w:trHeight w:val="223"/>
        </w:trPr>
        <w:tc>
          <w:tcPr>
            <w:tcW w:w="78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4,253.6</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r>
      <w:tr>
        <w:trPr>
          <w:trHeight w:val="188"/>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5"/>
                <w:szCs w:val="15"/>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3"/>
        </w:trPr>
        <w:tc>
          <w:tcPr>
            <w:tcW w:w="7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ASSETS AND FINANCIAL LIABILITIES: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54" w:lineRule="exact"/>
        <w:rPr>
          <w:sz w:val="20"/>
          <w:szCs w:val="20"/>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methodology are quoted prices (unadjusted) for identical assets or liabilities in active markets</w:t>
      </w:r>
    </w:p>
    <w:p>
      <w:pPr>
        <w:spacing w:after="0" w:line="10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89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January 1, 2021 and October 2, 2020 was $8,435.7 million and $9,260.0 million, respectively. The carrying value of the Company's debt at January 1, 2021 and October 2, 2020 was $8,209.5 million and $9,278.4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FINANCIAL CONDITION AND RESULTS OF OPERATIONS</w:t>
      </w:r>
    </w:p>
    <w:p>
      <w:pPr>
        <w:spacing w:after="0" w:line="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Aramark's (the "Company," "we," "our" and "us") financial condition and results of operations for the three months ended January 1, 2021 and December 27, 2019 should be read in conjunction with our audited consolidated financial statements and the notes to those statements for the fiscal year ended October 2, 2020 included in our Annual Report on Form 10-K, filed with the Securities and Exchange Commission ("SEC") on November 24, 2020.</w:t>
      </w:r>
    </w:p>
    <w:p>
      <w:pPr>
        <w:spacing w:after="0" w:line="5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COVID-19 pandemic ("COVID-19") has disrupted and is expected to continue to disrupt our business, which has and could continue to materially affect our operating results, cash flows and/or financial condition for an extended period of time. We began experiencing a significant decline in our operations due to COVID-19 towards the end of our second quarter of fiscal 2020, which has continued through our first quarter of fiscal 2021. The decline in our operations from COVID-19 caused a material deterioration in our revenues, operating (loss) income and net (loss) income for the three months ended January 1, 2021. COVID-19 has adversely affected global economies, financial markets and the overall environment for our business. The ongoing impact of COVID-19 on our longer-term operational and financial performance will depend on future developments, including the availability and widespread distribution of safe and effective COVID-19 vaccines. Many of these future developments are outside of our control and all are highly uncertain and cannot be predicted.</w:t>
      </w:r>
    </w:p>
    <w:p>
      <w:pPr>
        <w:spacing w:after="0" w:line="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response to COVID-19, we continue to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liquidity position, focusing on flexible, low fixed-cost operations and diversifying our service offerings, geographic mix and client portfolio.</w:t>
      </w:r>
    </w:p>
    <w:p>
      <w:pPr>
        <w:spacing w:after="0" w:line="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certain of our operating sectors have been significantly impacted to date, we continue to work toward mitigating these negative impacts. These efforts have included, and continue to include, significant cost reduction efforts toward variable and fixed costs, including furloughs of our labor force. These efforts have also included headcount reductions during fiscal 2020, contractual negotiations and efforts to provide additional products and services arising in the current environment. We have also leveraged relief provisions under the Coronavirus Aid, Relief and Economic Security Act ("CARES Act") and other foreign governmental programs. The operating environment, however, remains very fluid with changes in the number of COVID-19 cases significantly impacting the ability and willingness of private businesses and governments to open or remain open, even at limited levels. We continue to work closely with clients and all constituencies in this environment.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FSS United States segment, the impacts to our operating sectors are further described as follows:</w:t>
      </w:r>
    </w:p>
    <w:p>
      <w:pPr>
        <w:spacing w:after="0" w:line="104" w:lineRule="exact"/>
        <w:rPr>
          <w:sz w:val="20"/>
          <w:szCs w:val="20"/>
          <w:color w:val="auto"/>
        </w:rPr>
      </w:pPr>
    </w:p>
    <w:p>
      <w:pPr>
        <w:ind w:left="660" w:right="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 We served clients operating both in-person and hybrid learning models. Higher Education experienced shortened semesters as well as reduced catering and retail activity that typically spike during the holiday season. K-12</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strategically designed menus and customized solutions for in-person and curbside pickup models, while continuing to participate in universal government-sponsored meal programs.</w:t>
      </w:r>
    </w:p>
    <w:p>
      <w:pPr>
        <w:spacing w:after="0" w:line="27" w:lineRule="exact"/>
        <w:rPr>
          <w:sz w:val="20"/>
          <w:szCs w:val="20"/>
          <w:color w:val="auto"/>
        </w:rPr>
      </w:pPr>
    </w:p>
    <w:p>
      <w:pPr>
        <w:jc w:val="both"/>
        <w:ind w:left="660" w:right="1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 Leisure &amp; Corrections – Activity modestly increased in Sports &amp; Entertainment as NFL teams included fans at partial capacity based on local regulations. The NHL and NBA have started their regular seasons playing without fans. Leisure remained steady, focused on the upcoming spring season in National Parks. Corrections continues to not be materially impacted.</w:t>
      </w:r>
    </w:p>
    <w:p>
      <w:pPr>
        <w:spacing w:after="0" w:line="5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&amp; Industry – Companies maintained measured return-to-work timelines. We have also launched exclusive home delivery solutions that extend beyond the traditional workplace setting.</w:t>
      </w:r>
    </w:p>
    <w:p>
      <w:pPr>
        <w:spacing w:after="0" w:line="40"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&amp; Other – We offered additional project-oriented services and leveraged cross-selling opportunities with heightened demand for safety and hygiene.</w:t>
      </w:r>
    </w:p>
    <w:p>
      <w:pPr>
        <w:spacing w:after="0" w:line="40" w:lineRule="exact"/>
        <w:rPr>
          <w:rFonts w:ascii="Times New Roman" w:cs="Times New Roman" w:eastAsia="Times New Roman" w:hAnsi="Times New Roman"/>
          <w:sz w:val="18"/>
          <w:szCs w:val="18"/>
          <w:color w:val="auto"/>
        </w:rPr>
      </w:pPr>
    </w:p>
    <w:p>
      <w:pPr>
        <w:ind w:left="660" w:right="260" w:hanging="328"/>
        <w:spacing w:after="0" w:line="255"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Healthcare – Operations remained largely stable with focus on providing enhanced capabilities in telehealth and mobile ordering, in addition to offering post-care meal delivery to patient homes.</w:t>
      </w:r>
    </w:p>
    <w:p>
      <w:pPr>
        <w:spacing w:after="0" w:line="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Within the FSS International segment, we are at various stages of response depending on geography. China continues its recovery and has new client wins —particularly in Healthcare—due to our efforts on the frontlines. Europe is facing additional restrictions and higher levels of lockdown, which vary based on country-specific government mandates. We continue to experience an impact from COVID-19 in South America, Canada and in our 50% ownership of AIM Services Co., Ltd. in Japan.</w:t>
      </w:r>
    </w:p>
    <w:p>
      <w:pPr>
        <w:spacing w:after="0" w:line="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the Uniform segment, our business serves a range of clients. </w:t>
      </w:r>
      <w:r>
        <w:rPr>
          <w:rFonts w:ascii="Times New Roman" w:cs="Times New Roman" w:eastAsia="Times New Roman" w:hAnsi="Times New Roman"/>
          <w:sz w:val="18"/>
          <w:szCs w:val="18"/>
          <w:color w:val="212529"/>
        </w:rPr>
        <w:t>Operations continue for essential businesses and now most of our non-essential clients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back operating as well, although in certain areas of North America, due to worsening conditions of the pandemic, some of these businesses have been forced to shut down again. In addition, we continue to be a solution-oriented service focusing on safety and hygiene, including a heightened demand for personal protective equipment ("PPE") materials amongst our clients. </w:t>
      </w:r>
      <w:r>
        <w:rPr>
          <w:rFonts w:ascii="Times New Roman" w:cs="Times New Roman" w:eastAsia="Times New Roman" w:hAnsi="Times New Roman"/>
          <w:sz w:val="18"/>
          <w:szCs w:val="18"/>
          <w:color w:val="000000"/>
        </w:rPr>
        <w:t>We have redeployed production lines in order to manufacture essential PPE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hospital employees and other clients across North America.</w:t>
      </w:r>
    </w:p>
    <w:p>
      <w:pPr>
        <w:spacing w:after="0" w:line="4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all business segments, we continue to leverage our flexible operating model to execute cost mitigation plans while continuing to support our clients. Beginning in the third quarter of fiscal 2020, we made changes to our organization to align our cost base to best support our clients' needs as we navigate the current environment and focus on our long-term strategy. These actions included headcount reductions, which resulted in severance charges primarily recognized during the third and fourth quarters of fiscal 2020.</w:t>
      </w:r>
    </w:p>
    <w:p>
      <w:pPr>
        <w:spacing w:after="0" w:line="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undertook many actions as it relates to our liquidity position in response to COVID-19. See "Liquidity and Capital Resources" below for additional disclosure around these actions taken. Also, see “Item 1A. Risk Factors” in our Annual Report on Form 10-K, filed with the SEC on November 24, 2020, for an additional discussion of risks and potential risks of COVID-19 on our business,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COVID-19 pandemic, and in subsequent periods, our business and results of operations have not experienced, and may continue to not experience, our historically typical patterns of seasonality.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fiscal year is the fifty-two or fifty-three week period which ends on the Friday nearest September 30th. The fiscal year ending October 1, 2021 is a fifty-two week period and the fiscal year ended October 2, 2020 was a fifty-three week period.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an overview of our results on a consolidated and segment basis with the amount of and percentage change between periods for the three months ended January 1, 2021 and December 27, 2019 (dollars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8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9"/>
        </w:trPr>
        <w:tc>
          <w:tcPr>
            <w:tcW w:w="4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00" w:type="dxa"/>
            <w:vAlign w:val="bottom"/>
            <w:gridSpan w:val="2"/>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Cost of services provided (exclusive of depreciation and</w:t>
            </w:r>
          </w:p>
        </w:tc>
        <w:tc>
          <w:tcPr>
            <w:tcW w:w="2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5"/>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Revenue by Segment</w:t>
            </w:r>
            <w:r>
              <w:rPr>
                <w:rFonts w:ascii="Times New Roman" w:cs="Times New Roman" w:eastAsia="Times New Roman" w:hAnsi="Times New Roman"/>
                <w:sz w:val="18"/>
                <w:szCs w:val="18"/>
                <w:b w:val="1"/>
                <w:bCs w:val="1"/>
                <w:color w:val="auto"/>
                <w:vertAlign w:val="superscript"/>
              </w:rPr>
              <w:t>(1)(2)</w:t>
            </w: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4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FSS International</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Uniform</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2"/>
                <w:szCs w:val="22"/>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b w:val="1"/>
                <w:bCs w:val="1"/>
                <w:color w:val="auto"/>
              </w:rPr>
              <w:t>Operating (Loss) Income by Segment</w:t>
            </w:r>
            <w:r>
              <w:rPr>
                <w:rFonts w:ascii="Times New Roman" w:cs="Times New Roman" w:eastAsia="Times New Roman" w:hAnsi="Times New Roman"/>
                <w:sz w:val="18"/>
                <w:szCs w:val="18"/>
                <w:b w:val="1"/>
                <w:bCs w:val="1"/>
                <w:color w:val="auto"/>
                <w:vertAlign w:val="superscript"/>
              </w:rPr>
              <w:t>(2)</w:t>
            </w: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30"/>
        </w:trPr>
        <w:tc>
          <w:tcPr>
            <w:tcW w:w="4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FSS International</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Uniform</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ind w:right="160" w:firstLine="8"/>
        <w:spacing w:after="0" w:line="281" w:lineRule="auto"/>
        <w:tabs>
          <w:tab w:leader="none" w:pos="20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percentage of total revenue, FSS United States represented 52.7% and 62.0%, FSS International represented 25.3% and 22.3% and Uniform represented 22.0% and 15.7% for the three month periods ended January 1, 2021 and December 27, 2019, respectively.</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and operating (loss) income for all segments were impacted by COVID-19 in the three month period of fiscal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Overview</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Revenue decreased by approximately 35.5% during the three month period of fiscal 2021 compared to the prior year period, which was mainly due to COVID-19, primarily from our clients either reducing or ceasing operations at certain locations across all of our segments.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cost of services provided (exclusive of depreciation and amortization) by segment and as a percent of revenue for the three month periods ended January 1, 2021 and December 27,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8"/>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260" w:type="dxa"/>
            <w:vAlign w:val="bottom"/>
          </w:tcPr>
          <w:p>
            <w:pPr>
              <w:spacing w:after="0"/>
              <w:rPr>
                <w:sz w:val="16"/>
                <w:szCs w:val="16"/>
                <w:color w:val="auto"/>
              </w:rPr>
            </w:pPr>
          </w:p>
        </w:tc>
        <w:tc>
          <w:tcPr>
            <w:tcW w:w="218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183"/>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w:t>
            </w: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FSS International</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93.1 %</w:t>
            </w:r>
          </w:p>
        </w:tc>
      </w:tr>
      <w:tr>
        <w:trPr>
          <w:trHeight w:val="230"/>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Uniform</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23"/>
        </w:trPr>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88.6 %</w:t>
            </w: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attributable to the components in cost of services provided (exclusive of depreciation and amortization) for the three month periods ended January 1, 2021 and December 27, 2019.</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Cost of services provided (exclusive of depreciation and amortization) components</w:t>
            </w:r>
          </w:p>
        </w:tc>
        <w:tc>
          <w:tcPr>
            <w:tcW w:w="19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7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23"/>
        </w:trPr>
        <w:tc>
          <w:tcPr>
            <w:tcW w:w="74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Food and support service costs</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29"/>
        </w:trPr>
        <w:tc>
          <w:tcPr>
            <w:tcW w:w="75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r>
      <w:tr>
        <w:trPr>
          <w:trHeight w:val="230"/>
        </w:trPr>
        <w:tc>
          <w:tcPr>
            <w:tcW w:w="75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direct costs</w:t>
            </w:r>
            <w:r>
              <w:rPr>
                <w:rFonts w:ascii="Times New Roman" w:cs="Times New Roman" w:eastAsia="Times New Roman" w:hAnsi="Times New Roman"/>
                <w:sz w:val="23"/>
                <w:szCs w:val="23"/>
                <w:color w:val="auto"/>
                <w:vertAlign w:val="superscript"/>
              </w:rPr>
              <w:t>(1)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4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r>
      <w:tr>
        <w:trPr>
          <w:trHeight w:val="223"/>
        </w:trPr>
        <w:tc>
          <w:tcPr>
            <w:tcW w:w="7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Food and support service costs and Other direct costs represented a lower proportion of total cost of services provided (exclusive of depreciation and amortization) during the three months</w:t>
      </w:r>
    </w:p>
    <w:p>
      <w:pPr>
        <w:spacing w:after="0" w:line="17" w:lineRule="exact"/>
        <w:rPr>
          <w:rFonts w:ascii="Times New Roman" w:cs="Times New Roman" w:eastAsia="Times New Roman" w:hAnsi="Times New Roman"/>
          <w:sz w:val="14"/>
          <w:szCs w:val="14"/>
          <w:color w:val="auto"/>
        </w:rPr>
      </w:pPr>
    </w:p>
    <w:p>
      <w:pPr>
        <w:ind w:right="4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ended January 1, 2021 mainly from reduced or ceased operations at certain client locations due to COVID-19 and, in addition, the impact of cost reduction efforts taken by management to reduce variable and fixed costs.</w:t>
      </w:r>
    </w:p>
    <w:p>
      <w:pPr>
        <w:spacing w:after="0" w:line="56" w:lineRule="exact"/>
        <w:rPr>
          <w:rFonts w:ascii="Times New Roman" w:cs="Times New Roman" w:eastAsia="Times New Roman" w:hAnsi="Times New Roman"/>
          <w:sz w:val="14"/>
          <w:szCs w:val="14"/>
          <w:color w:val="auto"/>
        </w:rPr>
      </w:pPr>
    </w:p>
    <w:p>
      <w:pPr>
        <w:ind w:right="100" w:firstLine="8"/>
        <w:spacing w:after="0" w:line="282" w:lineRule="auto"/>
        <w:tabs>
          <w:tab w:leader="none" w:pos="20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represented a higher proportion of total cost of services provided (exclusive of depreciation and amortization) during the three months ended January 1, 2021 primarily due to some clients requiring us to maintain certain employment levels despite reduced operations.</w:t>
      </w:r>
    </w:p>
    <w:p>
      <w:pPr>
        <w:spacing w:after="0" w:line="3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income decreased by approximately $274.8 million during the three month period of fiscal 2021 compared to the prior year period. Operating income was negatively impacted during the three month period of fiscal 2021 due to COVID-19, primarily attributable to clients either reducing or ceasing operations at certain locations across all of our segments. The negative impact of COVID-19 was partially offset by both U.S. and non-U.S. governmental labor related tax credits (see Note 1 to the condensed consolidated financial statements).</w:t>
      </w:r>
    </w:p>
    <w:p>
      <w:pPr>
        <w:spacing w:after="0" w:line="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and Other Financing Costs, net, increased 26.2% during the three month period of fiscal 2021 compared to the prior year period. The increase was primarily due to the issuance of $1,500.0 million of 6.375% Senior Notes during the third quarter of fiscal 2020.</w:t>
      </w:r>
    </w:p>
    <w:p>
      <w:pPr>
        <w:spacing w:after="0" w:line="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income tax benefit for the three month period of fiscal 2021 was recorded at an effective rate of 32.7% compared to income tax expense recorded at an effective rate of 16.5% in the prior year period. As a result of the CARES Act, we recorded a net income tax benefit of approximately $22.2 million during the three month period ended January 1, 2021. This benefit reflects the Net Operating Losses ("NOLs") expected to be carried back to Pre-Tax Cut and Jobs Act years, which are benefited at 35.0%. In addition, we recorded a valuation allowance of $16.1 million during the three month period ended January 1, 2021 against certain foreign tax credits that were re-established by the NOL carryback. The effective tax rate for the three months ended December 27, 2019 also includes an income tax benefit of approximately $18.6 million as a result of an excess tax benefit recognized in relation to equity awards exercised during the first quarter of fiscal 2020, including by the former Chairman, President and Chief Executive Officer.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United States Segment</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each of these sectors are summarized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8"/>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27, 2019</w:t>
            </w:r>
          </w:p>
        </w:tc>
        <w:tc>
          <w:tcPr>
            <w:tcW w:w="100" w:type="dxa"/>
            <w:vAlign w:val="bottom"/>
          </w:tcPr>
          <w:p>
            <w:pPr>
              <w:spacing w:after="0"/>
              <w:rPr>
                <w:sz w:val="16"/>
                <w:szCs w:val="16"/>
                <w:color w:val="auto"/>
              </w:rPr>
            </w:pPr>
          </w:p>
        </w:tc>
        <w:tc>
          <w:tcPr>
            <w:tcW w:w="11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&amp; Industry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Leisure &amp; Corrections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Other</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8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Historically, the Healthcare, Education and Facilities &amp; Other sectors generally have high-single digit operating income margins and the Business &amp; Industry and Sports, Leisure &amp; Corrections sectors generally have mid-single digit operating income margins. As described above, during the COVID-19 pandemic, operating income margins in the FSS United States sectors differ from our otherwise historical patterns.</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FSS United States segment revenue decreased by approximately 45.2% during the three month period of fiscal 2021 compared to the prior year period. The decrease was primarily attributable to COVID-19, which significantly impacted our Sports, Leisure &amp; Corrections sector due to limited professional sports stadium attendance, our Education sector where clients either have reduced or ceased operations at certain locations and our Business &amp; Industry sector due to many clients working from home instead of the office.</w:t>
      </w:r>
    </w:p>
    <w:p>
      <w:pPr>
        <w:spacing w:after="0" w:line="5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Operating income decreased by approximately $200.7 million during the three month period of fiscal 2021 compared to the prior year period. Operating income was negatively impacted during the three month period of fiscal 2021 due to COVID-19. The profit decline from COVID-19 is primarily attributable to clients either reducing or ceasing operations at certain locations. The decrease during the three month period of fiscal 2021 was also attributable to:</w:t>
      </w:r>
    </w:p>
    <w:p>
      <w:pPr>
        <w:spacing w:after="0" w:line="4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expenses related to our medical insurance programs (approximately $11.3 million); and</w:t>
      </w:r>
    </w:p>
    <w:p>
      <w:pPr>
        <w:spacing w:after="0" w:line="10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compared to the prior year relating to the recovery of our investment (possessory interest) at one of the National Park Service sites within our Sports, Leisure &amp; Corrections sector (approximately $5.3 million).</w:t>
      </w:r>
    </w:p>
    <w:p>
      <w:pPr>
        <w:spacing w:after="0" w:line="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These decreases in operating income during the three month period of fiscal 2021 more than offset higher income related to favorable loss experience in older insurance years under our general liability, automotive liability and workers' compensation programs when compared to the three month period of fiscal 2020 (approximately $7.8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FSS International Segment</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FSS International segment revenue decreased by approximately 26.6% during the three month period of fiscal 2021 compared to the prior year period. The decrease was attributable to the negative impact of COVID-19 from government shutdowns. The decrease was partially offset by the positive impact of foreign currency translation during the three month period of fiscal 2021 (approximately 2.2%).</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decreased by approximately $46.7 million during the three month period of fiscal 2021 compared to the prior year period. The decrease was attributable to the negative impact of COVID-19, partially offset by labor related tax credits provided from government assistance programs (see Note 1 to the condensed consolidated financial statements). The decrease was also attributable to:</w:t>
      </w:r>
    </w:p>
    <w:p>
      <w:pPr>
        <w:spacing w:after="0" w:line="4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related to a client contract dispute (approximately $2.6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foreign currency translation (approximately $1.1 million).</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Uniform Segment</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Uniform segment revenue decreased by approximately 9.7% during the three month period of fiscal 2021 compared to the prior year period. The decrease was primarily attributable to COVID-19.</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Operating income decreased by approximately $21.2 million during the three month period of fiscal 2021 compared to the prior year period. The decrease was attributable to the negative impact of COVID-19, partially offset by labor related tax credits provided by government assistance programs (see Note 1 to the condensed consolidated financial statements). The decrease was also attributable to:</w:t>
      </w:r>
    </w:p>
    <w:p>
      <w:pPr>
        <w:spacing w:after="0" w:line="54" w:lineRule="exact"/>
        <w:rPr>
          <w:sz w:val="20"/>
          <w:szCs w:val="20"/>
          <w:color w:val="auto"/>
        </w:rPr>
      </w:pPr>
    </w:p>
    <w:p>
      <w:pPr>
        <w:ind w:left="5540" w:right="4840" w:hanging="5208"/>
        <w:spacing w:after="0" w:line="970"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non-cash charge related to excess inventory (approximately $5.0 million); and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related to sales growth initiatives compared to the prior year period (approximately $4.0 million).</w:t>
      </w:r>
    </w:p>
    <w:p>
      <w:pPr>
        <w:spacing w:after="0" w:line="9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Operating income benefited during the three month period of fiscal 2021 from lower merger and integration charges from the AmeriPride acquisition (approximately $4.5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Corporate expenses, those administrative expenses not allocated to the business segments, increased by approximately $6.2 million during the three month period of fiscal 2021 compared to the prior year period. The increase was attributable to:</w:t>
      </w:r>
    </w:p>
    <w:p>
      <w:pPr>
        <w:spacing w:after="0" w:line="27" w:lineRule="exact"/>
        <w:rPr>
          <w:sz w:val="20"/>
          <w:szCs w:val="20"/>
          <w:color w:val="auto"/>
        </w:rPr>
      </w:pPr>
    </w:p>
    <w:p>
      <w:pPr>
        <w:ind w:left="660" w:right="4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share-based compensation expense primarily due to the shortening of the vesting period on the annual time-based option and restricted stock unit grants issued in September 2020 from four years to three years and the accelerated timing of the issuance of the annual grant (approximately $4.2 million); and</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related to exposure for a payroll tax matter (approximately $2.1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generated from operating activities, funds from borrowings and existing cash on hand. As of January 1, 2021, we had $1,166.2 million of cash and cash equivalents, approximately $850.4 million of availability under our senior secured revolving credit facility and approximately $351.2 million of availability under the Receivables Facility. A significant portion of our cash and cash equivalents are held in mature, liquid geographies where we have operations. As of January 1, 2021, there were approximately $966.3 million of outstanding foreign currency borrowings.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response to the COVID-19 pandemic, we previously undertook a number of actions to enhance our cash position, including increasing borrowings under our revolving credit facility and under our Receivables Facility, renegotiations of client contracts, salary and other compensation adjustments and reductions to general corporate expenses. In addition, on April 27, 2020, Aramark Services Inc. (“ASI”), our indirect wholly owned subsidiary, issued $1,500.0 million aggregate principal amount of 6.375% Senior Notes due May 1, 2025 (the "6.375% 2025 Notes"). We continue to apply effective cost discipline to mitigate the negative impacts of COVID-19 as well as leveraging relief provisions provided under the </w:t>
      </w:r>
      <w:r>
        <w:rPr>
          <w:rFonts w:ascii="Times New Roman" w:cs="Times New Roman" w:eastAsia="Times New Roman" w:hAnsi="Times New Roman"/>
          <w:sz w:val="18"/>
          <w:szCs w:val="18"/>
          <w:color w:val="212529"/>
        </w:rPr>
        <w:t>CARES Act</w:t>
      </w:r>
      <w:r>
        <w:rPr>
          <w:rFonts w:ascii="Times New Roman" w:cs="Times New Roman" w:eastAsia="Times New Roman" w:hAnsi="Times New Roman"/>
          <w:sz w:val="18"/>
          <w:szCs w:val="18"/>
          <w:color w:val="auto"/>
        </w:rPr>
        <w:t xml:space="preserve"> and other foreign governmental programs (see Note 1 to the condensed consolidated financial statements). During the first quarter of fiscal 2021, we repaid $780.0 million of outstanding borrowings under our U.S. revolving credit facility and $315.6 million of borrowings under our Receivables Facility utilizing cash and cash equivalents on hand.</w:t>
      </w:r>
    </w:p>
    <w:p>
      <w:pPr>
        <w:spacing w:after="0" w:line="5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While the full impact of COVID-19 on our long-term liquidity remains uncertain, we currently believe that our cash and cash equivalents, including funds from the 6.375% 2025 Notes and availability under our revolving credit facility, will be adequate to meet anticipated cash requirements to fund working capital, capital spending, debt service obligations, refinancings, dividends and other cash needs. We have no significant debt maturities due until 2023 and, with the additional funds from the 6.375% 2025 Notes and the covenant relief attained as a result of the credit agreement amendment implemented in April 2020, we believe we have sufficient flexibility to manage the impact of COVID-19, based on our current assumptions.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additional information regarding the impact of COVID-19, including on our liquidity and capital resources, see Part I, Item 1A, "Risk Factors" in our Annual Report on Form 10-K filed with the SEC on November 24, 2020.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activity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1, 2021</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27, 2019</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r>
    </w:tbl>
    <w:p>
      <w:pPr>
        <w:spacing w:after="0" w:line="360" w:lineRule="exact"/>
        <w:rPr>
          <w:sz w:val="20"/>
          <w:szCs w:val="20"/>
          <w:color w:val="auto"/>
        </w:rPr>
      </w:pPr>
    </w:p>
    <w:p>
      <w:pPr>
        <w:ind w:right="2040"/>
        <w:spacing w:after="0" w:line="360" w:lineRule="auto"/>
        <w:rPr>
          <w:sz w:val="20"/>
          <w:szCs w:val="20"/>
          <w:color w:val="auto"/>
        </w:rPr>
      </w:pPr>
      <w:r>
        <w:rPr>
          <w:rFonts w:ascii="Times New Roman" w:cs="Times New Roman" w:eastAsia="Times New Roman" w:hAnsi="Times New Roman"/>
          <w:sz w:val="18"/>
          <w:szCs w:val="18"/>
          <w:color w:val="auto"/>
        </w:rPr>
        <w:t xml:space="preserve">Reference to the Condensed Consolidated Statements of Cash Flows will facilitate understanding of the discussion that follows. </w:t>
      </w:r>
      <w:r>
        <w:rPr>
          <w:rFonts w:ascii="Times New Roman" w:cs="Times New Roman" w:eastAsia="Times New Roman" w:hAnsi="Times New Roman"/>
          <w:sz w:val="18"/>
          <w:szCs w:val="18"/>
          <w:b w:val="1"/>
          <w:bCs w:val="1"/>
          <w:i w:val="1"/>
          <w:iCs w:val="1"/>
          <w:color w:val="auto"/>
        </w:rPr>
        <w:t>Cash Flows Used in Operating Activities</w:t>
      </w:r>
    </w:p>
    <w:p>
      <w:pPr>
        <w:ind w:right="380"/>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decreased by approximately $194.3 million during the three month period of fiscal 2021 compared to the three month period of fiscal 2020, primarily driven by a lower use of cash of $472.9 million in operating assets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540"/>
        <w:spacing w:after="0" w:line="312" w:lineRule="auto"/>
        <w:rPr>
          <w:sz w:val="20"/>
          <w:szCs w:val="20"/>
          <w:color w:val="auto"/>
        </w:rPr>
      </w:pPr>
      <w:r>
        <w:rPr>
          <w:rFonts w:ascii="Times New Roman" w:cs="Times New Roman" w:eastAsia="Times New Roman" w:hAnsi="Times New Roman"/>
          <w:sz w:val="17"/>
          <w:szCs w:val="17"/>
          <w:color w:val="auto"/>
        </w:rPr>
        <w:t>and liabilities, partially offset by a $227.3 million decline in net (loss) income from the negative impact of COVID-19 on our business operations as discussed above. The $472.9 million change in operating assets and liabilities compared to the prior year period was primarily due to the following:</w:t>
      </w:r>
    </w:p>
    <w:p>
      <w:pPr>
        <w:spacing w:after="0" w:line="5" w:lineRule="exact"/>
        <w:rPr>
          <w:sz w:val="20"/>
          <w:szCs w:val="20"/>
          <w:color w:val="auto"/>
        </w:rPr>
      </w:pPr>
    </w:p>
    <w:p>
      <w:pPr>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Accrued expenses was less of a use of cash by $263.2 million during the three month period of fiscal 2021 compared to the three month period of fiscal 2020 primarily due to the following: lower revenues in the current year period compared to the prior year period from lower client advances within our Higher Education business as a result of COVID-19; lower payments related to the annual bonus offset by the current year accrual; lower payments of payroll taxes related to the deferral of payments allowed under the CARES Act; and lower commission payments in our Sports business;</w:t>
      </w:r>
    </w:p>
    <w:p>
      <w:pPr>
        <w:spacing w:after="0" w:line="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Receivables was less of a use of cash by $108.6 million during the three month period of fiscal 2021 compared to the three month period of fiscal 2020 due to the timing of collections and lower revenue from the impact of COVID-19; and</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Accounts payable was less of a use of cash by $103.4 million during the three month period of fiscal 2021 compared to the three month period of fiscal 2020 due to the timing of disbursements and lower purchasing levels from the impact of COVID-19, mainly in our FSS United States and FSS International segments.</w:t>
      </w:r>
    </w:p>
    <w:p>
      <w:pPr>
        <w:spacing w:after="0" w:line="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three month period of fiscal 2021 includes approximately $35.1 million of proceeds associated with labor related tax credits from many foreign jurisdictions in which we operate as a form of relief from COVID-19 (see Note 1 to the condensed consolidated financial statements). In addition, we received proceeds of approximately $38.3 million from U.S. governmental entities related to refunds from an accounting method change from a prior tax return year and estimated tax payments being higher than actual due to the impact of COVID-19. During the three month periods of fiscal 2021 and fiscal 2020, we received proceeds of approximately $17.0 million and $12.5 million, respectively, related to favorable loss experience in older insurance years under our general liability, automobile liability and workers' compensation programs. The "Other operating activities" caption reflects adjustments to net (loss) income in the current year and prior year periods related to non-cash charges and adjustments to non-operating gains.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net cash flows used in investing activities were higher during the three month period of fiscal 2021 compared to the three month period of fiscal 2020 due to an increase in acquisitions and from an investment to a client that is reimbursable. These increases were partially offset by lower levels of capital expenditures. The "Proceeds from governmental agencies related to property and equipment" caption includes approximately $10.0 million and $15.3 million of proceeds during the three month periods of fiscal 2021 and 2020, respectively, relating to the recovery of our investment (possessory interest) at one of the National Park Service sites within our Sports, Leisure &amp; Corrections sector.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 period of fiscal 2021,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borrowings under the U.S. revolving credit facility ($780.0 million);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under the Receivables Facility ($315.6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repayments of term loan borrowings ($16.5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 period of fiscal 2020, cash provided by financing activities was impacted by the following:</w:t>
      </w:r>
    </w:p>
    <w:p>
      <w:pPr>
        <w:spacing w:after="0" w:line="9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funding under the Receivables Facility ($450.0 million);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issuance of common stock as a result of higher stock option exercises ($26.1 million).</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"Other financing activities" caption also reflects a use of cash during the three month periods of fiscal 2021 and fiscal 2020, primarily related to taxes paid by us when we withhold shares upon an employee's exercise or vesting of equity awards to cover income taxes.</w:t>
      </w:r>
    </w:p>
    <w:p>
      <w:pPr>
        <w:spacing w:after="0" w:line="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Amendment No. 9 ("Amendment No. 9") to the credit agreement, dated as of March 28, 2017, (as supplemented or otherwise modified from time to time, the “Credit Agreement”) entered into during the third quarter of fiscal 2020, we cannot make any future share repurchases as long as the covenant compliance waiver remains in effect (see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January 1, 2021, we were in compliance with these covenants.</w:t>
      </w:r>
    </w:p>
    <w:p>
      <w:pPr>
        <w:spacing w:after="0" w:line="45"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accordance with Amendment No. 9 to the Credit Agreement entered into during the third quarter of fiscal 2020, a covenant waiver period is in effect during the three months ended January 1, 2021, as the amendment suspends the Consolidated Secured Debt Ratio covenant required under the Credit Agreement for four fiscal quarters, commencing with the fourth quarter of fiscal 2020 through the third quarter of fiscal 2021. Additionally, in accordance with Amendment No. 9, we cannot make any future share repurchases as long as the covenant compliance waiver remains in effect. For additional information regarding the covenant waiver period and related provisions, see Part I, Item 7, "Liquidity and Capital Resources" in our Annual Report on Form 10-K filed with the SEC on November 24, 2020.</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(loss) or operating income (loss) determined in accordance with U.S. GAAP. Covenant Adjusted EBITDA, as presented by us, may not be comparable to other similarly titled measures of other companies because not all companies use identical calculations.</w:t>
      </w:r>
    </w:p>
    <w:p>
      <w:pPr>
        <w:spacing w:after="0" w:line="5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following is a reconciliation of net loss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w w:val="99"/>
              </w:rPr>
              <w:t>Twelve Months Ended</w:t>
            </w:r>
          </w:p>
        </w:tc>
        <w:tc>
          <w:tcPr>
            <w:tcW w:w="0" w:type="dxa"/>
            <w:vAlign w:val="bottom"/>
          </w:tcPr>
          <w:p>
            <w:pPr>
              <w:spacing w:after="0"/>
              <w:rPr>
                <w:sz w:val="1"/>
                <w:szCs w:val="1"/>
                <w:color w:val="auto"/>
              </w:rPr>
            </w:pPr>
          </w:p>
        </w:tc>
      </w:tr>
      <w:tr>
        <w:trPr>
          <w:trHeight w:val="20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January 1, 2021</w:t>
            </w: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loss attributable to ASI stockholder</w:t>
            </w:r>
          </w:p>
        </w:tc>
        <w:tc>
          <w:tcPr>
            <w:tcW w:w="50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0" w:type="dxa"/>
            <w:vAlign w:val="bottom"/>
          </w:tcPr>
          <w:p>
            <w:pPr>
              <w:spacing w:after="0"/>
              <w:rPr>
                <w:sz w:val="1"/>
                <w:szCs w:val="1"/>
                <w:color w:val="auto"/>
              </w:rPr>
            </w:pPr>
          </w:p>
        </w:tc>
      </w:tr>
      <w:tr>
        <w:trPr>
          <w:trHeight w:val="230"/>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financing costs, net</w:t>
            </w:r>
          </w:p>
        </w:tc>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5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30"/>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9"/>
                <w:szCs w:val="9"/>
                <w:color w:val="auto"/>
              </w:rPr>
              <w:t>(1)</w:t>
            </w:r>
          </w:p>
        </w:tc>
        <w:tc>
          <w:tcPr>
            <w:tcW w:w="5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Unusual or non-recurring (gains) and losses</w:t>
            </w:r>
            <w:r>
              <w:rPr>
                <w:rFonts w:ascii="Times New Roman" w:cs="Times New Roman" w:eastAsia="Times New Roman" w:hAnsi="Times New Roman"/>
                <w:sz w:val="9"/>
                <w:szCs w:val="9"/>
                <w:color w:val="auto"/>
              </w:rPr>
              <w:t>(2)</w:t>
            </w:r>
          </w:p>
        </w:tc>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 forma EBITDA for equity method investees</w:t>
            </w:r>
            <w:r>
              <w:rPr>
                <w:rFonts w:ascii="Times New Roman" w:cs="Times New Roman" w:eastAsia="Times New Roman" w:hAnsi="Times New Roman"/>
                <w:sz w:val="9"/>
                <w:szCs w:val="9"/>
                <w:color w:val="auto"/>
              </w:rPr>
              <w:t>(3)</w:t>
            </w:r>
          </w:p>
        </w:tc>
        <w:tc>
          <w:tcPr>
            <w:tcW w:w="5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 forma EBITDA for certain transactions</w:t>
            </w:r>
            <w:r>
              <w:rPr>
                <w:rFonts w:ascii="Times New Roman" w:cs="Times New Roman" w:eastAsia="Times New Roman" w:hAnsi="Times New Roman"/>
                <w:sz w:val="9"/>
                <w:szCs w:val="9"/>
                <w:color w:val="auto"/>
              </w:rPr>
              <w:t>(4)</w:t>
            </w:r>
          </w:p>
        </w:tc>
        <w:tc>
          <w:tcPr>
            <w:tcW w:w="5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(5)</w:t>
            </w:r>
          </w:p>
        </w:tc>
        <w:tc>
          <w:tcPr>
            <w:tcW w:w="50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0" w:type="dxa"/>
            <w:vAlign w:val="bottom"/>
          </w:tcPr>
          <w:p>
            <w:pPr>
              <w:spacing w:after="0"/>
              <w:rPr>
                <w:sz w:val="1"/>
                <w:szCs w:val="1"/>
                <w:color w:val="auto"/>
              </w:rPr>
            </w:pPr>
          </w:p>
        </w:tc>
      </w:tr>
      <w:tr>
        <w:trPr>
          <w:trHeight w:val="223"/>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Covenant Adjusted EBITDA</w:t>
            </w:r>
          </w:p>
        </w:tc>
        <w:tc>
          <w:tcPr>
            <w:tcW w:w="5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020" w:type="dxa"/>
            <w:vAlign w:val="bottom"/>
            <w:vMerge w:val="restart"/>
          </w:tcPr>
          <w:p>
            <w:pPr>
              <w:jc w:val="right"/>
              <w:ind w:right="379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58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80" w:type="dxa"/>
            <w:vAlign w:val="bottom"/>
            <w:tcBorders>
              <w:bottom w:val="single" w:sz="8" w:color="9A9A9A"/>
            </w:tcBorders>
          </w:tcPr>
          <w:p>
            <w:pPr>
              <w:spacing w:after="0"/>
              <w:rPr>
                <w:sz w:val="14"/>
                <w:szCs w:val="14"/>
                <w:color w:val="auto"/>
              </w:rPr>
            </w:pPr>
          </w:p>
        </w:tc>
        <w:tc>
          <w:tcPr>
            <w:tcW w:w="50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right="20" w:hanging="492"/>
        <w:spacing w:after="0" w:line="282" w:lineRule="auto"/>
        <w:tabs>
          <w:tab w:leader="none" w:pos="4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expense resulting from the application of accounting for stock options, restricted stock units, performance stock units and deferred stock unit awards (see Note 9 to the condensed consolidated financial statements).</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fiscal 2020 non-cash impairment charge related to goodwill.</w:t>
      </w:r>
    </w:p>
    <w:p>
      <w:pPr>
        <w:spacing w:after="0" w:line="103"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estimated share of EBITDA, primarily from our AIM Services Co., Ltd. equity method investment, not already reflected in our Net loss attributable to ASI stockholder. EBITDA for this equity method investee is calculated in a manner consistent with consolidated Covenant Adjusted EBITDA but does not represent cash distributions received from this investee.</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annualizing of net EBITDA from acquisitions made during the period.</w:t>
      </w:r>
    </w:p>
    <w:p>
      <w:pPr>
        <w:spacing w:after="0" w:line="103" w:lineRule="exact"/>
        <w:rPr>
          <w:rFonts w:ascii="Times New Roman" w:cs="Times New Roman" w:eastAsia="Times New Roman" w:hAnsi="Times New Roman"/>
          <w:sz w:val="18"/>
          <w:szCs w:val="18"/>
          <w:color w:val="auto"/>
        </w:rPr>
      </w:pPr>
    </w:p>
    <w:p>
      <w:pPr>
        <w:ind w:left="500" w:right="80" w:hanging="492"/>
        <w:spacing w:after="0" w:line="253" w:lineRule="auto"/>
        <w:tabs>
          <w:tab w:leader="none" w:pos="4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twelve months ended January 1, 2021, includes labor charges, incremental expenses and other expenses associated with closed or partially closed client locations resulting from the COVID-19 pandemic, net of U.S. and non-U.S. governmental labor related credits ($244.0 million), severance charges ($156.3 million), non-cash impairment charges related to various assets ($34.3 million), non-cash charge related to operating lease right-of-use assets, property and equipment and other assets from disposal by abandonment of certain rental properties ($28.5 million), non-cash charges related to information technology assets ($26.1 million), adjustments to remove the impact attributable to the adoption of certain accounting standards that are made to the calculation in accordance with the Credit Agreement and indentures ($24.1 million), expenses related to merger and integration related charges ($21.7 million), charges related to a client contract dispute ($17.9 million), gain from the insurance proceeds received related to property damage from a tornado in Nashville ($16.3 million), a favorable non-cash settlement of a multiemployer pension plan obligation ($6.7 million), non-cash charge for excess inventory ($5.0 million), the impact of hyperinflation in Argentina ($2.5 million) and other miscellaneous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covenant requirement and actual ratio for the twelve months ended January 1, 2021 are as follows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89"/>
        </w:trPr>
        <w:tc>
          <w:tcPr>
            <w:tcW w:w="770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223"/>
        </w:trPr>
        <w:tc>
          <w:tcPr>
            <w:tcW w:w="7700" w:type="dxa"/>
            <w:vAlign w:val="bottom"/>
            <w:tcBorders>
              <w:top w:val="single" w:sz="8" w:color="CCEEFF"/>
            </w:tcBorders>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Interest Coverage Ratio (Fixed Charge Coverage Ratio)</w:t>
            </w:r>
            <w:r>
              <w:rPr>
                <w:rFonts w:ascii="Times New Roman" w:cs="Times New Roman" w:eastAsia="Times New Roman" w:hAnsi="Times New Roman"/>
                <w:sz w:val="23"/>
                <w:szCs w:val="23"/>
                <w:color w:val="auto"/>
                <w:vertAlign w:val="superscript"/>
              </w:rPr>
              <w:t>(2)</w:t>
            </w:r>
          </w:p>
        </w:tc>
        <w:tc>
          <w:tcPr>
            <w:tcW w:w="172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2.000x</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bl>
    <w:p>
      <w:pPr>
        <w:spacing w:after="0" w:line="171" w:lineRule="exact"/>
        <w:rPr>
          <w:sz w:val="20"/>
          <w:szCs w:val="20"/>
          <w:color w:val="auto"/>
        </w:rPr>
      </w:pPr>
    </w:p>
    <w:p>
      <w:pPr>
        <w:ind w:left="500" w:right="520" w:hanging="492"/>
        <w:spacing w:after="0" w:line="282" w:lineRule="auto"/>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waiver period for the Consolidated Secured Debt Ratio covenant is in effect for the fourth quarter of fiscal 2020 through the third quarter of fiscal 2021.</w:t>
      </w:r>
    </w:p>
    <w:p>
      <w:pPr>
        <w:spacing w:after="0" w:line="26" w:lineRule="exact"/>
        <w:rPr>
          <w:rFonts w:ascii="Times New Roman" w:cs="Times New Roman" w:eastAsia="Times New Roman" w:hAnsi="Times New Roman"/>
          <w:sz w:val="18"/>
          <w:szCs w:val="18"/>
          <w:color w:val="auto"/>
        </w:rPr>
      </w:pPr>
    </w:p>
    <w:p>
      <w:pPr>
        <w:ind w:left="500" w:right="80" w:hanging="492"/>
        <w:spacing w:after="0" w:line="252" w:lineRule="auto"/>
        <w:tabs>
          <w:tab w:leader="none" w:pos="4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our failure to maintain the minimum Interest Coverage Ratio does not result in a default or an event of default under either the Credit Agreement or the indentures governing the senior notes.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 Due to the impact of COVID-19 on our financial results, we may fall below the covenant requirement of 2.000x related to this financial ratio in future periods, which may occur as early as our second quarter of fiscal 2021. We believe any short-term failure to maintain this ratio at the 2.000x level will not have a material impact on our business, results of operations or capital market strategies.</w:t>
      </w:r>
    </w:p>
    <w:p>
      <w:pPr>
        <w:spacing w:after="0" w:line="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Subject to restrictions imposed upon us during the covenant waiver period in accordance with Amendment No. 9 to the Credit Agreement, 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activities do not include the use of unconsolidated special purpose entities and there are no significant business transactions that have not been reflected in the accompanying financial statements. We insure portions of our general liability, automobile liability and workers’ compensation risks through a wholly owned captive insurance subsidiary (the "Captive") to enhance our risk financing strategies. The Captive is subject to the regulations within its domicile of Bermuda, including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regulations established by the Bermuda Monetary Authority (the "BMA") relating to levels of liquidity and solvency as such concepts are defined by the BMA. The Captive was in compliance with these regulations as of January 1, 2021. These regulations may have the effect of limiting our ability to access certain cash and cash equivalents held by the Captive for uses other than for the payment of our general liability, automobile liability and workers’ compensation claims and related Captive costs. As of January 1, 2021 and October 2, 2020, cash and cash equivalents at the Captive were $118.7 million and $92.1 million, respectively.</w:t>
      </w:r>
    </w:p>
    <w:p>
      <w:pPr>
        <w:spacing w:after="0" w:line="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 2021, our stockholders approved the Third Amended and Restated 2013 Stock Incentive Plan, which amends and restates our 2013 Incentive Plan last amended on January 29, 2020. The Third Amended and Restated 2013 Stock Incentive Plan provides for up to 3.5 million of new shares authorized for issuance to participants, in addition to the shares that remained available for issuance under the 2013 Incentive Plan as of February 2, 2021.</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2, 2021, our stockholders approved the Aramark 2021 Employee Stock Purchase Plan (“ESPP”). The ESPP allows eligible employees to contribute up to 10% of their eligible pay toward the quarterly purchase of our common stock, subject to an annual maximum dollar amount. The purchase price is 85% of the lesser of the i) fair market value per share of our common stock as determined on the purchase date or ii) fair market value per share of our common stock as determined on the first trading day of the quarterly offering period. The aggregate number of shares of common stock that may be issued under the ESPP may not exceed 12.5 million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Consolidating Information</w:t>
      </w:r>
    </w:p>
    <w:p>
      <w:pPr>
        <w:spacing w:after="0" w:line="9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the notes to the consolidated financial statements included in our Form 10-K, filed with the SEC on November 24, 2020. As described in such notes, we recognize revenue in the period in which the performance obligation is satisfied.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24, 2020.</w:t>
      </w:r>
    </w:p>
    <w:p>
      <w:pPr>
        <w:spacing w:after="0" w:line="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Updates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full description of recent accounting standard updates, including the expected dates of adoption.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January 1, 2021 has not materially changed from October 2, 2020 (see Item 7A "Quantitative and Qualitative Disclosure About Market Risk" in our Form 10-K for the fiscal year ended October 2, 2020 filed with the SEC on November 24, 2020). During the first quarter of fiscal 2021, we repaid $780.0 million principal amount outstanding on the U.S. revolving credit facility and $315.6 million of outstanding borrowings under the Receivables Facility. See Note 4 to the condensed consolidated financial statements related to the changes in our debt levels.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5 to the condensed consolidated financial statements for a discussion of our derivative instruments and Note 13 for the disclosure of the fair value and related carrying value of our debt obligations as of January 1, 2021.</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first quarter of fiscal 2021 that has materially affected, or is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January 1, 2021.</w:t>
      </w:r>
    </w:p>
    <w:p>
      <w:pPr>
        <w:spacing w:after="0" w:line="4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1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February 9, 2021.</w:t>
      </w:r>
    </w:p>
    <w:p>
      <w:pPr>
        <w:spacing w:after="0" w:line="67" w:lineRule="exact"/>
        <w:rPr>
          <w:sz w:val="20"/>
          <w:szCs w:val="20"/>
          <w:color w:val="auto"/>
        </w:rPr>
      </w:pPr>
    </w:p>
    <w:tbl>
      <w:tblPr>
        <w:tblLayout w:type="fixed"/>
        <w:tblInd w:w="576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Aramark</w:t>
            </w:r>
          </w:p>
        </w:tc>
        <w:tc>
          <w:tcPr>
            <w:tcW w:w="4500" w:type="dxa"/>
            <w:vAlign w:val="bottom"/>
          </w:tcPr>
          <w:p>
            <w:pPr>
              <w:spacing w:after="0"/>
              <w:rPr>
                <w:sz w:val="20"/>
                <w:szCs w:val="20"/>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G. ONDROF</w:t>
            </w:r>
          </w:p>
        </w:tc>
      </w:tr>
      <w:tr>
        <w:trPr>
          <w:trHeight w:val="171"/>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Thomas G. Ondrof</w:t>
            </w:r>
          </w:p>
        </w:tc>
      </w:tr>
      <w:tr>
        <w:trPr>
          <w:trHeight w:val="146"/>
        </w:trPr>
        <w:tc>
          <w:tcPr>
            <w:tcW w:w="980" w:type="dxa"/>
            <w:vAlign w:val="bottom"/>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Title:</w:t>
            </w:r>
          </w:p>
        </w:tc>
        <w:tc>
          <w:tcPr>
            <w:tcW w:w="4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Executive Vice President and Chief Financial Officer (Principal</w:t>
            </w:r>
          </w:p>
        </w:tc>
      </w:tr>
      <w:tr>
        <w:trPr>
          <w:trHeight w:val="135"/>
        </w:trPr>
        <w:tc>
          <w:tcPr>
            <w:tcW w:w="980" w:type="dxa"/>
            <w:vAlign w:val="bottom"/>
          </w:tcPr>
          <w:p>
            <w:pPr>
              <w:spacing w:after="0"/>
              <w:rPr>
                <w:sz w:val="11"/>
                <w:szCs w:val="11"/>
                <w:color w:val="auto"/>
              </w:rPr>
            </w:pPr>
          </w:p>
        </w:tc>
        <w:tc>
          <w:tcPr>
            <w:tcW w:w="4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Financial Officer, Principal Accounting Officer and Authorized</w:t>
            </w:r>
          </w:p>
        </w:tc>
      </w:tr>
      <w:tr>
        <w:trPr>
          <w:trHeight w:val="190"/>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3" w:name="page34"/>
    <w:bookmarkEnd w:id="33"/>
    <w:p>
      <w:pPr>
        <w:jc w:val="center"/>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06" w:lineRule="exact"/>
        <w:rPr>
          <w:sz w:val="20"/>
          <w:szCs w:val="20"/>
          <w:color w:val="auto"/>
        </w:rPr>
      </w:pPr>
    </w:p>
    <w:p>
      <w:pPr>
        <w:ind w:left="60"/>
        <w:spacing w:after="0"/>
        <w:tabs>
          <w:tab w:leader="none" w:pos="548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20955</wp:posOffset>
            </wp:positionV>
            <wp:extent cx="70465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1" w:lineRule="exact"/>
        <w:rPr>
          <w:sz w:val="20"/>
          <w:szCs w:val="20"/>
          <w:color w:val="auto"/>
        </w:rPr>
      </w:pPr>
    </w:p>
    <w:p>
      <w:pPr>
        <w:ind w:left="820" w:right="260" w:hanging="368"/>
        <w:spacing w:after="0" w:line="237" w:lineRule="auto"/>
        <w:tabs>
          <w:tab w:leader="none" w:pos="800" w:val="left"/>
        </w:tabs>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54">
        <w:r>
          <w:rPr>
            <w:rFonts w:ascii="Times New Roman" w:cs="Times New Roman" w:eastAsia="Times New Roman" w:hAnsi="Times New Roman"/>
            <w:sz w:val="18"/>
            <w:szCs w:val="18"/>
            <w:u w:val="single" w:color="auto"/>
            <w:color w:val="0000FF"/>
          </w:rPr>
          <w:t>Third Amended and Restated By-Laws of Aramark (incorporated by reference to Exhibit 3.1 to Aramark’s Current Report on Form 8-K</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filed with the SEC on December 16, 2020,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820" w:right="60" w:hanging="458"/>
        <w:spacing w:after="0" w:line="213" w:lineRule="auto"/>
        <w:tabs>
          <w:tab w:leader="none" w:pos="800" w:val="left"/>
        </w:tabs>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55">
        <w:r>
          <w:rPr>
            <w:rFonts w:ascii="Times New Roman" w:cs="Times New Roman" w:eastAsia="Times New Roman" w:hAnsi="Times New Roman"/>
            <w:sz w:val="18"/>
            <w:szCs w:val="18"/>
            <w:u w:val="single" w:color="auto"/>
            <w:color w:val="0000FF"/>
          </w:rPr>
          <w:t>Amendment No. 10, dated as of November 12, 2020, among Aramark Services, Inc., Aramark Intermediate HoldCo Corporation,</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ARAMARK Canada Ltd., ARAMARK Investments Limited, ARAMARK Limited, ARAMARK Ireland Holdings Limited, ARAMARK</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Regional Treasury Europe, Designated Activity Company, ARAMARK Holdings Deutschland GMBH (as successor by merger to</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ARAMARK Holdings GmbH &amp; Co. KG), Aramark International Finance S.à r.l., each lender party thereto and JPMorgan Chase Bank,</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N.A. as administrative agent (incorporated by reference to Exhibit 10.11 to Aramark’s Annual Report on Form 10-K filed with the SEC on</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November 24, 2020 pursuant to the Exchange Act (file number 001-36223)).</w:t>
        </w:r>
      </w:hyperlink>
    </w:p>
    <w:p>
      <w:pPr>
        <w:spacing w:after="0" w:line="5" w:lineRule="exact"/>
        <w:rPr>
          <w:rFonts w:ascii="Times New Roman" w:cs="Times New Roman" w:eastAsia="Times New Roman" w:hAnsi="Times New Roman"/>
          <w:sz w:val="18"/>
          <w:szCs w:val="18"/>
          <w:u w:val="single" w:color="auto"/>
          <w:color w:val="0000FF"/>
        </w:rPr>
      </w:pPr>
    </w:p>
    <w:p>
      <w:pPr>
        <w:jc w:val="both"/>
        <w:ind w:left="820" w:right="100" w:hanging="458"/>
        <w:spacing w:after="0" w:line="224" w:lineRule="auto"/>
        <w:tabs>
          <w:tab w:leader="none" w:pos="800" w:val="left"/>
        </w:tabs>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56">
        <w:r>
          <w:rPr>
            <w:rFonts w:ascii="Times New Roman" w:cs="Times New Roman" w:eastAsia="Times New Roman" w:hAnsi="Times New Roman"/>
            <w:sz w:val="18"/>
            <w:szCs w:val="18"/>
            <w:u w:val="single" w:color="auto"/>
            <w:color w:val="0000FF"/>
          </w:rPr>
          <w:t>Registration Rights Agreement, dated as of December 14, 2020, by and between MR BridgeStone Advisor LLC, on behalf of itself and its</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affiliated funds, and Aramark (incorporated by reference to Exhibit 10.1 to Aramark’s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December 16, 2020, pursuant to the Exchange Act (file number 001-36223)).</w:t>
        </w:r>
      </w:hyperlink>
    </w:p>
    <w:p>
      <w:pPr>
        <w:spacing w:after="0" w:line="1" w:lineRule="exact"/>
        <w:rPr>
          <w:rFonts w:ascii="Times New Roman" w:cs="Times New Roman" w:eastAsia="Times New Roman" w:hAnsi="Times New Roman"/>
          <w:sz w:val="18"/>
          <w:szCs w:val="18"/>
          <w:u w:val="single" w:color="auto"/>
          <w:color w:val="0000FF"/>
        </w:rPr>
      </w:pPr>
    </w:p>
    <w:p>
      <w:pPr>
        <w:ind w:left="820" w:right="440" w:hanging="548"/>
        <w:spacing w:after="0" w:line="234" w:lineRule="auto"/>
        <w:tabs>
          <w:tab w:leader="none" w:pos="800" w:val="left"/>
        </w:tabs>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w:anchor="page35">
        <w:r>
          <w:rPr>
            <w:rFonts w:ascii="Times New Roman" w:cs="Times New Roman" w:eastAsia="Times New Roman" w:hAnsi="Times New Roman"/>
            <w:sz w:val="18"/>
            <w:szCs w:val="18"/>
            <w:u w:val="single" w:color="auto"/>
            <w:color w:val="0000FF"/>
          </w:rPr>
          <w:t>Letter Amendment to Stewardship Framework Agreement by and between Aramark and MR BridgeStone Advisor LLC, on behalf of</w:t>
        </w:r>
      </w:hyperlink>
      <w:r>
        <w:rPr>
          <w:rFonts w:ascii="Times New Roman" w:cs="Times New Roman" w:eastAsia="Times New Roman" w:hAnsi="Times New Roman"/>
          <w:sz w:val="18"/>
          <w:szCs w:val="18"/>
          <w:u w:val="single" w:color="auto"/>
          <w:color w:val="0000FF"/>
        </w:rPr>
        <w:t xml:space="preserve"> </w:t>
      </w:r>
      <w:hyperlink w:anchor="page35">
        <w:r>
          <w:rPr>
            <w:rFonts w:ascii="Times New Roman" w:cs="Times New Roman" w:eastAsia="Times New Roman" w:hAnsi="Times New Roman"/>
            <w:sz w:val="18"/>
            <w:szCs w:val="18"/>
            <w:u w:val="single" w:color="auto"/>
            <w:color w:val="0000FF"/>
          </w:rPr>
          <w:t>itself and its affiliated funds, dated December 14, 2020.</w:t>
        </w:r>
      </w:hyperlink>
    </w:p>
    <w:p>
      <w:pPr>
        <w:spacing w:after="0" w:line="1" w:lineRule="exact"/>
        <w:rPr>
          <w:rFonts w:ascii="Times New Roman" w:cs="Times New Roman" w:eastAsia="Times New Roman" w:hAnsi="Times New Roman"/>
          <w:sz w:val="18"/>
          <w:szCs w:val="18"/>
          <w:u w:val="single" w:color="auto"/>
          <w:color w:val="0000FF"/>
        </w:rPr>
      </w:pPr>
    </w:p>
    <w:p>
      <w:pPr>
        <w:ind w:left="280"/>
        <w:spacing w:after="0"/>
        <w:tabs>
          <w:tab w:leader="none" w:pos="800" w:val="left"/>
        </w:tabs>
        <w:rPr>
          <w:rFonts w:ascii="Times New Roman" w:cs="Times New Roman" w:eastAsia="Times New Roman" w:hAnsi="Times New Roman"/>
          <w:sz w:val="17"/>
          <w:szCs w:val="17"/>
          <w:u w:val="single" w:color="auto"/>
          <w:color w:val="0000FF"/>
        </w:rPr>
      </w:pPr>
      <w:hyperlink w:anchor="page37">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u w:val="single" w:color="auto"/>
          <w:color w:val="0000FF"/>
        </w:rPr>
        <w:tab/>
      </w:r>
      <w:hyperlink w:anchor="page37">
        <w:r>
          <w:rPr>
            <w:rFonts w:ascii="Times New Roman" w:cs="Times New Roman" w:eastAsia="Times New Roman" w:hAnsi="Times New Roman"/>
            <w:sz w:val="17"/>
            <w:szCs w:val="17"/>
            <w:u w:val="single" w:color="auto"/>
            <w:color w:val="0000FF"/>
          </w:rPr>
          <w:t>Certification of John J. Zillmer, Chief Executive Officer, pursuant to Section 302 of the Sarbanes-Oxley Act of 2002.</w:t>
        </w:r>
      </w:hyperlink>
    </w:p>
    <w:p>
      <w:pPr>
        <w:spacing w:after="0" w:line="23" w:lineRule="exact"/>
        <w:rPr>
          <w:sz w:val="20"/>
          <w:szCs w:val="20"/>
          <w:color w:val="auto"/>
        </w:rPr>
      </w:pPr>
    </w:p>
    <w:p>
      <w:pPr>
        <w:ind w:left="280"/>
        <w:spacing w:after="0"/>
        <w:tabs>
          <w:tab w:leader="none" w:pos="800" w:val="left"/>
        </w:tabs>
        <w:rPr>
          <w:rFonts w:ascii="Times New Roman" w:cs="Times New Roman" w:eastAsia="Times New Roman" w:hAnsi="Times New Roman"/>
          <w:sz w:val="17"/>
          <w:szCs w:val="17"/>
          <w:u w:val="single" w:color="auto"/>
          <w:color w:val="0000FF"/>
        </w:rPr>
      </w:pPr>
      <w:hyperlink w:anchor="page38">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color w:val="0000FF"/>
        </w:rPr>
        <w:tab/>
      </w:r>
      <w:hyperlink w:anchor="page38">
        <w:r>
          <w:rPr>
            <w:rFonts w:ascii="Times New Roman" w:cs="Times New Roman" w:eastAsia="Times New Roman" w:hAnsi="Times New Roman"/>
            <w:sz w:val="17"/>
            <w:szCs w:val="17"/>
            <w:u w:val="single" w:color="auto"/>
            <w:color w:val="0000FF"/>
          </w:rPr>
          <w:t>Certification of Thomas G. Ondrof, Chief Financial Officer, pursuant to Section 302 of the Sarbanes-Oxley Act of 2002</w:t>
        </w:r>
        <w:r>
          <w:rPr>
            <w:rFonts w:ascii="Times New Roman" w:cs="Times New Roman" w:eastAsia="Times New Roman" w:hAnsi="Times New Roman"/>
            <w:sz w:val="17"/>
            <w:szCs w:val="17"/>
            <w:color w:val="0000FF"/>
          </w:rPr>
          <w:t>.</w:t>
        </w:r>
      </w:hyperlink>
    </w:p>
    <w:p>
      <w:pPr>
        <w:spacing w:after="0" w:line="23" w:lineRule="exact"/>
        <w:rPr>
          <w:sz w:val="20"/>
          <w:szCs w:val="20"/>
          <w:color w:val="auto"/>
        </w:rPr>
      </w:pPr>
    </w:p>
    <w:p>
      <w:pPr>
        <w:ind w:left="820" w:right="240" w:hanging="548"/>
        <w:spacing w:after="0" w:line="234" w:lineRule="auto"/>
        <w:tabs>
          <w:tab w:leader="none" w:pos="800" w:val="left"/>
        </w:tabs>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u w:val="single" w:color="auto"/>
          <w:color w:val="0000FF"/>
        </w:rPr>
        <w:tab/>
      </w:r>
      <w:hyperlink w:anchor="page39">
        <w:r>
          <w:rPr>
            <w:rFonts w:ascii="Times New Roman" w:cs="Times New Roman" w:eastAsia="Times New Roman" w:hAnsi="Times New Roman"/>
            <w:sz w:val="18"/>
            <w:szCs w:val="18"/>
            <w:u w:val="single" w:color="auto"/>
            <w:color w:val="0000FF"/>
          </w:rPr>
          <w:t>Certification of John J. Zillmer, Chief Executive Officer, and Thomas G. Ondrof, Chief Financial Officer, pursuant to Section 906 of the</w:t>
        </w:r>
      </w:hyperlink>
      <w:r>
        <w:rPr>
          <w:rFonts w:ascii="Times New Roman" w:cs="Times New Roman" w:eastAsia="Times New Roman" w:hAnsi="Times New Roman"/>
          <w:sz w:val="18"/>
          <w:szCs w:val="18"/>
          <w:u w:val="single" w:color="auto"/>
          <w:color w:val="0000FF"/>
        </w:rPr>
        <w:t xml:space="preserve"> </w:t>
      </w:r>
      <w:hyperlink w:anchor="page39">
        <w:r>
          <w:rPr>
            <w:rFonts w:ascii="Times New Roman" w:cs="Times New Roman" w:eastAsia="Times New Roman" w:hAnsi="Times New Roman"/>
            <w:sz w:val="18"/>
            <w:szCs w:val="18"/>
            <w:u w:val="single" w:color="auto"/>
            <w:color w:val="0000FF"/>
          </w:rPr>
          <w:t>Sarbanes-Oxley Act of 2002.</w:t>
        </w:r>
      </w:hyperlink>
    </w:p>
    <w:p>
      <w:pPr>
        <w:spacing w:after="0" w:line="1" w:lineRule="exact"/>
        <w:rPr>
          <w:rFonts w:ascii="Times New Roman" w:cs="Times New Roman" w:eastAsia="Times New Roman" w:hAnsi="Times New Roman"/>
          <w:sz w:val="18"/>
          <w:szCs w:val="18"/>
          <w:u w:val="single" w:color="auto"/>
          <w:color w:val="0000FF"/>
        </w:rPr>
      </w:pPr>
    </w:p>
    <w:p>
      <w:pPr>
        <w:ind w:left="820" w:right="60" w:hanging="414"/>
        <w:spacing w:after="0" w:line="212" w:lineRule="auto"/>
        <w:tabs>
          <w:tab w:leader="none" w:pos="820" w:val="left"/>
        </w:tabs>
        <w:numPr>
          <w:ilvl w:val="0"/>
          <w:numId w:val="21"/>
        </w:numPr>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The following financial information from Aramark's Quarterly Report on Form 10-Q for the period ended January 1, 2021 formatted in</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inline XBRL: (i) Condensed Consolidated Balance Sheets as of January 1, 2021 and October 2, 2020; (ii) Condensed Consolidated</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Statements of (Loss) Income for the three months ended January 1, 2021 and December 27, 2019; (iii) Condensed Consolidated</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Statements of Comprehensive (Loss) Income for the three ended January 1, 2021 and December 27, 2019; (iv) Condensed Consolidated</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Statements of Cash Flows for the three months ended January 1, 2021 and December 27, 2019; (v) Condensed Consolidated Statements of</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Stockholders' Equity for the three months ended January 1, 2021 and December 27, 2019; and (vi) Notes to condensed consolidated</w:t>
        </w:r>
      </w:hyperlink>
      <w:r>
        <w:rPr>
          <w:rFonts w:ascii="Times New Roman" w:cs="Times New Roman" w:eastAsia="Times New Roman" w:hAnsi="Times New Roman"/>
          <w:sz w:val="18"/>
          <w:szCs w:val="18"/>
          <w:u w:val="single" w:color="auto"/>
          <w:color w:val="0000FF"/>
        </w:rPr>
        <w:t xml:space="preserve"> </w:t>
      </w:r>
      <w:hyperlink w:anchor="page4">
        <w:r>
          <w:rPr>
            <w:rFonts w:ascii="Times New Roman" w:cs="Times New Roman" w:eastAsia="Times New Roman" w:hAnsi="Times New Roman"/>
            <w:sz w:val="18"/>
            <w:szCs w:val="18"/>
            <w:u w:val="single" w:color="auto"/>
            <w:color w:val="0000FF"/>
          </w:rPr>
          <w:t>financial statements.</w:t>
        </w:r>
      </w:hyperlink>
    </w:p>
    <w:p>
      <w:pPr>
        <w:spacing w:after="0" w:line="3" w:lineRule="exact"/>
        <w:rPr>
          <w:rFonts w:ascii="Times New Roman" w:cs="Times New Roman" w:eastAsia="Times New Roman" w:hAnsi="Times New Roman"/>
          <w:sz w:val="18"/>
          <w:szCs w:val="18"/>
          <w:u w:val="single" w:color="auto"/>
          <w:color w:val="0000FF"/>
        </w:rPr>
      </w:pPr>
    </w:p>
    <w:p>
      <w:pPr>
        <w:ind w:right="1080" w:firstLine="406"/>
        <w:spacing w:after="0" w:line="401" w:lineRule="auto"/>
        <w:tabs>
          <w:tab w:leader="none" w:pos="82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Exhibit 101 Inline XBRL document set. * Filed herewith.</w:t>
      </w:r>
    </w:p>
    <w:p>
      <w:pPr>
        <w:spacing w:after="0" w:line="194" w:lineRule="exact"/>
        <w:rPr>
          <w:rFonts w:ascii="Times New Roman" w:cs="Times New Roman" w:eastAsia="Times New Roman" w:hAnsi="Times New Roman"/>
          <w:sz w:val="18"/>
          <w:szCs w:val="18"/>
          <w:u w:val="single" w:color="auto"/>
          <w:color w:val="0000FF"/>
        </w:rPr>
      </w:pPr>
    </w:p>
    <w:p>
      <w:pPr>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18"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The XBRL instance document does not appear in the interactive data file because the XBRL tags are embedded within the inline XBRL document.</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jc w:val="center"/>
        <w:ind w:right="2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60"/>
          </w:cols>
          <w:pgMar w:left="660" w:top="1359"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ARAMARK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14,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BridgeStone Advisor LLC</w:t>
      </w:r>
    </w:p>
    <w:p>
      <w:pPr>
        <w:spacing w:after="0" w:line="221" w:lineRule="auto"/>
        <w:rPr>
          <w:sz w:val="20"/>
          <w:szCs w:val="20"/>
          <w:color w:val="auto"/>
        </w:rPr>
      </w:pPr>
      <w:r>
        <w:rPr>
          <w:rFonts w:ascii="Times New Roman" w:cs="Times New Roman" w:eastAsia="Times New Roman" w:hAnsi="Times New Roman"/>
          <w:sz w:val="18"/>
          <w:szCs w:val="18"/>
          <w:color w:val="auto"/>
        </w:rPr>
        <w:t>712 Fifth Avenue, Suite 17F</w:t>
      </w:r>
    </w:p>
    <w:p>
      <w:pPr>
        <w:spacing w:after="0" w:line="219" w:lineRule="auto"/>
        <w:rPr>
          <w:sz w:val="20"/>
          <w:szCs w:val="20"/>
          <w:color w:val="auto"/>
        </w:rPr>
      </w:pPr>
      <w:r>
        <w:rPr>
          <w:rFonts w:ascii="Times New Roman" w:cs="Times New Roman" w:eastAsia="Times New Roman" w:hAnsi="Times New Roman"/>
          <w:sz w:val="18"/>
          <w:szCs w:val="18"/>
          <w:color w:val="auto"/>
        </w:rPr>
        <w:t>New York, New York 10019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Paul C. Hilal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Stewardship Framework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Reference is made to (i) the Stewardship Framework Agreement, made and entered into effective as of October 6, 2019 (as amended or otherwise modified from time to time, the “</w:t>
      </w:r>
      <w:r>
        <w:rPr>
          <w:rFonts w:ascii="Times New Roman" w:cs="Times New Roman" w:eastAsia="Times New Roman" w:hAnsi="Times New Roman"/>
          <w:sz w:val="18"/>
          <w:szCs w:val="18"/>
          <w:u w:val="single" w:color="auto"/>
          <w:color w:val="auto"/>
        </w:rPr>
        <w:t>Stewardship Framework Agreement</w:t>
      </w:r>
      <w:r>
        <w:rPr>
          <w:rFonts w:ascii="Times New Roman" w:cs="Times New Roman" w:eastAsia="Times New Roman" w:hAnsi="Times New Roman"/>
          <w:sz w:val="18"/>
          <w:szCs w:val="18"/>
          <w:color w:val="auto"/>
        </w:rPr>
        <w:t>”), by and between Aramark (“</w:t>
      </w:r>
      <w:r>
        <w:rPr>
          <w:rFonts w:ascii="Times New Roman" w:cs="Times New Roman" w:eastAsia="Times New Roman" w:hAnsi="Times New Roman"/>
          <w:sz w:val="18"/>
          <w:szCs w:val="18"/>
          <w:u w:val="single" w:color="auto"/>
          <w:color w:val="auto"/>
        </w:rPr>
        <w:t>Aramark</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MR BridgeStone Advisor LLC (“</w:t>
      </w:r>
      <w:r>
        <w:rPr>
          <w:rFonts w:ascii="Times New Roman" w:cs="Times New Roman" w:eastAsia="Times New Roman" w:hAnsi="Times New Roman"/>
          <w:sz w:val="18"/>
          <w:szCs w:val="18"/>
          <w:u w:val="single" w:color="auto"/>
          <w:color w:val="auto"/>
        </w:rPr>
        <w:t>Mantle Ridge</w:t>
      </w:r>
      <w:r>
        <w:rPr>
          <w:rFonts w:ascii="Times New Roman" w:cs="Times New Roman" w:eastAsia="Times New Roman" w:hAnsi="Times New Roman"/>
          <w:sz w:val="18"/>
          <w:szCs w:val="18"/>
          <w:color w:val="auto"/>
        </w:rPr>
        <w:t>”), on behalf of itself and its affiliated funds and (ii) the Second Amended and Restated By-laws of Aramark (as amended or otherwise modified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Capitalized terms used but not defined herein shall have the meanings ascribed to them in the Stewardship Framework Agreement.</w:t>
      </w:r>
    </w:p>
    <w:p>
      <w:pPr>
        <w:spacing w:after="0" w:line="20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Section 1(c) of the Stewardship Framework Agreement provides that for a period of three (3) years after the date of the Stewardship Framework Agreement (such three-year anniversary, the “</w:t>
      </w:r>
      <w:r>
        <w:rPr>
          <w:rFonts w:ascii="Times New Roman" w:cs="Times New Roman" w:eastAsia="Times New Roman" w:hAnsi="Times New Roman"/>
          <w:sz w:val="18"/>
          <w:szCs w:val="18"/>
          <w:u w:val="single" w:color="auto"/>
          <w:color w:val="auto"/>
        </w:rPr>
        <w:t>Board Size Expiration Date</w:t>
      </w:r>
      <w:r>
        <w:rPr>
          <w:rFonts w:ascii="Times New Roman" w:cs="Times New Roman" w:eastAsia="Times New Roman" w:hAnsi="Times New Roman"/>
          <w:sz w:val="18"/>
          <w:szCs w:val="18"/>
          <w:color w:val="auto"/>
        </w:rPr>
        <w:t>”), the size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will not be more than eleven (11) directors. Notwithstanding such provision, Mantle Ridge agrees that the size of the Board may be increased to twelve (12) directors immediately prior to the Company’s 2021 annual meeting of stockholders (including any adjournments or postponements thereof, the “</w:t>
      </w:r>
      <w:r>
        <w:rPr>
          <w:rFonts w:ascii="Times New Roman" w:cs="Times New Roman" w:eastAsia="Times New Roman" w:hAnsi="Times New Roman"/>
          <w:sz w:val="18"/>
          <w:szCs w:val="18"/>
          <w:u w:val="single" w:color="auto"/>
          <w:color w:val="auto"/>
        </w:rPr>
        <w:t>2021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to permit the election to the Board at the 2021 Annual Meeting of the eleven (11) directors currently serving on the Board and one additional candidate approved by Mantle Ridge. If at any time prior to the Board Size Expiration Date, any director serving on the Board (other than the Mantle Ridge Director) ceases to serve on the Board for any reason, then the Company shall take all requisite action so that the size of the Board does not exceed eleven (11) directors at any time prior to the Board Size Expiration Date.</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Prior to the 2021 Annual Meeting, the Board shall adopt (i) an amendment to Article III, Section 1 of the Bylaws in a manner consistent with this letter agreement in a form reasonably acceptable to Mantle Ridge and (ii) resolutions providing for the increase in the size of the Board effective at the time of the 2021 Annual Meeting as permitted by this letter agreement.</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Except as expressly set forth herein, this letter agreement shall not, by implication or otherwise, constitute a waiver of any other term or provision of the Stewardship Framework Agreement, limit, impair, constitute a waiver of, or otherwise affect the rights and remedies of any of the parties under the Stewardship Framework Agreement, and shall not alter, modify, amend or in any way affect any of the terms, conditions, obligations, covenants or agreements contained in the Stewardship Framework Agreement, or waive, release or limit the exercise by the parties of any of their rights thereunder, all of which are ratified and affirmed in all respects and shall continue in full force and effect. This letter agreement may be executed in two or more counterparts, each of which will be considered one and the same agreement and will become effective when counterparts have been signed by each of the parties and delivered to the other party (including by means of electronic delivery or facsimile).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agreement with the foregoing, please so acknowledge by signing in the space provided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318" w:lineRule="exact"/>
        <w:rPr>
          <w:sz w:val="20"/>
          <w:szCs w:val="20"/>
          <w:color w:val="auto"/>
        </w:rPr>
      </w:pPr>
    </w:p>
    <w:tbl>
      <w:tblPr>
        <w:tblLayout w:type="fixed"/>
        <w:tblInd w:w="438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ARAMARK</w:t>
            </w:r>
          </w:p>
        </w:tc>
        <w:tc>
          <w:tcPr>
            <w:tcW w:w="3900" w:type="dxa"/>
            <w:vAlign w:val="bottom"/>
          </w:tcPr>
          <w:p>
            <w:pPr>
              <w:spacing w:after="0"/>
              <w:rPr>
                <w:sz w:val="20"/>
                <w:szCs w:val="20"/>
                <w:color w:val="auto"/>
              </w:rPr>
            </w:pPr>
          </w:p>
        </w:tc>
      </w:tr>
      <w:tr>
        <w:trPr>
          <w:trHeight w:val="49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/s/ JOHN J. ZILLMER</w:t>
            </w:r>
          </w:p>
        </w:tc>
      </w:tr>
      <w:tr>
        <w:trPr>
          <w:trHeight w:val="218"/>
        </w:trPr>
        <w:tc>
          <w:tcPr>
            <w:tcW w:w="480" w:type="dxa"/>
            <w:vAlign w:val="bottom"/>
          </w:tcPr>
          <w:p>
            <w:pPr>
              <w:spacing w:after="0"/>
              <w:rPr>
                <w:sz w:val="18"/>
                <w:szCs w:val="18"/>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jc w:val="right"/>
              <w:ind w:right="2550"/>
              <w:spacing w:after="0"/>
              <w:rPr>
                <w:sz w:val="20"/>
                <w:szCs w:val="20"/>
                <w:color w:val="auto"/>
              </w:rPr>
            </w:pPr>
            <w:r>
              <w:rPr>
                <w:rFonts w:ascii="Times New Roman" w:cs="Times New Roman" w:eastAsia="Times New Roman" w:hAnsi="Times New Roman"/>
                <w:sz w:val="18"/>
                <w:szCs w:val="18"/>
                <w:color w:val="auto"/>
              </w:rPr>
              <w:t>John J. Zillmer</w:t>
            </w:r>
          </w:p>
        </w:tc>
      </w:tr>
      <w:tr>
        <w:trPr>
          <w:trHeight w:val="234"/>
        </w:trPr>
        <w:tc>
          <w:tcPr>
            <w:tcW w:w="48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set forth above:</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MR BRIDGESTONE ADVISOR, LLC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Mantle Ridge LP, its sole member</w:t>
            </w:r>
          </w:p>
        </w:tc>
      </w:tr>
      <w:tr>
        <w:trPr>
          <w:trHeight w:val="50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Mantle Ridge GP LLC, its general partner</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PCH MR Advisor Holdings LLC, its managing member</w:t>
            </w:r>
          </w:p>
        </w:tc>
      </w:tr>
      <w:tr>
        <w:trPr>
          <w:trHeight w:val="7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 PAUL C. HILAL</w:t>
            </w:r>
          </w:p>
        </w:tc>
      </w:tr>
      <w:tr>
        <w:trPr>
          <w:trHeight w:val="218"/>
        </w:trPr>
        <w:tc>
          <w:tcPr>
            <w:tcW w:w="5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Paul C. Hilal</w:t>
            </w:r>
          </w:p>
        </w:tc>
      </w:tr>
      <w:tr>
        <w:trPr>
          <w:trHeight w:val="234"/>
        </w:trPr>
        <w:tc>
          <w:tcPr>
            <w:tcW w:w="54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Member</w:t>
            </w:r>
          </w:p>
        </w:tc>
      </w:tr>
    </w:tbl>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January 1, 2021;</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4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Aramark for the quarter ended January 1, 2021;</w:t>
      </w:r>
    </w:p>
    <w:p>
      <w:pPr>
        <w:spacing w:after="0" w:line="103"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2021</w:t>
      </w:r>
    </w:p>
    <w:p>
      <w:pPr>
        <w:spacing w:after="0" w:line="200" w:lineRule="exact"/>
        <w:rPr>
          <w:sz w:val="20"/>
          <w:szCs w:val="20"/>
          <w:color w:val="auto"/>
        </w:rPr>
      </w:pPr>
    </w:p>
    <w:p>
      <w:pPr>
        <w:spacing w:after="0" w:line="3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1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8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Aramark (the “Company”) on Form 10-Q for the fiscal quarter ended January 1, 2021,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2"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right="140" w:firstLine="332"/>
        <w:spacing w:after="0" w:line="783" w:lineRule="auto"/>
        <w:tabs>
          <w:tab w:leader="none" w:pos="6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9, 2021</w:t>
      </w:r>
    </w:p>
    <w:p>
      <w:pPr>
        <w:spacing w:after="0" w:line="200" w:lineRule="exact"/>
        <w:rPr>
          <w:sz w:val="20"/>
          <w:szCs w:val="20"/>
          <w:color w:val="auto"/>
        </w:rPr>
      </w:pPr>
    </w:p>
    <w:p>
      <w:pPr>
        <w:spacing w:after="0" w:line="27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John J. Zillmer</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Thomas G. Ondrof</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9"/>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1"/>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4" Type="http://schemas.openxmlformats.org/officeDocument/2006/relationships/hyperlink" Target="http://www.sec.gov/Archives/edgar/data/1584509/000158450920000276/ex31amendedandrestatedby-l.htm" TargetMode="External"/><Relationship Id="rId55" Type="http://schemas.openxmlformats.org/officeDocument/2006/relationships/hyperlink" Target="http://www.sec.gov/Archives/edgar/data/1584509/000158450920000230/ex1011aramark-amendmen.htm" TargetMode="External"/><Relationship Id="rId56" Type="http://schemas.openxmlformats.org/officeDocument/2006/relationships/hyperlink" Target="http://www.sec.gov/Archives/edgar/data/1584509/000158450920000276/ex101registrationrights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2021-02-09T16:32:15Z</dcterms:created>
  <dcterms:modified xsi:type="dcterms:W3CDTF">2021-02-09T16:32:15Z</dcterms:modified>
</cp:coreProperties>
</file>