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38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29, 2019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257810</wp:posOffset>
            </wp:positionV>
            <wp:extent cx="247015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1900" w:type="dxa"/>
        <w:tblCellMar>
          <w:top w:w="0" w:type="dxa"/>
          <w:left w:w="0" w:type="dxa"/>
          <w:bottom w:w="0" w:type="dxa"/>
          <w:right w:w="0" w:type="dxa"/>
        </w:tblCellMar>
      </w:tblPr>
      <w:tr>
        <w:trPr>
          <w:trHeight w:val="421"/>
        </w:trPr>
        <w:tc>
          <w:tcPr>
            <w:tcW w:w="5780" w:type="dxa"/>
            <w:vAlign w:val="bottom"/>
          </w:tcPr>
          <w:p>
            <w:pPr>
              <w:jc w:val="center"/>
              <w:ind w:left="1752"/>
              <w:spacing w:after="0"/>
              <w:rPr>
                <w:sz w:val="20"/>
                <w:szCs w:val="20"/>
                <w:color w:val="auto"/>
              </w:rPr>
            </w:pPr>
            <w:r>
              <w:rPr>
                <w:rFonts w:ascii="Arial" w:cs="Arial" w:eastAsia="Arial" w:hAnsi="Arial"/>
                <w:sz w:val="32"/>
                <w:szCs w:val="32"/>
                <w:b w:val="1"/>
                <w:bCs w:val="1"/>
                <w:color w:val="auto"/>
              </w:rPr>
              <w:t>Aramark</w:t>
            </w:r>
          </w:p>
        </w:tc>
        <w:tc>
          <w:tcPr>
            <w:tcW w:w="1380" w:type="dxa"/>
            <w:vAlign w:val="bottom"/>
          </w:tcPr>
          <w:p>
            <w:pPr>
              <w:spacing w:after="0"/>
              <w:rPr>
                <w:sz w:val="24"/>
                <w:szCs w:val="24"/>
                <w:color w:val="auto"/>
              </w:rPr>
            </w:pPr>
          </w:p>
        </w:tc>
      </w:tr>
      <w:tr>
        <w:trPr>
          <w:trHeight w:val="203"/>
        </w:trPr>
        <w:tc>
          <w:tcPr>
            <w:tcW w:w="5780" w:type="dxa"/>
            <w:vAlign w:val="bottom"/>
          </w:tcPr>
          <w:p>
            <w:pPr>
              <w:jc w:val="center"/>
              <w:ind w:left="1752"/>
              <w:spacing w:after="0"/>
              <w:rPr>
                <w:sz w:val="20"/>
                <w:szCs w:val="20"/>
                <w:color w:val="auto"/>
              </w:rPr>
            </w:pPr>
            <w:r>
              <w:rPr>
                <w:rFonts w:ascii="Arial" w:cs="Arial" w:eastAsia="Arial" w:hAnsi="Arial"/>
                <w:sz w:val="14"/>
                <w:szCs w:val="14"/>
                <w:color w:val="auto"/>
                <w:w w:val="93"/>
              </w:rPr>
              <w:t>(Exact name of registrant as specified in its charter)</w:t>
            </w:r>
          </w:p>
        </w:tc>
        <w:tc>
          <w:tcPr>
            <w:tcW w:w="1380" w:type="dxa"/>
            <w:vAlign w:val="bottom"/>
          </w:tcPr>
          <w:p>
            <w:pPr>
              <w:spacing w:after="0"/>
              <w:rPr>
                <w:sz w:val="17"/>
                <w:szCs w:val="17"/>
                <w:color w:val="auto"/>
              </w:rPr>
            </w:pPr>
          </w:p>
        </w:tc>
      </w:tr>
      <w:tr>
        <w:trPr>
          <w:trHeight w:val="255"/>
        </w:trPr>
        <w:tc>
          <w:tcPr>
            <w:tcW w:w="5780" w:type="dxa"/>
            <w:vAlign w:val="bottom"/>
          </w:tcPr>
          <w:p>
            <w:pPr>
              <w:jc w:val="center"/>
              <w:ind w:right="3412"/>
              <w:spacing w:after="0"/>
              <w:rPr>
                <w:sz w:val="20"/>
                <w:szCs w:val="20"/>
                <w:color w:val="auto"/>
              </w:rPr>
            </w:pPr>
            <w:r>
              <w:rPr>
                <w:rFonts w:ascii="Arial" w:cs="Arial" w:eastAsia="Arial" w:hAnsi="Arial"/>
                <w:sz w:val="18"/>
                <w:szCs w:val="18"/>
                <w:b w:val="1"/>
                <w:bCs w:val="1"/>
                <w:color w:val="auto"/>
                <w:w w:val="91"/>
              </w:rPr>
              <w:t>Delaware</w:t>
            </w:r>
          </w:p>
        </w:tc>
        <w:tc>
          <w:tcPr>
            <w:tcW w:w="1380" w:type="dxa"/>
            <w:vAlign w:val="bottom"/>
          </w:tcPr>
          <w:p>
            <w:pPr>
              <w:jc w:val="right"/>
              <w:ind w:right="161"/>
              <w:spacing w:after="0"/>
              <w:rPr>
                <w:sz w:val="20"/>
                <w:szCs w:val="20"/>
                <w:color w:val="auto"/>
              </w:rPr>
            </w:pPr>
            <w:r>
              <w:rPr>
                <w:rFonts w:ascii="Arial" w:cs="Arial" w:eastAsia="Arial" w:hAnsi="Arial"/>
                <w:sz w:val="18"/>
                <w:szCs w:val="18"/>
                <w:b w:val="1"/>
                <w:bCs w:val="1"/>
                <w:color w:val="auto"/>
              </w:rPr>
              <w:t>20-8236097</w:t>
            </w:r>
          </w:p>
        </w:tc>
      </w:tr>
      <w:tr>
        <w:trPr>
          <w:trHeight w:val="184"/>
        </w:trPr>
        <w:tc>
          <w:tcPr>
            <w:tcW w:w="5780" w:type="dxa"/>
            <w:vAlign w:val="bottom"/>
          </w:tcPr>
          <w:p>
            <w:pPr>
              <w:jc w:val="center"/>
              <w:ind w:right="3412"/>
              <w:spacing w:after="0"/>
              <w:rPr>
                <w:sz w:val="20"/>
                <w:szCs w:val="20"/>
                <w:color w:val="auto"/>
              </w:rPr>
            </w:pPr>
            <w:r>
              <w:rPr>
                <w:rFonts w:ascii="Arial" w:cs="Arial" w:eastAsia="Arial" w:hAnsi="Arial"/>
                <w:sz w:val="14"/>
                <w:szCs w:val="14"/>
                <w:color w:val="auto"/>
                <w:w w:val="95"/>
              </w:rPr>
              <w:t>(State or other jurisdiction of</w:t>
            </w:r>
          </w:p>
        </w:tc>
        <w:tc>
          <w:tcPr>
            <w:tcW w:w="1380" w:type="dxa"/>
            <w:vAlign w:val="bottom"/>
          </w:tcPr>
          <w:p>
            <w:pPr>
              <w:jc w:val="center"/>
              <w:spacing w:after="0"/>
              <w:rPr>
                <w:sz w:val="20"/>
                <w:szCs w:val="20"/>
                <w:color w:val="auto"/>
              </w:rPr>
            </w:pPr>
            <w:r>
              <w:rPr>
                <w:rFonts w:ascii="Arial" w:cs="Arial" w:eastAsia="Arial" w:hAnsi="Arial"/>
                <w:sz w:val="14"/>
                <w:szCs w:val="14"/>
                <w:color w:val="auto"/>
                <w:w w:val="95"/>
              </w:rPr>
              <w:t>(I.R.S. Employer</w:t>
            </w:r>
          </w:p>
        </w:tc>
      </w:tr>
      <w:tr>
        <w:trPr>
          <w:trHeight w:val="182"/>
        </w:trPr>
        <w:tc>
          <w:tcPr>
            <w:tcW w:w="5780" w:type="dxa"/>
            <w:vAlign w:val="bottom"/>
          </w:tcPr>
          <w:p>
            <w:pPr>
              <w:jc w:val="center"/>
              <w:ind w:right="3412"/>
              <w:spacing w:after="0"/>
              <w:rPr>
                <w:sz w:val="20"/>
                <w:szCs w:val="20"/>
                <w:color w:val="auto"/>
              </w:rPr>
            </w:pPr>
            <w:r>
              <w:rPr>
                <w:rFonts w:ascii="Arial" w:cs="Arial" w:eastAsia="Arial" w:hAnsi="Arial"/>
                <w:sz w:val="14"/>
                <w:szCs w:val="14"/>
                <w:color w:val="auto"/>
                <w:w w:val="94"/>
              </w:rPr>
              <w:t>incorporation or organization)</w:t>
            </w:r>
          </w:p>
        </w:tc>
        <w:tc>
          <w:tcPr>
            <w:tcW w:w="1380" w:type="dxa"/>
            <w:vAlign w:val="bottom"/>
          </w:tcPr>
          <w:p>
            <w:pPr>
              <w:jc w:val="center"/>
              <w:spacing w:after="0"/>
              <w:rPr>
                <w:sz w:val="20"/>
                <w:szCs w:val="20"/>
                <w:color w:val="auto"/>
              </w:rPr>
            </w:pPr>
            <w:r>
              <w:rPr>
                <w:rFonts w:ascii="Arial" w:cs="Arial" w:eastAsia="Arial" w:hAnsi="Arial"/>
                <w:sz w:val="14"/>
                <w:szCs w:val="14"/>
                <w:color w:val="auto"/>
                <w:w w:val="97"/>
              </w:rPr>
              <w:t>Identification Number)</w:t>
            </w:r>
          </w:p>
        </w:tc>
      </w:tr>
      <w:tr>
        <w:trPr>
          <w:trHeight w:val="237"/>
        </w:trPr>
        <w:tc>
          <w:tcPr>
            <w:tcW w:w="5780" w:type="dxa"/>
            <w:vAlign w:val="bottom"/>
          </w:tcPr>
          <w:p>
            <w:pPr>
              <w:jc w:val="center"/>
              <w:ind w:right="3412"/>
              <w:spacing w:after="0"/>
              <w:rPr>
                <w:sz w:val="20"/>
                <w:szCs w:val="20"/>
                <w:color w:val="auto"/>
              </w:rPr>
            </w:pPr>
            <w:r>
              <w:rPr>
                <w:rFonts w:ascii="Arial" w:cs="Arial" w:eastAsia="Arial" w:hAnsi="Arial"/>
                <w:sz w:val="18"/>
                <w:szCs w:val="18"/>
                <w:b w:val="1"/>
                <w:bCs w:val="1"/>
                <w:color w:val="auto"/>
                <w:w w:val="93"/>
              </w:rPr>
              <w:t>2400 Market Street</w:t>
            </w:r>
          </w:p>
        </w:tc>
        <w:tc>
          <w:tcPr>
            <w:tcW w:w="1380" w:type="dxa"/>
            <w:vAlign w:val="bottom"/>
          </w:tcPr>
          <w:p>
            <w:pPr>
              <w:spacing w:after="0"/>
              <w:rPr>
                <w:sz w:val="20"/>
                <w:szCs w:val="20"/>
                <w:color w:val="auto"/>
              </w:rPr>
            </w:pPr>
          </w:p>
        </w:tc>
      </w:tr>
      <w:tr>
        <w:trPr>
          <w:trHeight w:val="234"/>
        </w:trPr>
        <w:tc>
          <w:tcPr>
            <w:tcW w:w="5780" w:type="dxa"/>
            <w:vAlign w:val="bottom"/>
          </w:tcPr>
          <w:p>
            <w:pPr>
              <w:jc w:val="center"/>
              <w:ind w:right="3412"/>
              <w:spacing w:after="0"/>
              <w:rPr>
                <w:sz w:val="20"/>
                <w:szCs w:val="20"/>
                <w:color w:val="auto"/>
              </w:rPr>
            </w:pPr>
            <w:r>
              <w:rPr>
                <w:rFonts w:ascii="Arial" w:cs="Arial" w:eastAsia="Arial" w:hAnsi="Arial"/>
                <w:sz w:val="18"/>
                <w:szCs w:val="18"/>
                <w:b w:val="1"/>
                <w:bCs w:val="1"/>
                <w:color w:val="auto"/>
                <w:w w:val="89"/>
              </w:rPr>
              <w:t>Philadelphia, Pennsylvania</w:t>
            </w:r>
          </w:p>
        </w:tc>
        <w:tc>
          <w:tcPr>
            <w:tcW w:w="1380" w:type="dxa"/>
            <w:vAlign w:val="bottom"/>
          </w:tcPr>
          <w:p>
            <w:pPr>
              <w:jc w:val="right"/>
              <w:ind w:right="361"/>
              <w:spacing w:after="0"/>
              <w:rPr>
                <w:sz w:val="20"/>
                <w:szCs w:val="20"/>
                <w:color w:val="auto"/>
              </w:rPr>
            </w:pPr>
            <w:r>
              <w:rPr>
                <w:rFonts w:ascii="Arial" w:cs="Arial" w:eastAsia="Arial" w:hAnsi="Arial"/>
                <w:sz w:val="18"/>
                <w:szCs w:val="18"/>
                <w:b w:val="1"/>
                <w:bCs w:val="1"/>
                <w:color w:val="auto"/>
              </w:rPr>
              <w:t>19103</w:t>
            </w:r>
          </w:p>
        </w:tc>
      </w:tr>
      <w:tr>
        <w:trPr>
          <w:trHeight w:val="218"/>
        </w:trPr>
        <w:tc>
          <w:tcPr>
            <w:tcW w:w="5780" w:type="dxa"/>
            <w:vAlign w:val="bottom"/>
          </w:tcPr>
          <w:p>
            <w:pPr>
              <w:jc w:val="center"/>
              <w:ind w:right="3412"/>
              <w:spacing w:after="0"/>
              <w:rPr>
                <w:sz w:val="20"/>
                <w:szCs w:val="20"/>
                <w:color w:val="auto"/>
              </w:rPr>
            </w:pPr>
            <w:r>
              <w:rPr>
                <w:rFonts w:ascii="Arial" w:cs="Arial" w:eastAsia="Arial" w:hAnsi="Arial"/>
                <w:sz w:val="14"/>
                <w:szCs w:val="14"/>
                <w:color w:val="auto"/>
                <w:w w:val="95"/>
              </w:rPr>
              <w:t>(Address of principal executive offices)</w:t>
            </w: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(Zip Code)</w:t>
            </w:r>
          </w:p>
        </w:tc>
      </w:tr>
      <w:tr>
        <w:trPr>
          <w:trHeight w:val="282"/>
        </w:trPr>
        <w:tc>
          <w:tcPr>
            <w:tcW w:w="5780" w:type="dxa"/>
            <w:vAlign w:val="bottom"/>
          </w:tcPr>
          <w:p>
            <w:pPr>
              <w:jc w:val="right"/>
              <w:ind w:right="1312"/>
              <w:spacing w:after="0"/>
              <w:rPr>
                <w:sz w:val="20"/>
                <w:szCs w:val="20"/>
                <w:color w:val="auto"/>
              </w:rPr>
            </w:pPr>
            <w:r>
              <w:rPr>
                <w:rFonts w:ascii="Arial" w:cs="Arial" w:eastAsia="Arial" w:hAnsi="Arial"/>
                <w:sz w:val="18"/>
                <w:szCs w:val="18"/>
                <w:b w:val="1"/>
                <w:bCs w:val="1"/>
                <w:color w:val="auto"/>
              </w:rPr>
              <w:t>(215) 238-3000</w:t>
            </w:r>
          </w:p>
        </w:tc>
        <w:tc>
          <w:tcPr>
            <w:tcW w:w="1380" w:type="dxa"/>
            <w:vAlign w:val="bottom"/>
          </w:tcPr>
          <w:p>
            <w:pPr>
              <w:spacing w:after="0"/>
              <w:rPr>
                <w:sz w:val="24"/>
                <w:szCs w:val="24"/>
                <w:color w:val="auto"/>
              </w:rPr>
            </w:pPr>
          </w:p>
        </w:tc>
      </w:tr>
      <w:tr>
        <w:trPr>
          <w:trHeight w:val="202"/>
        </w:trPr>
        <w:tc>
          <w:tcPr>
            <w:tcW w:w="5780" w:type="dxa"/>
            <w:vAlign w:val="bottom"/>
          </w:tcPr>
          <w:p>
            <w:pPr>
              <w:jc w:val="center"/>
              <w:ind w:left="1772"/>
              <w:spacing w:after="0"/>
              <w:rPr>
                <w:sz w:val="20"/>
                <w:szCs w:val="20"/>
                <w:color w:val="auto"/>
              </w:rPr>
            </w:pPr>
            <w:r>
              <w:rPr>
                <w:rFonts w:ascii="Arial" w:cs="Arial" w:eastAsia="Arial" w:hAnsi="Arial"/>
                <w:sz w:val="14"/>
                <w:szCs w:val="14"/>
                <w:color w:val="auto"/>
                <w:w w:val="92"/>
              </w:rPr>
              <w:t>(Registrant's telephone number, including area code)</w:t>
            </w:r>
          </w:p>
        </w:tc>
        <w:tc>
          <w:tcPr>
            <w:tcW w:w="1380" w:type="dxa"/>
            <w:vAlign w:val="bottom"/>
          </w:tcPr>
          <w:p>
            <w:pPr>
              <w:spacing w:after="0"/>
              <w:rPr>
                <w:sz w:val="17"/>
                <w:szCs w:val="17"/>
                <w:color w:val="auto"/>
              </w:rPr>
            </w:pPr>
          </w:p>
        </w:tc>
      </w:tr>
      <w:tr>
        <w:trPr>
          <w:trHeight w:val="230"/>
        </w:trPr>
        <w:tc>
          <w:tcPr>
            <w:tcW w:w="5780" w:type="dxa"/>
            <w:vAlign w:val="bottom"/>
          </w:tcPr>
          <w:p>
            <w:pPr>
              <w:jc w:val="right"/>
              <w:spacing w:after="0"/>
              <w:rPr>
                <w:sz w:val="20"/>
                <w:szCs w:val="20"/>
                <w:color w:val="auto"/>
              </w:rPr>
            </w:pPr>
            <w:r>
              <w:rPr>
                <w:rFonts w:ascii="Arial" w:cs="Arial" w:eastAsia="Arial" w:hAnsi="Arial"/>
                <w:sz w:val="18"/>
                <w:szCs w:val="18"/>
                <w:color w:val="auto"/>
              </w:rPr>
              <w:t>___________________________________________</w:t>
            </w:r>
          </w:p>
        </w:tc>
        <w:tc>
          <w:tcPr>
            <w:tcW w:w="1380" w:type="dxa"/>
            <w:vAlign w:val="bottom"/>
          </w:tcPr>
          <w:p>
            <w:pPr>
              <w:spacing w:after="0"/>
              <w:rPr>
                <w:sz w:val="20"/>
                <w:szCs w:val="20"/>
                <w:color w:val="auto"/>
              </w:rPr>
            </w:pPr>
          </w:p>
        </w:tc>
      </w:tr>
    </w:tbl>
    <w:p>
      <w:pPr>
        <w:spacing w:after="0" w:line="283" w:lineRule="exact"/>
        <w:rPr>
          <w:sz w:val="24"/>
          <w:szCs w:val="24"/>
          <w:color w:val="auto"/>
        </w:rPr>
      </w:pPr>
    </w:p>
    <w:p>
      <w:pPr>
        <w:ind w:firstLine="405"/>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12" w:lineRule="exact"/>
        <w:rPr>
          <w:sz w:val="24"/>
          <w:szCs w:val="24"/>
          <w:color w:val="auto"/>
        </w:rPr>
      </w:pPr>
    </w:p>
    <w:p>
      <w:pPr>
        <w:ind w:right="80" w:firstLine="405"/>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12" w:lineRule="exact"/>
        <w:rPr>
          <w:sz w:val="24"/>
          <w:szCs w:val="24"/>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p>
      <w:pPr>
        <w:ind w:left="40"/>
        <w:spacing w:after="0"/>
        <w:tabs>
          <w:tab w:leader="none" w:pos="1860" w:val="left"/>
          <w:tab w:leader="none" w:pos="2200" w:val="left"/>
          <w:tab w:leader="none" w:pos="3680" w:val="left"/>
          <w:tab w:leader="none" w:pos="4040" w:val="left"/>
          <w:tab w:leader="none" w:pos="5860" w:val="left"/>
          <w:tab w:leader="none" w:pos="6200" w:val="left"/>
          <w:tab w:leader="none" w:pos="8460" w:val="left"/>
          <w:tab w:leader="none" w:pos="8800" w:val="left"/>
          <w:tab w:leader="none" w:pos="11080" w:val="left"/>
        </w:tabs>
        <w:rPr>
          <w:sz w:val="20"/>
          <w:szCs w:val="20"/>
          <w:color w:val="auto"/>
        </w:rPr>
      </w:pPr>
      <w:r>
        <w:rPr>
          <w:rFonts w:ascii="Arial" w:cs="Arial" w:eastAsia="Arial" w:hAnsi="Arial"/>
          <w:sz w:val="18"/>
          <w:szCs w:val="18"/>
          <w:color w:val="auto"/>
        </w:rPr>
        <w:t>Large accelerated filer</w:t>
        <w:tab/>
        <w:t>x</w:t>
        <w:tab/>
        <w:t>Accelerated filer</w:t>
      </w:r>
      <w:r>
        <w:rPr>
          <w:sz w:val="20"/>
          <w:szCs w:val="20"/>
          <w:color w:val="auto"/>
        </w:rPr>
        <w:tab/>
      </w:r>
      <w:r>
        <w:rPr>
          <w:rFonts w:ascii="Arial" w:cs="Arial" w:eastAsia="Arial" w:hAnsi="Arial"/>
          <w:sz w:val="18"/>
          <w:szCs w:val="18"/>
          <w:color w:val="auto"/>
        </w:rPr>
        <w:t>o</w:t>
        <w:tab/>
        <w:t>Non-accelerated filer</w:t>
      </w:r>
      <w:r>
        <w:rPr>
          <w:sz w:val="20"/>
          <w:szCs w:val="20"/>
          <w:color w:val="auto"/>
        </w:rPr>
        <w:tab/>
      </w:r>
      <w:r>
        <w:rPr>
          <w:rFonts w:ascii="Arial" w:cs="Arial" w:eastAsia="Arial" w:hAnsi="Arial"/>
          <w:sz w:val="18"/>
          <w:szCs w:val="18"/>
          <w:color w:val="auto"/>
        </w:rPr>
        <w:t>o</w:t>
        <w:tab/>
        <w:t>Smaller reporting company</w:t>
      </w:r>
      <w:r>
        <w:rPr>
          <w:sz w:val="20"/>
          <w:szCs w:val="20"/>
          <w:color w:val="auto"/>
        </w:rPr>
        <w:tab/>
      </w:r>
      <w:r>
        <w:rPr>
          <w:rFonts w:ascii="Arial" w:cs="Arial" w:eastAsia="Arial" w:hAnsi="Arial"/>
          <w:sz w:val="18"/>
          <w:szCs w:val="18"/>
          <w:color w:val="auto"/>
        </w:rPr>
        <w:t>o</w:t>
        <w:tab/>
        <w:t>Emerging growth company</w:t>
      </w:r>
      <w:r>
        <w:rPr>
          <w:sz w:val="20"/>
          <w:szCs w:val="20"/>
          <w:color w:val="auto"/>
        </w:rPr>
        <w:tab/>
      </w:r>
      <w:r>
        <w:rPr>
          <w:rFonts w:ascii="Arial" w:cs="Arial" w:eastAsia="Arial" w:hAnsi="Arial"/>
          <w:sz w:val="14"/>
          <w:szCs w:val="14"/>
          <w:color w:val="auto"/>
        </w:rPr>
        <w:t>o</w:t>
      </w:r>
    </w:p>
    <w:p>
      <w:pPr>
        <w:spacing w:after="0" w:line="90" w:lineRule="exact"/>
        <w:rPr>
          <w:sz w:val="24"/>
          <w:szCs w:val="24"/>
          <w:color w:val="auto"/>
        </w:rPr>
      </w:pPr>
    </w:p>
    <w:p>
      <w:pPr>
        <w:ind w:right="22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20"/>
        <w:spacing w:after="0" w:line="207" w:lineRule="exact"/>
        <w:tabs>
          <w:tab w:leader="none" w:pos="8740" w:val="left"/>
          <w:tab w:leader="none" w:pos="9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150" w:lineRule="exact"/>
        <w:rPr>
          <w:sz w:val="24"/>
          <w:szCs w:val="24"/>
          <w:color w:val="auto"/>
        </w:rPr>
      </w:pPr>
    </w:p>
    <w:p>
      <w:pPr>
        <w:ind w:left="4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9" w:lineRule="exact"/>
        <w:rPr>
          <w:sz w:val="24"/>
          <w:szCs w:val="24"/>
          <w:color w:val="auto"/>
        </w:rPr>
      </w:pPr>
    </w:p>
    <w:tbl>
      <w:tblPr>
        <w:tblLayout w:type="fixed"/>
        <w:tblInd w:w="154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152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500" w:type="dxa"/>
            <w:vAlign w:val="bottom"/>
          </w:tcPr>
          <w:p>
            <w:pPr>
              <w:spacing w:after="0"/>
              <w:rPr>
                <w:sz w:val="18"/>
                <w:szCs w:val="18"/>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8"/>
        </w:trPr>
        <w:tc>
          <w:tcPr>
            <w:tcW w:w="3460" w:type="dxa"/>
            <w:vAlign w:val="bottom"/>
            <w:gridSpan w:val="3"/>
          </w:tcPr>
          <w:p>
            <w:pPr>
              <w:jc w:val="center"/>
              <w:ind w:right="1040"/>
              <w:spacing w:after="0"/>
              <w:rPr>
                <w:sz w:val="20"/>
                <w:szCs w:val="20"/>
                <w:color w:val="auto"/>
              </w:rPr>
            </w:pPr>
            <w:r>
              <w:rPr>
                <w:rFonts w:ascii="Arial" w:cs="Arial" w:eastAsia="Arial" w:hAnsi="Arial"/>
                <w:sz w:val="14"/>
                <w:szCs w:val="14"/>
                <w:color w:val="auto"/>
                <w:w w:val="91"/>
              </w:rPr>
              <w:t>Common Stock, par value $0.01 per share</w:t>
            </w:r>
          </w:p>
        </w:tc>
        <w:tc>
          <w:tcPr>
            <w:tcW w:w="1940" w:type="dxa"/>
            <w:vAlign w:val="bottom"/>
            <w:gridSpan w:val="2"/>
          </w:tcPr>
          <w:p>
            <w:pPr>
              <w:jc w:val="center"/>
              <w:ind w:right="500"/>
              <w:spacing w:after="0"/>
              <w:rPr>
                <w:sz w:val="20"/>
                <w:szCs w:val="20"/>
                <w:color w:val="auto"/>
              </w:rPr>
            </w:pPr>
            <w:r>
              <w:rPr>
                <w:rFonts w:ascii="Arial" w:cs="Arial" w:eastAsia="Arial" w:hAnsi="Arial"/>
                <w:sz w:val="14"/>
                <w:szCs w:val="14"/>
                <w:color w:val="auto"/>
              </w:rPr>
              <w:t>ARMK</w:t>
            </w:r>
          </w:p>
        </w:tc>
        <w:tc>
          <w:tcPr>
            <w:tcW w:w="34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106" w:lineRule="exact"/>
        <w:rPr>
          <w:sz w:val="24"/>
          <w:szCs w:val="24"/>
          <w:color w:val="auto"/>
        </w:rPr>
      </w:pPr>
    </w:p>
    <w:p>
      <w:pPr>
        <w:sectPr>
          <w:pgSz w:w="11900" w:h="16838" w:orient="portrait"/>
          <w:cols w:equalWidth="0" w:num="1">
            <w:col w:w="11360"/>
          </w:cols>
          <w:pgMar w:left="240" w:top="549" w:right="299" w:bottom="1440" w:gutter="0" w:footer="0" w:header="0"/>
        </w:sectPr>
      </w:pPr>
    </w:p>
    <w:p>
      <w:pPr>
        <w:ind w:left="420"/>
        <w:spacing w:after="0"/>
        <w:rPr>
          <w:sz w:val="20"/>
          <w:szCs w:val="20"/>
          <w:color w:val="auto"/>
        </w:rPr>
      </w:pPr>
      <w:r>
        <w:rPr>
          <w:rFonts w:ascii="Arial" w:cs="Arial" w:eastAsia="Arial" w:hAnsi="Arial"/>
          <w:sz w:val="16"/>
          <w:szCs w:val="16"/>
          <w:color w:val="auto"/>
        </w:rPr>
        <w:t>As of April 26, 2019, the number of shares of the registrant's common stock outstanding is 246,429,991.</w:t>
      </w:r>
    </w:p>
    <w:p>
      <w:pPr>
        <w:sectPr>
          <w:pgSz w:w="11900" w:h="16838" w:orient="portrait"/>
          <w:cols w:equalWidth="0" w:num="1">
            <w:col w:w="11360"/>
          </w:cols>
          <w:pgMar w:left="240" w:top="549" w:right="29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0" w:type="dxa"/>
            <w:vAlign w:val="bottom"/>
            <w:gridSpan w:val="4"/>
          </w:tcPr>
          <w:p>
            <w:pPr>
              <w:ind w:left="6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2260" w:type="dxa"/>
            <w:vAlign w:val="bottom"/>
            <w:gridSpan w:val="5"/>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 Financial Information</w:t>
              </w:r>
            </w:hyperlink>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260" w:type="dxa"/>
            <w:vAlign w:val="bottom"/>
            <w:tcBorders>
              <w:bottom w:val="single" w:sz="8" w:color="0000EE"/>
            </w:tcBorders>
            <w:gridSpan w:val="5"/>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40" w:type="dxa"/>
            <w:vAlign w:val="bottom"/>
          </w:tcPr>
          <w:p>
            <w:pPr>
              <w:spacing w:after="0"/>
              <w:rPr>
                <w:sz w:val="24"/>
                <w:szCs w:val="24"/>
                <w:color w:val="auto"/>
              </w:rPr>
            </w:pPr>
          </w:p>
        </w:tc>
        <w:tc>
          <w:tcPr>
            <w:tcW w:w="128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460" w:type="dxa"/>
            <w:vAlign w:val="bottom"/>
            <w:gridSpan w:val="15"/>
          </w:tcPr>
          <w:p>
            <w:pPr>
              <w:ind w:left="6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5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(Unaudited)</w:t>
              </w:r>
            </w:hyperlink>
          </w:p>
        </w:tc>
        <w:tc>
          <w:tcPr>
            <w:tcW w:w="1880" w:type="dxa"/>
            <w:vAlign w:val="bottom"/>
            <w:gridSpan w:val="2"/>
          </w:tcPr>
          <w:p>
            <w:pPr>
              <w:spacing w:after="0"/>
              <w:rPr>
                <w:sz w:val="21"/>
                <w:szCs w:val="21"/>
                <w:color w:val="auto"/>
              </w:rPr>
            </w:pPr>
          </w:p>
        </w:tc>
        <w:tc>
          <w:tcPr>
            <w:tcW w:w="14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Stockholders' Equity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80" w:type="dxa"/>
            <w:vAlign w:val="bottom"/>
            <w:tcBorders>
              <w:top w:val="single" w:sz="8" w:color="0000EE"/>
            </w:tcBorders>
            <w:gridSpan w:val="11"/>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Notes to Condensed Consolidated Financial Statements (Unaudited)</w:t>
              </w:r>
            </w:hyperlink>
          </w:p>
        </w:tc>
        <w:tc>
          <w:tcPr>
            <w:tcW w:w="2100" w:type="dxa"/>
            <w:vAlign w:val="bottom"/>
            <w:gridSpan w:val="3"/>
          </w:tcPr>
          <w:p>
            <w:pPr>
              <w:spacing w:after="0"/>
              <w:rPr>
                <w:sz w:val="21"/>
                <w:szCs w:val="21"/>
                <w:color w:val="auto"/>
              </w:rPr>
            </w:pPr>
          </w:p>
        </w:tc>
        <w:tc>
          <w:tcPr>
            <w:tcW w:w="14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3.</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 About Market Risk</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0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PART II - Other Information</w:t>
              </w:r>
            </w:hyperlink>
          </w:p>
        </w:tc>
        <w:tc>
          <w:tcPr>
            <w:tcW w:w="2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 1A.</w:t>
              </w:r>
            </w:hyperlink>
          </w:p>
        </w:tc>
        <w:tc>
          <w:tcPr>
            <w:tcW w:w="6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6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gridSpan w:val="7"/>
            <w:shd w:val="clear" w:color="auto" w:fill="0000EE"/>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6.</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82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45"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color w:val="auto"/>
        </w:rPr>
        <w:t>This report includes "forward-looking statements" within the meaning of the Private Securities Litigation Reform Act of 1995 that reflect our current views as to future events and financial performance with respect to, without limitation, conditions in our industry, our operations, our economic performance and financial condition, including, in particular, with respect to, without limitation, anticipated effects of changes related to accounting changes and the divestiture of our Healthcare Technologies business, the expected impact of strategic portfolio actions, the benefits and costs of our acquisitions of each of Avendra, LLC ("Avendra") and AmeriPride Services, Inc. ("AmeriPride") and related financings, as well as statements regarding these companies' services and products and statements relating to our business and growth strategy. These statements can be identified by the fact that they do not relate strictly to historical or current facts. They use words such as "outlook," "aim," "anticipate," "are or remain or continue to be confident," "have confidence," "estimate," "expect," "will be," "will continue," "will likely result," "project," "intend," "plan," "believe," "see," "look to" and other words and terms of similar meaning or the negative versions of such words.</w:t>
      </w:r>
    </w:p>
    <w:p>
      <w:pPr>
        <w:spacing w:after="0" w:line="88"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Forward-looking statements speak only as of the date made. All statements we make relating to our estimated and projected earnings, costs, expenditures, cash flows, growth rates, financial results and our estimated benefits and costs of our acquisitions are forward-looking statements. In addition, we, through our senior management, from time to time make forward-looking public statements concerning our expected future operations and performance and other developments. These forward-looking statements are subject to risks and uncertainties that may change at any time, and, therefore, our actual results may differ materially from those that we expected.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subsequent written and oral forward-looking statements attributable to us, or persons acting on our behalf, are expressly qualified in their entirety by the cautionary statements. Some of the factors that we believe could affect our results or the costs and benefits of the acquisitions include without limitation: unfavorable economic conditions; natural disasters, global calamities,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the inability to achieve cost savings through our cost reduction efforts; our expansion strategy; the failure to maintain food safety throughout our supply chain, food-borne illness concerns and claims of illness or injury;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currency risks and other risks associated with international operations, including Foreign Corrupt Practices Act, U.K. Bribery Act and other anti-corruption law compliance; continued or further unionization of our workforce; liability resulting from our participation in multiemployer defined benefit pension plans; risks associated with suppliers from whom our products are sourced; disruptions to our relationship with, or to the business of, our primary distributor; the inability to hire and retain sufficient qualified personnel or increases in labor costs; healthcare reform legislation; the contract intensive nature of our business, which may lead to client disputes; seasonality; disruptions in the availability of our computer systems or privacy breaches; failure to achieve and maintain effective internal controls; our leverage; the inability to generate sufficient cash to service all of our indebtedness; debt agreements that limit our flexibility in operating our business; our ability to successfully integrate the businesses of Avendra and AmeriPride and costs and timing related thereto, the risk of unanticipated restructuring costs or assumption of undisclosed liabilities, the risk that we are unable to achieve the anticipated benefits (including tax benefits) and synergies of the acquisition of AmeriPride and Avendra including whether the transactions will be accretive and within the expected timeframes, the availability of sufficient cash to repay certain indebtedness and our decision to utilize the cash for that purpose, the disruption of the transactions to each of Avendra and AmeriPride and their respective managements; the effect of the transactions on each of Avendra's and AmeriPride's ability to retain and hire key personnel and maintain relationships with customers, suppliers and other third parties, our ability to attract new or maintain existing customer and supplier relationships at reasonable cost, our ability to retain key personnel and other factors set forth under the headings Item 1A "Risk Factors," Item 3 "Legal Proceedings" and Item 7 "Management's Discussion and Analysis of Financial Condition and Results of Operations" and other sections of our Annual Report on Form 10-K, filed with the SEC on November 21, 2018 as such factors may be updated from time to time in our other periodic filings with the SEC, which are accessible on the SEC's website at www.sec.gov and which may be obtained by contacting Aramark's investor relations department via its website www.aramark.com.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report and in our other filings with the SEC. As a result of these risks and uncertainties, readers are cautioned not to place undue reliance on any forward-looking statements included herein or that may be made elsewhere from time to time by, or on behalf of, us. We undertake no obligation to publicly update or review any forward-looking statement, whether as a result of new information, future developments, changes in our expectations, or otherwise, except as required by law.</w:t>
      </w:r>
    </w:p>
    <w:p>
      <w:pPr>
        <w:sectPr>
          <w:pgSz w:w="11900" w:h="16838" w:orient="portrait"/>
          <w:cols w:equalWidth="0" w:num="1">
            <w:col w:w="11420"/>
          </w:cols>
          <w:pgMar w:left="240" w:top="17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200" w:type="dxa"/>
            <w:vAlign w:val="bottom"/>
          </w:tcPr>
          <w:p>
            <w:pPr>
              <w:spacing w:after="0"/>
              <w:rPr>
                <w:sz w:val="16"/>
                <w:szCs w:val="16"/>
                <w:color w:val="auto"/>
              </w:rPr>
            </w:pPr>
          </w:p>
        </w:tc>
        <w:tc>
          <w:tcPr>
            <w:tcW w:w="150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September 28, 2018</w:t>
            </w:r>
          </w:p>
        </w:tc>
      </w:tr>
      <w:tr>
        <w:trPr>
          <w:trHeight w:val="250"/>
        </w:trPr>
        <w:tc>
          <w:tcPr>
            <w:tcW w:w="7900" w:type="dxa"/>
            <w:vAlign w:val="bottom"/>
            <w:tcBorders>
              <w:top w:val="single" w:sz="8" w:color="CCEEFF"/>
              <w:bottom w:val="single" w:sz="8" w:color="CCEEFF"/>
            </w:tcBorders>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215,025</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Receivables (less allowances: 2019 - $50,961; 2018 - $52,682)</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1,878,151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1,790,433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724,802</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156,796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171,165</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2,630,603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2,901,425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2,142,944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1,378,094</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5,522,552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5,610,568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2,087,641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2,136,844</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1,327,074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1,693,171</w:t>
            </w:r>
          </w:p>
        </w:tc>
      </w:tr>
      <w:tr>
        <w:trPr>
          <w:trHeight w:val="237"/>
        </w:trPr>
        <w:tc>
          <w:tcPr>
            <w:tcW w:w="79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13,710,814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13,720,102</w:t>
            </w:r>
          </w:p>
        </w:tc>
      </w:tr>
      <w:tr>
        <w:trPr>
          <w:trHeight w:val="67"/>
        </w:trPr>
        <w:tc>
          <w:tcPr>
            <w:tcW w:w="7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20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Current maturities of long-term borrowings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30,907</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911,785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1,018,920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1,342,981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1,440,332</w:t>
            </w:r>
          </w:p>
        </w:tc>
      </w:tr>
      <w:tr>
        <w:trPr>
          <w:trHeight w:val="237"/>
        </w:trPr>
        <w:tc>
          <w:tcPr>
            <w:tcW w:w="7900" w:type="dxa"/>
            <w:vAlign w:val="bottom"/>
          </w:tcPr>
          <w:p>
            <w:pPr>
              <w:ind w:left="13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2,311,105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2,490,159</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7,134,286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7,213,077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 and Other Noncurrent Liabilities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1,021,749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977,215</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4"/>
              </w:rPr>
              <w:t>Common stock, par value $.01 (authorized: 600,000,000 shares; issued: 2019—281,214,456</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9"/>
        </w:trPr>
        <w:tc>
          <w:tcPr>
            <w:tcW w:w="79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9"/>
              </w:rPr>
              <w:t>shares and 2018—279,314,297 shares; and outstanding: 2019—246,262,298 shares and 2018</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—246,744,438 shares)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2,793</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Capital surplus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3,180,943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3,132,421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992,736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710,519</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(141,651)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(91,223)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7"/>
              </w:rPr>
              <w:t>Treasury stock (shares held in treasury: 2019—34,952,158 shares and 2018—32,569,859</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57"/>
        </w:trPr>
        <w:tc>
          <w:tcPr>
            <w:tcW w:w="79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shares)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(801,160)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(724,952)</w:t>
            </w:r>
          </w:p>
        </w:tc>
      </w:tr>
      <w:tr>
        <w:trPr>
          <w:trHeight w:val="237"/>
        </w:trPr>
        <w:tc>
          <w:tcPr>
            <w:tcW w:w="7900" w:type="dxa"/>
            <w:vAlign w:val="bottom"/>
          </w:tcPr>
          <w:p>
            <w:pPr>
              <w:ind w:left="13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3,233,680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3,029,558</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13,710,814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13,720,102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1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29, 2019</w:t>
            </w:r>
          </w:p>
        </w:tc>
        <w:tc>
          <w:tcPr>
            <w:tcW w:w="300" w:type="dxa"/>
            <w:vAlign w:val="bottom"/>
          </w:tcPr>
          <w:p>
            <w:pPr>
              <w:spacing w:after="0"/>
              <w:rPr>
                <w:sz w:val="22"/>
                <w:szCs w:val="22"/>
                <w:color w:val="auto"/>
              </w:rPr>
            </w:pPr>
          </w:p>
        </w:tc>
        <w:tc>
          <w:tcPr>
            <w:tcW w:w="152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30, 2018</w:t>
            </w:r>
          </w:p>
        </w:tc>
      </w:tr>
      <w:tr>
        <w:trPr>
          <w:trHeight w:val="27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3,999,987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3,939,311</w:t>
            </w: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r>
      <w:tr>
        <w:trPr>
          <w:trHeight w:val="41"/>
        </w:trPr>
        <w:tc>
          <w:tcPr>
            <w:tcW w:w="7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3,639,959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3,563,009</w:t>
            </w: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147,908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152,864</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88,285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88,444</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Gain on sale of Healthcare Technologies</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3,877,152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3,804,317</w:t>
            </w:r>
          </w:p>
        </w:tc>
      </w:tr>
      <w:tr>
        <w:trPr>
          <w:trHeight w:val="237"/>
        </w:trPr>
        <w:tc>
          <w:tcPr>
            <w:tcW w:w="766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122,835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134,994</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92,653</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38,657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42,341</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14,625</w:t>
            </w:r>
          </w:p>
        </w:tc>
      </w:tr>
      <w:tr>
        <w:trPr>
          <w:trHeight w:val="237"/>
        </w:trPr>
        <w:tc>
          <w:tcPr>
            <w:tcW w:w="766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29,310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27,716</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Less: Net income (loss)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37"/>
        </w:trPr>
        <w:tc>
          <w:tcPr>
            <w:tcW w:w="7660" w:type="dxa"/>
            <w:vAlign w:val="bottom"/>
          </w:tcPr>
          <w:p>
            <w:pPr>
              <w:ind w:left="900"/>
              <w:spacing w:after="0"/>
              <w:rPr>
                <w:sz w:val="20"/>
                <w:szCs w:val="20"/>
                <w:color w:val="auto"/>
              </w:rPr>
            </w:pPr>
            <w:r>
              <w:rPr>
                <w:rFonts w:ascii="Arial" w:cs="Arial" w:eastAsia="Arial" w:hAnsi="Arial"/>
                <w:sz w:val="18"/>
                <w:szCs w:val="18"/>
                <w:color w:val="auto"/>
              </w:rPr>
              <w:t>Net income attributable to Aramark stockholders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29,353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27,569</w:t>
            </w:r>
          </w:p>
        </w:tc>
      </w:tr>
      <w:tr>
        <w:trPr>
          <w:trHeight w:val="67"/>
        </w:trPr>
        <w:tc>
          <w:tcPr>
            <w:tcW w:w="76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156"/>
        </w:trPr>
        <w:tc>
          <w:tcPr>
            <w:tcW w:w="7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Earnings per share attributable to Aramark stockholders: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0.11</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246,217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245,648</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250,347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252,485</w:t>
            </w:r>
          </w:p>
        </w:tc>
      </w:tr>
      <w:tr>
        <w:trPr>
          <w:trHeight w:val="399"/>
        </w:trPr>
        <w:tc>
          <w:tcPr>
            <w:tcW w:w="7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121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29, 2019</w:t>
            </w:r>
          </w:p>
        </w:tc>
        <w:tc>
          <w:tcPr>
            <w:tcW w:w="300" w:type="dxa"/>
            <w:vAlign w:val="bottom"/>
          </w:tcPr>
          <w:p>
            <w:pPr>
              <w:spacing w:after="0"/>
              <w:rPr>
                <w:sz w:val="22"/>
                <w:szCs w:val="22"/>
                <w:color w:val="auto"/>
              </w:rPr>
            </w:pPr>
          </w:p>
        </w:tc>
        <w:tc>
          <w:tcPr>
            <w:tcW w:w="152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30, 2018</w:t>
            </w:r>
          </w:p>
        </w:tc>
      </w:tr>
      <w:tr>
        <w:trPr>
          <w:trHeight w:val="27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8,265,336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7,904,429</w:t>
            </w: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r>
      <w:tr>
        <w:trPr>
          <w:trHeight w:val="41"/>
        </w:trPr>
        <w:tc>
          <w:tcPr>
            <w:tcW w:w="7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7,434,404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7,085,239</w:t>
            </w: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298,629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286,713</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180,612</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Gain on sale of Healthcare Technologies</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(156,309)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7,769,139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7,552,564</w:t>
            </w:r>
          </w:p>
        </w:tc>
      </w:tr>
      <w:tr>
        <w:trPr>
          <w:trHeight w:val="237"/>
        </w:trPr>
        <w:tc>
          <w:tcPr>
            <w:tcW w:w="766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496,197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351,865</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167,155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166,786</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329,042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185,079</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(135,077)</w:t>
            </w:r>
          </w:p>
        </w:tc>
      </w:tr>
      <w:tr>
        <w:trPr>
          <w:trHeight w:val="237"/>
        </w:trPr>
        <w:tc>
          <w:tcPr>
            <w:tcW w:w="766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279,988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320,156</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Less: Net income (loss)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r>
      <w:tr>
        <w:trPr>
          <w:trHeight w:val="237"/>
        </w:trPr>
        <w:tc>
          <w:tcPr>
            <w:tcW w:w="7660" w:type="dxa"/>
            <w:vAlign w:val="bottom"/>
          </w:tcPr>
          <w:p>
            <w:pPr>
              <w:ind w:left="900"/>
              <w:spacing w:after="0"/>
              <w:rPr>
                <w:sz w:val="20"/>
                <w:szCs w:val="20"/>
                <w:color w:val="auto"/>
              </w:rPr>
            </w:pPr>
            <w:r>
              <w:rPr>
                <w:rFonts w:ascii="Arial" w:cs="Arial" w:eastAsia="Arial" w:hAnsi="Arial"/>
                <w:sz w:val="18"/>
                <w:szCs w:val="18"/>
                <w:color w:val="auto"/>
              </w:rPr>
              <w:t>Net income attributable to Aramark stockholders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280,037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319,853</w:t>
            </w:r>
          </w:p>
        </w:tc>
      </w:tr>
      <w:tr>
        <w:trPr>
          <w:trHeight w:val="67"/>
        </w:trPr>
        <w:tc>
          <w:tcPr>
            <w:tcW w:w="76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156"/>
        </w:trPr>
        <w:tc>
          <w:tcPr>
            <w:tcW w:w="7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Earnings per share attributable to Aramark stockholders: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246,540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245,366</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251,355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252,380</w:t>
            </w:r>
          </w:p>
        </w:tc>
      </w:tr>
      <w:tr>
        <w:trPr>
          <w:trHeight w:val="270"/>
        </w:trPr>
        <w:tc>
          <w:tcPr>
            <w:tcW w:w="9600" w:type="dxa"/>
            <w:vAlign w:val="bottom"/>
            <w:gridSpan w:val="4"/>
          </w:tcPr>
          <w:p>
            <w:pPr>
              <w:ind w:left="2160"/>
              <w:spacing w:after="0"/>
              <w:rPr>
                <w:sz w:val="20"/>
                <w:szCs w:val="20"/>
                <w:color w:val="auto"/>
              </w:rPr>
            </w:pPr>
            <w:r>
              <w:rPr>
                <w:rFonts w:ascii="Arial" w:cs="Arial" w:eastAsia="Arial" w:hAnsi="Arial"/>
                <w:sz w:val="18"/>
                <w:szCs w:val="18"/>
                <w:color w:val="auto"/>
                <w:w w:val="93"/>
              </w:rPr>
              <w:t>The accompanying notes are an integral part of these condensed consolidated financial statements.</w:t>
            </w: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097"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79" w:right="239" w:bottom="1097"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29, 2019</w:t>
            </w:r>
          </w:p>
        </w:tc>
        <w:tc>
          <w:tcPr>
            <w:tcW w:w="280" w:type="dxa"/>
            <w:vAlign w:val="bottom"/>
          </w:tcPr>
          <w:p>
            <w:pPr>
              <w:spacing w:after="0"/>
              <w:rPr>
                <w:sz w:val="22"/>
                <w:szCs w:val="22"/>
                <w:color w:val="auto"/>
              </w:rPr>
            </w:pPr>
          </w:p>
        </w:tc>
        <w:tc>
          <w:tcPr>
            <w:tcW w:w="154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13,379</w:t>
            </w: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8,973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12,424</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Fair value of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24,208</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Share of equity investee's comprehensive income (loss)</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49,460</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20,655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77,176</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 attributable to Aramark stockholders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20,698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77,029</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488"/>
        </w:trPr>
        <w:tc>
          <w:tcPr>
            <w:tcW w:w="7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jc w:val="right"/>
              <w:ind w:right="12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280" w:type="dxa"/>
            <w:vAlign w:val="bottom"/>
          </w:tcPr>
          <w:p>
            <w:pPr>
              <w:spacing w:after="0"/>
              <w:rPr>
                <w:sz w:val="22"/>
                <w:szCs w:val="22"/>
                <w:color w:val="auto"/>
              </w:rPr>
            </w:pPr>
          </w:p>
        </w:tc>
        <w:tc>
          <w:tcPr>
            <w:tcW w:w="154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279,988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320,156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13,379</w:t>
            </w: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18,809</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Fair value of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29,413</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Share of equity investee's comprehensive income (loss)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61,065</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229,560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381,221</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 attributable to Aramark stockholders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229,609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380,918</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9"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9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260" w:type="dxa"/>
            <w:vAlign w:val="bottom"/>
          </w:tcPr>
          <w:p>
            <w:pPr>
              <w:spacing w:after="0"/>
              <w:rPr>
                <w:sz w:val="22"/>
                <w:szCs w:val="22"/>
                <w:color w:val="auto"/>
              </w:rPr>
            </w:pPr>
          </w:p>
        </w:tc>
        <w:tc>
          <w:tcPr>
            <w:tcW w:w="144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279,988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320,156</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298,629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286,713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(164,069)</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33,241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33,511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Net gain on sale of Healthcare Technologies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(90,695)</w:t>
            </w:r>
          </w:p>
        </w:tc>
      </w:tr>
      <w:tr>
        <w:trPr>
          <w:trHeight w:val="243"/>
        </w:trPr>
        <w:tc>
          <w:tcPr>
            <w:tcW w:w="7900" w:type="dxa"/>
            <w:vAlign w:val="bottom"/>
          </w:tcPr>
          <w:p>
            <w:pPr>
              <w:ind w:left="9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(29,835)</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12,560</w:t>
            </w:r>
          </w:p>
        </w:tc>
      </w:tr>
      <w:tr>
        <w:trPr>
          <w:trHeight w:val="243"/>
        </w:trPr>
        <w:tc>
          <w:tcPr>
            <w:tcW w:w="7900" w:type="dxa"/>
            <w:vAlign w:val="bottom"/>
          </w:tcPr>
          <w:p>
            <w:pPr>
              <w:ind w:left="9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(162,901)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(190,161)</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Payments made to clients on contracts (see Note 7)</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88,983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21,627</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Purchases of property and equipment and other</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(230,402)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(248,404)</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Disposals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4,988</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Proceeds from divestiture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293,711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Acquisition of certain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(2,227,785)</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Other investing activities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18,445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(5,059)</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(2,476,260)</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long-term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3,091,777</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Payments of long-term borrowings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(345,458)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(683,102)</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change in funding under the Receivables Facility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95,800</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Payments of dividends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(51,547)</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10,556</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Repurchase of stock</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(24,410)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2,398,798</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2,571</w:t>
            </w:r>
          </w:p>
        </w:tc>
      </w:tr>
      <w:tr>
        <w:trPr>
          <w:trHeight w:val="20"/>
        </w:trPr>
        <w:tc>
          <w:tcPr>
            <w:tcW w:w="7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79" w:right="239" w:bottom="1084" w:gutter="0" w:footer="0" w:header="0"/>
        </w:sectPr>
      </w:pPr>
    </w:p>
    <w:p>
      <w:pPr>
        <w:ind w:left="40"/>
        <w:spacing w:after="0"/>
        <w:rPr>
          <w:sz w:val="20"/>
          <w:szCs w:val="20"/>
          <w:color w:val="auto"/>
        </w:rPr>
      </w:pPr>
      <w:r>
        <w:rPr>
          <w:rFonts w:ascii="Arial" w:cs="Arial" w:eastAsia="Arial" w:hAnsi="Arial"/>
          <w:sz w:val="18"/>
          <w:szCs w:val="18"/>
          <w:color w:val="auto"/>
        </w:rPr>
        <w:t>Decrease in cash and cash equivalents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(53,264)</w:t>
            </w:r>
          </w:p>
        </w:tc>
      </w:tr>
      <w:tr>
        <w:trPr>
          <w:trHeight w:val="270"/>
        </w:trPr>
        <w:tc>
          <w:tcPr>
            <w:tcW w:w="5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215,025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238,797</w:t>
            </w:r>
          </w:p>
        </w:tc>
      </w:tr>
      <w:tr>
        <w:trPr>
          <w:trHeight w:val="27"/>
        </w:trPr>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195,387</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185,533</w:t>
            </w:r>
          </w:p>
        </w:tc>
      </w:tr>
      <w:tr>
        <w:trPr>
          <w:trHeight w:val="27"/>
        </w:trPr>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-376555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20"/>
          </w:cols>
          <w:pgMar w:left="240" w:top="179" w:right="239" w:bottom="1084" w:gutter="0" w:footer="0" w:header="0"/>
          <w:type w:val="continuous"/>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5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260" w:type="dxa"/>
            <w:vAlign w:val="bottom"/>
          </w:tcPr>
          <w:p>
            <w:pPr>
              <w:spacing w:after="0"/>
              <w:rPr>
                <w:sz w:val="22"/>
                <w:szCs w:val="22"/>
                <w:color w:val="auto"/>
              </w:rPr>
            </w:pPr>
          </w:p>
        </w:tc>
        <w:tc>
          <w:tcPr>
            <w:tcW w:w="144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80.5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79" w:right="239" w:bottom="1084"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79" w:right="239" w:bottom="1084"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March 29, 2019 and March 30,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2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Treasury Stock</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28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Surplus</w:t>
            </w: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28, 2018</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3,029,558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2,793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3,132,421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710,519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(724,952)</w:t>
            </w:r>
          </w:p>
        </w:tc>
        <w:tc>
          <w:tcPr>
            <w:tcW w:w="0" w:type="dxa"/>
            <w:vAlign w:val="bottom"/>
          </w:tcPr>
          <w:p>
            <w:pPr>
              <w:spacing w:after="0"/>
              <w:rPr>
                <w:sz w:val="1"/>
                <w:szCs w:val="1"/>
                <w:color w:val="auto"/>
              </w:rPr>
            </w:pPr>
          </w:p>
        </w:tc>
      </w:tr>
      <w:tr>
        <w:trPr>
          <w:trHeight w:val="237"/>
        </w:trPr>
        <w:tc>
          <w:tcPr>
            <w:tcW w:w="3200" w:type="dxa"/>
            <w:vAlign w:val="bottom"/>
          </w:tcPr>
          <w:p>
            <w:pPr>
              <w:ind w:left="280"/>
              <w:spacing w:after="0"/>
              <w:rPr>
                <w:sz w:val="20"/>
                <w:szCs w:val="20"/>
                <w:color w:val="auto"/>
              </w:rPr>
            </w:pPr>
            <w:r>
              <w:rPr>
                <w:rFonts w:ascii="Arial" w:cs="Arial" w:eastAsia="Arial" w:hAnsi="Arial"/>
                <w:sz w:val="18"/>
                <w:szCs w:val="18"/>
                <w:color w:val="auto"/>
                <w:w w:val="97"/>
              </w:rPr>
              <w:t>Adoption of new accounting standard</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58,395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58,395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Aramark</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280,037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280,037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Capital contributions from issuance of</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15,281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w w:val="98"/>
              </w:rPr>
              <w:t>Share-based compensation expense</w:t>
            </w:r>
          </w:p>
        </w:tc>
        <w:tc>
          <w:tcPr>
            <w:tcW w:w="24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33,241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33,241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(76,208)</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Payments of dividends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29,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3,233,680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3,180,943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992,736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(801,160)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2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Treasury Stock</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28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Surplus</w:t>
            </w: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29, 2017</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2,459,061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2,771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3,014,546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247,050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(681,546)</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rPr>
              <w:t>Net income attributable to Aramark</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319,853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319,853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61,065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61,065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80"/>
              <w:spacing w:after="0"/>
              <w:rPr>
                <w:sz w:val="20"/>
                <w:szCs w:val="20"/>
                <w:color w:val="auto"/>
              </w:rPr>
            </w:pPr>
            <w:r>
              <w:rPr>
                <w:rFonts w:ascii="Arial" w:cs="Arial" w:eastAsia="Arial" w:hAnsi="Arial"/>
                <w:sz w:val="18"/>
                <w:szCs w:val="18"/>
                <w:color w:val="auto"/>
                <w:w w:val="96"/>
              </w:rPr>
              <w:t>Capital contributions from issuance of</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14,977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14,962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(39,996)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dividends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Balance, March 30, 2018</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2,795,623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3,063,019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514,055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(62,695)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(721,542)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9"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Aramark (the "Company") is a leading global provider of food, facilities and uniform services to education, healthcare, business &amp; industry and sports, leisure</w:t>
      </w:r>
    </w:p>
    <w:p>
      <w:pPr>
        <w:spacing w:after="0" w:line="46" w:lineRule="exact"/>
        <w:rPr>
          <w:sz w:val="20"/>
          <w:szCs w:val="20"/>
          <w:color w:val="auto"/>
        </w:rPr>
      </w:pPr>
    </w:p>
    <w:p>
      <w:pPr>
        <w:ind w:right="120" w:firstLine="8"/>
        <w:spacing w:after="0" w:line="277" w:lineRule="auto"/>
        <w:tabs>
          <w:tab w:leader="none" w:pos="185" w:val="left"/>
        </w:tabs>
        <w:numPr>
          <w:ilvl w:val="0"/>
          <w:numId w:val="1"/>
        </w:numPr>
        <w:rPr>
          <w:rFonts w:ascii="Arial" w:cs="Arial" w:eastAsia="Arial" w:hAnsi="Arial"/>
          <w:sz w:val="17"/>
          <w:szCs w:val="17"/>
          <w:color w:val="auto"/>
        </w:rPr>
      </w:pPr>
      <w:r>
        <w:rPr>
          <w:rFonts w:ascii="Arial" w:cs="Arial" w:eastAsia="Arial" w:hAnsi="Arial"/>
          <w:sz w:val="17"/>
          <w:szCs w:val="17"/>
          <w:color w:val="auto"/>
        </w:rPr>
        <w:t>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21, 2018. The Condensed Consolidated Balance Sheet as of September 28, 2018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spacing w:after="0" w:line="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all of its subsidiaries in which a controlling financial interest is maintained. All significant intercompany transactions and accounts have been eliminated.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October 2018, the Financial Accounting Standards Board ("FASB") issued an accounting standards update ("ASU") which permits the use of the Overnight Index Swap Rate based on the Secured Overnight Financing Rate as a U.S. benchmark interest rate for hedge accounting purposes. The guidance is effective for the Company in the first quarter of fiscal 2020. The Company early adopted the guidance in the first quarter of fiscal 2019, which did not have an impact on the condensed consolidated financial statements, as the Company's existing interest rate hedges use LIBOR as the benchmark interest rate. The use of the Secured Overnight Financing Rate Overnight Index Swap Rate as the benchmark interest rate may be contemplated in future hedging arrangements.</w:t>
      </w:r>
    </w:p>
    <w:p>
      <w:pPr>
        <w:spacing w:after="0" w:line="5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February 2018, the FASB issued an ASU which provides clarification regarding guidance related to the financial instrument standard. The guidance was effective for the Company in the first quarter of fiscal 2019. The Company adopted the guidance in the first quarter of fiscal 2019, which did not have an impact on the condensed consolidated financial statements.</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May 2017, the FASB issued an ASU to clarify the determination of the customer of the operation services in a service concession arrangement. The guidance was effective for the Company in the first quarter of fiscal 2019. The Company adopted this standard in the first quarter of fiscal 2019, which did not have a material impact on the condensed consolidated financial statements.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2017, the FASB issued an ASU to improve the presentation of net periodic pension cost and net periodic postretirement benefit cost. The guidance was effective for the Company in the first quarter of fiscal 2019. The Company adopted the guidance during the first quarter of fiscal 2019, which did not result in an impact to net income. However, certain balances, including $1.5 million and $3.7 million for the three and six month period ended March 30, 2018, were reclassified from "Cost of services provided" to "Interest and Other Financing Costs, net" on the Condensed Consolidated Statements of Income. The Company applied the practical expedient allowing for the use of amounts disclosed in the pension footnote for prior comparative periods as an estimation basis for applying the retrospective presentation requirements.</w:t>
      </w:r>
    </w:p>
    <w:p>
      <w:pPr>
        <w:spacing w:after="0" w:line="8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February 2017, the FASB issued an ASU to clarify the accounting guidance for partial sales of nonfinancial assets. The guidance was effective for the Company in the first quarter of fiscal 2019. The Company adopted the guidance in the first quarter of fiscal 2019, which did not have an impact on the condensed consolidated financial statements.</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January 2017, the FASB issued an ASU to clarify the definition of a business. The guidance was effective for the Company in the first quarter of fiscal 2019. The Company adopted the guidance in the first quarter of fiscal 2019, using the prospective method, which did not have a material impact on the condensed consolidated financial statements.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2016, the FASB issued an ASU to address certain aspects of recognition, measurement, presentation and disclosure of financial instruments. Under this guidance, equity investments, other than those accounted for under the equity method of accounting or those that result in consolidation of the investee, are to be measured at fair value with the changes in fair value recognized in net income. The guidance was effective for the Company in the first quarter of fiscal 2019. The Company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79"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adopted the guidance in the first quarter of fiscal 2019. Due to the lack of readily available fair values for the Company's equity investments, other than those accounted for under the equity method of accounting, the Company elected to apply the practical expedient to measure these investments at cost minus impairment plus or minus changes resulting from observable price changes in orderly transactions for identical or similar investments of the same issuer. The guidance did not have an impact to the Company's condensed consolidated financial statements.</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May 2014, the FASB issued an ASU on revenue from contracts with customers which supersedes most current revenue recognition guidance. The standard outlines a single comprehensive model which requires an entity to recognize the amount of revenue to which it expects to be entitled for the transfer of promised goods or services to customers. Additionally, the standard requires disclosures regarding the nature, amount, timing and uncertainty of revenue and cash flows arising from contracts with customers. The Company adopted this guidance on September 29, 2018.</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new revenue recognition guidance, the Company completed a comprehensive contract review project and an evaluation of the standard's impact on the timing and presentation of various financial aspects of its contractual arrangements. The Company identified and implemented appropriate changes to business processes, controls and systems to support recognition and disclosure under the new standard. The adoption of the guidance did not have a material impact on the timing of revenue recognition or net income, but it did have an impact on the financial statement line item classification of certain items (see Note 7).</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adopted the new revenue recognition guidance using the modified retrospective transition method. This method allows the new standard to be applied retrospectively through a cumulative catch up adjustment recognized upon adoption. As such, comparative information in the Company’s financial statements has not been restated and continues to be reported under the accounting standards in effect for those periods. The cumulative transition adjustment, net of tax, was an increase to retained earnings upon adoption (approximately $58.4 million) mainly to capitalize costs to obtain contracts related to employee commissions previously expensed. See Note 1 to the Company’s consolidated financial statements in its fiscal 2018 Form 10-K for further information on its significant accounting policies related to revenue recognition and see Note 7 for further information on the impact of adopting the new revenue recognition standard.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Not Yet Adopted (from most to least recent date of issuance)</w:t>
      </w:r>
    </w:p>
    <w:p>
      <w:pPr>
        <w:spacing w:after="0" w:line="117"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In March 2019, the FASB issued an ASU which provides clarification regarding three issues related to the lease recognition standard. The guidance is effective for the Company in the first quarter of fiscal 2020 when the lease recognition standard will be adopted and early adoption is permitted. The Company is currently evaluating the impact of the pronouncement.</w:t>
      </w:r>
    </w:p>
    <w:p>
      <w:pPr>
        <w:spacing w:after="0" w:line="7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defined benefit pension plans. The guidance is effective for the Company in the first quarter of fiscal 2022 and early adoption is permitted. The Company is currently evaluating the impact of the pronouncement.</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fair value measurements. The guidance is effective for the Company in the first quarter of fiscal 2021 and early adoption is permitted. The Company is currently evaluating the impact of the pronouncement.</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July 2018, the FASB issued two ASUs regarding the lease recognition standard. The guidance provides clarification on issues identified regarding the adoption of the standard, provides an additional transition method to adopt the standard and provides an additional practical expedient to lessors. The guidance is effective for the Company in the first quarter of fiscal 2020 and early adoption is permitted. The Company is currently evaluating the impact of the pronouncement.</w:t>
      </w:r>
    </w:p>
    <w:p>
      <w:pPr>
        <w:spacing w:after="0" w:line="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July 2018, the FASB issued an ASU which clarifies, corrects errors in or makes minor improvements to the Accounting Standards Codification. The guidance is effective for the Company either upon issuance or in the first quarter of fiscal 2020, depending on the amendment. There was no impact on the condensed consolidated financial statements related to the amendments that were effective upon issuance of the guidance and the Company is currently evaluating the impact of the remaining amendments of the pronouncement.</w:t>
      </w:r>
    </w:p>
    <w:p>
      <w:pPr>
        <w:spacing w:after="0" w:line="79"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In February 2018, the FASB issued an ASU which allows for the reclassification of stranded tax effects resulting from the Tax Cuts and Jobs Act from accumulated other comprehensive income to retained earnings. The guidance is effective for the Company in the first quarter of fiscal 2020 and early adoption is permitted. The Company is currently evaluating the impact of the pronouncement.</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September 2017, the FASB issued an ASU to provide additional implementation guidance with respect to the revenue recognition standard (see above) and the leases recognition standard (see below). The guidance is effective for the Company in the first quarter of fiscal 2019 with respect to the revenue recognition standard and in the first quarter of fiscal 2020 with respect to the lease recognition standard. Early adoption is permitted. The Company adopted the revenue related portions of this standard in conjunction with the revenue recognition standard during the first quarter of fiscal 2019, as described above. The lease related portions of this standard will be adopted in the first quarter of fiscal 2020 in conjunction with the lease recognition standard.</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79"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June 2016, the FASB issued an ASU to require entities to account for expected credit losses on financial instruments including trade receivables. The guidance is effective for the Company in the first quarter of fiscal 2021 and early adoption is permitted. The Company is currently evaluating the impact of the pronouncement.</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February 2016, the FASB issued an ASU requiring lessees to recognize most leases on their balance sheets as lease liabilities with corresponding right-of-use assets and to disclose key information about lease arrangements. Recognition of expense on the Condensed Consolidated Statements of Income will continue in a manner similar to current guidance. The Company will adopt this guidance using the modified retrospective approach with an adjustment to recognize lease liabilities offset by a right-of-use asset. This adjustment will be recorded at the beginning of the period of adoption in the first quarter of fiscal 2020; therefore, the Company will recognize and measure leases without revising comparative period information or disclosure.</w:t>
      </w:r>
    </w:p>
    <w:p>
      <w:pPr>
        <w:spacing w:after="0" w:line="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existing leases as of the effective date, the Company expects to elect the package of practical expedients available at transition to not reassess historical lease determinations, lease classifications and initial direct costs. Additionally, the Company does not expect to elect the use of hindsight for determining the reasonably certain lease term. The Company will elect the short-term lease recognition exemption whereby lease-related assets and liabilities will not be recognized for arrangements with terms less than one year.</w:t>
      </w:r>
    </w:p>
    <w:p>
      <w:pPr>
        <w:spacing w:after="0" w:line="79"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The Company continues to review its lease arrangements in order to determine the impact the adoption of this ASU will have on its consolidated financial statements and related disclosures. Based on the assessment to date, the Company expects adoption of this standard to result in a material increase in lease-related assets and liabilities in its Condensed Consolidated Balance Sheets, but does not expect it to have a significant impact in its Condensed Consolidated Statements of Income or Cash Flows. The Company continues to assess the disclosure requirements, business processes, controls and systems.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Comprehensive income includes all changes to stockholders' equity during a period, except those resulting from investments by and distributions to stockholders. Components of comprehensive income include net income (loss), changes in foreign currency translation adjustments (net of tax), pension plan adjustments (net of tax), changes in the fair value of cash flow hedges (net of tax) and changes to the share of any equity investees' comprehensive income or loss (net of tax).</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components of comprehensive income is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March 29, 2019</w:t>
            </w: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30, 2018</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Pre-Tax</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4"/>
              </w:rPr>
              <w:t>After-Tax</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Pre-Tax</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After-Tax</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Amount</w:t>
            </w:r>
          </w:p>
        </w:tc>
        <w:tc>
          <w:tcPr>
            <w:tcW w:w="1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Tax Effect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Amount</w:t>
            </w:r>
          </w:p>
        </w:tc>
        <w:tc>
          <w:tcPr>
            <w:tcW w:w="10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8"/>
              </w:rPr>
              <w:t>Tax Effect</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29,310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adjustments</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32,730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8,842</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8,973</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13,353</w:t>
            </w:r>
          </w:p>
        </w:tc>
        <w:tc>
          <w:tcPr>
            <w:tcW w:w="900" w:type="dxa"/>
            <w:vAlign w:val="bottom"/>
          </w:tcPr>
          <w:p>
            <w:pPr>
              <w:jc w:val="right"/>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cash flow hedges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(23,851)</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6,173</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(17,678)</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34,144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Share of equity investee's comprehensive income (loss)</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6,304</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79,676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(30,216)</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49,460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20,655</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77,176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9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Aramark stockholders</w:t>
            </w:r>
          </w:p>
        </w:tc>
        <w:tc>
          <w:tcPr>
            <w:tcW w:w="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20,698</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77,029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40" w:type="dxa"/>
            <w:vAlign w:val="bottom"/>
            <w:vMerge w:val="restart"/>
          </w:tcPr>
          <w:p>
            <w:pPr>
              <w:jc w:val="right"/>
              <w:ind w:right="710"/>
              <w:spacing w:after="0"/>
              <w:rPr>
                <w:sz w:val="20"/>
                <w:szCs w:val="20"/>
                <w:color w:val="auto"/>
              </w:rPr>
            </w:pPr>
            <w:r>
              <w:rPr>
                <w:rFonts w:ascii="Arial" w:cs="Arial" w:eastAsia="Arial" w:hAnsi="Arial"/>
                <w:sz w:val="18"/>
                <w:szCs w:val="18"/>
                <w:color w:val="auto"/>
              </w:rPr>
              <w:t>8</w:t>
            </w: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6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March 29, 2019</w:t>
            </w: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30, 2018</w:t>
            </w:r>
          </w:p>
        </w:tc>
        <w:tc>
          <w:tcPr>
            <w:tcW w:w="880" w:type="dxa"/>
            <w:vAlign w:val="bottom"/>
            <w:tcBorders>
              <w:bottom w:val="single" w:sz="8" w:color="auto"/>
            </w:tcBorders>
          </w:tcPr>
          <w:p>
            <w:pPr>
              <w:spacing w:after="0"/>
              <w:rPr>
                <w:sz w:val="22"/>
                <w:szCs w:val="22"/>
                <w:color w:val="auto"/>
              </w:rPr>
            </w:pPr>
          </w:p>
        </w:tc>
      </w:tr>
      <w:tr>
        <w:trPr>
          <w:trHeight w:val="228"/>
        </w:trPr>
        <w:tc>
          <w:tcPr>
            <w:tcW w:w="5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Pre-Tax</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4"/>
              </w:rPr>
              <w:t>After-Tax</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Pre-Tax</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After-Tax</w:t>
            </w:r>
          </w:p>
        </w:tc>
      </w:tr>
      <w:tr>
        <w:trPr>
          <w:trHeight w:val="257"/>
        </w:trPr>
        <w:tc>
          <w:tcPr>
            <w:tcW w:w="5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Amount</w:t>
            </w:r>
          </w:p>
        </w:tc>
        <w:tc>
          <w:tcPr>
            <w:tcW w:w="1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Tax Effect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Amount</w:t>
            </w:r>
          </w:p>
        </w:tc>
        <w:tc>
          <w:tcPr>
            <w:tcW w:w="10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8"/>
              </w:rPr>
              <w:t>Tax Effect</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Amount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279,988</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320,156</w:t>
            </w: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adjustments</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753</w:t>
            </w:r>
          </w:p>
        </w:tc>
        <w:tc>
          <w:tcPr>
            <w:tcW w:w="10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32,730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(9,034)</w:t>
            </w: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(9,034)</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19,738</w:t>
            </w:r>
          </w:p>
        </w:tc>
        <w:tc>
          <w:tcPr>
            <w:tcW w:w="900" w:type="dxa"/>
            <w:vAlign w:val="bottom"/>
          </w:tcPr>
          <w:p>
            <w:pPr>
              <w:jc w:val="right"/>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18,809</w:t>
            </w: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cash flow hedges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(56,553)</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14,636</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(41,917)</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41,485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29,413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Share of equity investee's comprehensive income (loss)</w:t>
            </w: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5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(65,064)</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14,636</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(50,428)</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93,417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61,065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229,560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381,221</w:t>
            </w: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9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Aramark stockholders</w:t>
            </w:r>
          </w:p>
        </w:tc>
        <w:tc>
          <w:tcPr>
            <w:tcW w:w="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229,609</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380,918</w:t>
            </w:r>
          </w:p>
        </w:tc>
      </w:tr>
      <w:tr>
        <w:trPr>
          <w:trHeight w:val="20"/>
        </w:trPr>
        <w:tc>
          <w:tcPr>
            <w:tcW w:w="5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consists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29, 2019</w:t>
            </w:r>
          </w:p>
        </w:tc>
        <w:tc>
          <w:tcPr>
            <w:tcW w:w="300" w:type="dxa"/>
            <w:vAlign w:val="bottom"/>
          </w:tcPr>
          <w:p>
            <w:pPr>
              <w:spacing w:after="0"/>
              <w:rPr>
                <w:sz w:val="16"/>
                <w:szCs w:val="16"/>
                <w:color w:val="auto"/>
              </w:rPr>
            </w:pPr>
          </w:p>
        </w:tc>
        <w:tc>
          <w:tcPr>
            <w:tcW w:w="1760" w:type="dxa"/>
            <w:vAlign w:val="bottom"/>
          </w:tcPr>
          <w:p>
            <w:pPr>
              <w:jc w:val="right"/>
              <w:ind w:right="293"/>
              <w:spacing w:after="0"/>
              <w:rPr>
                <w:sz w:val="20"/>
                <w:szCs w:val="20"/>
                <w:color w:val="auto"/>
              </w:rPr>
            </w:pPr>
            <w:r>
              <w:rPr>
                <w:rFonts w:ascii="Arial" w:cs="Arial" w:eastAsia="Arial" w:hAnsi="Arial"/>
                <w:sz w:val="14"/>
                <w:szCs w:val="14"/>
                <w:b w:val="1"/>
                <w:bCs w:val="1"/>
                <w:color w:val="auto"/>
              </w:rPr>
              <w:t>September 28, 2018</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adjustments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(102,845)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(93,811)</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36,192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Share of equity investee's accumulated other comprehensive loss</w:t>
            </w: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(9,206)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(8,976)</w:t>
            </w:r>
          </w:p>
        </w:tc>
      </w:tr>
      <w:tr>
        <w:trPr>
          <w:trHeight w:val="27"/>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(91,223)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During fiscal 2018, Argentina was determined to have a highly inflationary economy. As a result, the Company remeasured the financial statements of Argentina's operations in accordance with the accounting guidance for highly inflationary economies. During both the three and six month periods of fiscal 2019, the impact of the foreign currency transactions were immaterial to the condensed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Other assets consist primarily of costs to obtain or fulfill contracts, long-term prepaid rent, investments in 50% or less owned entities, computer software costs, long-term receivables and personalized work apparel, linens and other rental items in service.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9, 2018, the Company completed the sale of its wholly-owned Healthcare Technologies ("HCT") business for $293.7 million in cash. The transaction resulted in a pretax gain of $156.3 million (tax effected gain of $139.2 million) in the Condensed Consolidated Statements of Income. The Company evaluated the sale under the rules for discontinued operations and concluded it did not meet all of the criteria required.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SEVERANCE:</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2018, the Company commenced a new phase of strategic reinvestment and reorganization actions to streamline and improve efficiencies and effectiveness of its selling, general and administrative functions which resulted in a net severance charge of approximately $22.0 million and $39.5 million for the six months ended March 29, 2019 and March 30, 2018, respectively. As of March 29, 2019 and September 28, 2018, the Company had an accrual of approximately $23.5 million and $16.6 million, respectively, related to unpaid severance obligations. These obligations are expected to be paid through fiscal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14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ectPr>
          <w:pgSz w:w="11900" w:h="16838" w:orient="portrait"/>
          <w:cols w:equalWidth="0" w:num="1">
            <w:col w:w="11420"/>
          </w:cols>
          <w:pgMar w:left="240" w:top="179"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79"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Changes in total goodwill during the six months ended March 29, 2019 is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28, 2018</w:t>
            </w:r>
          </w:p>
        </w:tc>
        <w:tc>
          <w:tcPr>
            <w:tcW w:w="22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Acquisitions and</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4"/>
                <w:szCs w:val="14"/>
                <w:color w:val="auto"/>
              </w:rPr>
            </w:pPr>
          </w:p>
        </w:tc>
        <w:tc>
          <w:tcPr>
            <w:tcW w:w="15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March 29, 2019</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Divestitures</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58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FSS United States</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4,028,454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3,941,473</w:t>
            </w:r>
          </w:p>
        </w:tc>
        <w:tc>
          <w:tcPr>
            <w:tcW w:w="0" w:type="dxa"/>
            <w:vAlign w:val="bottom"/>
          </w:tcPr>
          <w:p>
            <w:pPr>
              <w:spacing w:after="0"/>
              <w:rPr>
                <w:sz w:val="1"/>
                <w:szCs w:val="1"/>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626,379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8,082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621,759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955,735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959,320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5,610,568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5,522,552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20" w:hanging="351"/>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the removal of approximately $87.0 million of goodwill related to the divestiture of HCT during the first quarter of fiscal 2019 (see Note 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29, 2019</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28, 2018</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2"/>
        </w:trPr>
        <w:tc>
          <w:tcPr>
            <w:tcW w:w="2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1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3"/>
                <w:szCs w:val="13"/>
                <w:color w:val="auto"/>
              </w:rPr>
            </w:pPr>
          </w:p>
        </w:tc>
        <w:tc>
          <w:tcPr>
            <w:tcW w:w="12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110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 assets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2,225,366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1,043,063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2,244,215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1,087,404</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18"/>
                <w:szCs w:val="18"/>
                <w:color w:val="auto"/>
              </w:rPr>
              <w:t>1,046,963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1,044,578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1,050,825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1,049,440</w:t>
            </w:r>
          </w:p>
        </w:tc>
      </w:tr>
      <w:tr>
        <w:trPr>
          <w:trHeight w:val="27"/>
        </w:trPr>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3,272,329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(1,184,688)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2,087,641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3,295,040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(1,158,196)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2,136,844</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Amortization of intangible assets for the six months ended March 29, 2019 and March 30, 2018 was approximately $59.1 million and $51.8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 net, are summarized in the following table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29, 2019</w:t>
            </w:r>
          </w:p>
        </w:tc>
        <w:tc>
          <w:tcPr>
            <w:tcW w:w="300" w:type="dxa"/>
            <w:vAlign w:val="bottom"/>
          </w:tcPr>
          <w:p>
            <w:pPr>
              <w:spacing w:after="0"/>
              <w:rPr>
                <w:sz w:val="16"/>
                <w:szCs w:val="16"/>
                <w:color w:val="auto"/>
              </w:rPr>
            </w:pPr>
          </w:p>
        </w:tc>
        <w:tc>
          <w:tcPr>
            <w:tcW w:w="1860" w:type="dxa"/>
            <w:vAlign w:val="bottom"/>
          </w:tcPr>
          <w:p>
            <w:pPr>
              <w:jc w:val="right"/>
              <w:ind w:right="391"/>
              <w:spacing w:after="0"/>
              <w:rPr>
                <w:sz w:val="20"/>
                <w:szCs w:val="20"/>
                <w:color w:val="auto"/>
              </w:rPr>
            </w:pPr>
            <w:r>
              <w:rPr>
                <w:rFonts w:ascii="Arial" w:cs="Arial" w:eastAsia="Arial" w:hAnsi="Arial"/>
                <w:sz w:val="14"/>
                <w:szCs w:val="14"/>
                <w:b w:val="1"/>
                <w:bCs w:val="1"/>
                <w:color w:val="auto"/>
              </w:rPr>
              <w:t>September 28, 2018</w:t>
            </w:r>
          </w:p>
        </w:tc>
      </w:tr>
      <w:tr>
        <w:trPr>
          <w:trHeight w:val="250"/>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 due October 2023</w:t>
            </w: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77,000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Senior secured term loan facility, due October 2023</w:t>
            </w: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513,114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538,674</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 facility, due March 2024</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1,126,519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1,325,923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Senior secured term loan facility, due March 2025</w:t>
            </w: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1,657,468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1,656,919</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5.125% senior notes, due January 2024</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902,629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902,908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5.000% senior notes, due April 2025</w:t>
            </w: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591,478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590,884</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3.125% senior notes, due April 2025</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361,050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373,240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4.750% senior notes, due June 2026</w:t>
            </w: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494,402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494,082</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5.000% senior notes, due February 2028</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1,136,472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Receivables Facility, due May 2021</w:t>
            </w: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205,000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135,739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143,388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4,494</w:t>
            </w: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7,190,625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7,243,984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Less—current portion</w:t>
            </w: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(56,339)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(30,907)</w:t>
            </w: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7,134,286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7,213,077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00" w:hanging="465"/>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This is a Euro denominated borrowing.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of March 29, 2019, there was approximately $937.6 million of outstanding foreign currency borrowings.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Refinancing Transactions</w:t>
      </w:r>
    </w:p>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of fiscal 2019, the Company extended the maturity dates of the Revolving Credit Facility, Yen Term Loan due 2022, Canadian Term Loan due 2022, Canadian Term Loan due 2023 and Euro Term Loan due 2022 to October 1, 2023.</w:t>
      </w:r>
    </w:p>
    <w:p>
      <w:pPr>
        <w:spacing w:after="0" w:line="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Also during the first quarter of fiscal 2019, the Company made an optional prepayment of approximately $200.0 million on the U.S. dollar denominated term loan due 2024.</w:t>
      </w:r>
    </w:p>
    <w:p>
      <w:pPr>
        <w:sectPr>
          <w:pgSz w:w="11900" w:h="16838" w:orient="portrait"/>
          <w:cols w:equalWidth="0" w:num="1">
            <w:col w:w="11420"/>
          </w:cols>
          <w:pgMar w:left="240" w:top="179"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79"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INSTRUMENTS:</w:t>
      </w:r>
    </w:p>
    <w:p>
      <w:pPr>
        <w:spacing w:after="0" w:line="14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The Company also formally assesses, both at the hedge's inception and on an ongoing basis, whether the derivatives that are used in hedging transactions are highly effective in offsetting cash flows of hedged items.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4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has approximately $2.8 billion notional amount of outstanding interest rate swap agreements as of March 29, 2019, which fixes the rate on a like amount of variable rate borrowings through the first quarter of fiscal 2023. During the second quarter of fiscal 2019, the Company entered into approximately $500.0 million notional amount of forward starting interest rate swap agreements to hedge the cash flow risk of variability in interest payments on variable rate borrowings. In addition, interest rate swaps with a notional amount of $300.0 million matured during the second quarter of fiscal 2019.</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March 29, 2019 and September 28, 2018, approximately ($5.7) million and $36.2 million of unrealized net of tax gains (losses) related to the interest rate swaps were included in "Accumulated other comprehensive loss," respectively.</w:t>
      </w:r>
    </w:p>
    <w:p>
      <w:pPr>
        <w:spacing w:after="0" w:line="9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summarizes the effect of our derivatives designated as cash flow hedging instruments on Other comprehensive income (loss)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 2019</w:t>
            </w:r>
          </w:p>
        </w:tc>
        <w:tc>
          <w:tcPr>
            <w:tcW w:w="2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31,323</w:t>
            </w:r>
          </w:p>
        </w:tc>
      </w:tr>
      <w:tr>
        <w:trPr>
          <w:trHeight w:val="534"/>
        </w:trPr>
        <w:tc>
          <w:tcPr>
            <w:tcW w:w="8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 2019</w:t>
            </w:r>
          </w:p>
        </w:tc>
        <w:tc>
          <w:tcPr>
            <w:tcW w:w="2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30, 2018</w:t>
            </w: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(52,525)</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36,568</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14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entered into a series of pay fixed/receive floating gasoline and diesel fuel agreements based on the Department of Energy weekly retail on-highway index in order to limit its exposure to price fluctuations for gasoline and diesel fuel. As of March 29, 2019, the Company has contracts for approximately 13.9 million gallons outstanding through the second quarter of fiscal 2020. The Company does not record its gasoline and diesel fuel agreements as hedges for accounting purposes. The impact on earnings related to the change in fair value of these unsettled contracts was a gain of approximately $4.9 million and a loss of approximately $4.3 million for the three and six months ended March 29, 2019, respectively. The impact on earnings related to the change in fair value of these unsettled contracts was a loss of approximately $1.7 million and a gain of approximately $0.2 million for the three and six months ended March 30, 2018, respectively. The change in fair value for unsettled contracts is included in "Selling and general corporate expenses" in the Condensed Consolidated Statements of Income. When the contracts settle, the gain or loss is recorded to"Costs of services provided" in the Condensed Consolidated Statements of Income.</w:t>
      </w:r>
    </w:p>
    <w:p>
      <w:pPr>
        <w:spacing w:after="0" w:line="1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29, 2019, the Company had foreign currency forward exchange contracts outstanding with notional amounts of €15.5 million to mitigate the risk of changes in foreign currency exchange rates on short-term intercompany loans to certain international subsidiaries. Gains and losses on these foreign currency exchange contracts are recognized in earnings as the contracts were not designated as hedging instruments, substantially offsetting currency transaction gains and losses on the short-term intercompany loans.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7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following table summarizes the location and fair value, using Level 2 inputs (see Note 14 for a description of the fair value levels), of the Company's derivatives designated and not designated as hedging instruments in the Condensed Consolidated Balance Sheets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540" w:type="dxa"/>
            <w:vAlign w:val="bottom"/>
            <w:gridSpan w:val="2"/>
          </w:tcPr>
          <w:p>
            <w:pPr>
              <w:ind w:left="100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 2019</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September 28, 2018</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Designated as hedging instruments:</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54,708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Not designated as hedging instruments:</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Gasoline and diesel fuel agreements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59,999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Designated as hedging instruments:</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36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Not designated as hedging instruments:</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Gasoline and diesel fuel agreements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table summarizes the location of (gain) loss reclassified from "Accumulated other comprehensive loss" into earnings for derivatives designated as hedging instruments and the location of (gain) loss for our derivatives not designated as hedging instruments in the Condensed Consolidated Statements of Income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88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40" w:type="dxa"/>
            <w:vAlign w:val="bottom"/>
            <w:tcBorders>
              <w:bottom w:val="single" w:sz="8" w:color="CCEEFF"/>
            </w:tcBorders>
          </w:tcPr>
          <w:p>
            <w:pPr>
              <w:spacing w:after="0"/>
              <w:rPr>
                <w:sz w:val="22"/>
                <w:szCs w:val="22"/>
                <w:color w:val="auto"/>
              </w:rPr>
            </w:pPr>
          </w:p>
        </w:tc>
        <w:tc>
          <w:tcPr>
            <w:tcW w:w="43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Income Statement Location</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March 29, 2019</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Designated as hedging instruments:</w:t>
            </w:r>
          </w:p>
        </w:tc>
        <w:tc>
          <w:tcPr>
            <w:tcW w:w="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Interest rate swap agreements</w:t>
            </w:r>
          </w:p>
        </w:tc>
        <w:tc>
          <w:tcPr>
            <w:tcW w:w="2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(2,327)</w:t>
            </w:r>
          </w:p>
        </w:tc>
        <w:tc>
          <w:tcPr>
            <w:tcW w:w="4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2,821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Not designated as hedging instruments:</w:t>
            </w:r>
          </w:p>
        </w:tc>
        <w:tc>
          <w:tcPr>
            <w:tcW w:w="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Gasoline and diesel fuel agreements</w:t>
            </w:r>
          </w:p>
        </w:tc>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Costs of services provided / Selling and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corporate expenses</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(3,675)</w:t>
            </w:r>
          </w:p>
        </w:tc>
        <w:tc>
          <w:tcPr>
            <w:tcW w:w="40" w:type="dxa"/>
            <w:vAlign w:val="bottom"/>
          </w:tcPr>
          <w:p>
            <w:pPr>
              <w:spacing w:after="0"/>
              <w:rPr>
                <w:sz w:val="20"/>
                <w:szCs w:val="20"/>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2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1093"/>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0" w:type="dxa"/>
            <w:vAlign w:val="bottom"/>
          </w:tcPr>
          <w:p>
            <w:pPr>
              <w:ind w:left="880"/>
              <w:spacing w:after="0"/>
              <w:rPr>
                <w:sz w:val="20"/>
                <w:szCs w:val="20"/>
                <w:color w:val="auto"/>
              </w:rPr>
            </w:pPr>
            <w:r>
              <w:rPr>
                <w:rFonts w:ascii="Arial" w:cs="Arial" w:eastAsia="Arial" w:hAnsi="Arial"/>
                <w:sz w:val="14"/>
                <w:szCs w:val="14"/>
                <w:b w:val="1"/>
                <w:bCs w:val="1"/>
                <w:color w:val="auto"/>
              </w:rPr>
              <w:t>Income Statement Location</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 2019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40" w:type="dxa"/>
            <w:vAlign w:val="bottom"/>
          </w:tcPr>
          <w:p>
            <w:pPr>
              <w:spacing w:after="0"/>
              <w:rPr>
                <w:sz w:val="21"/>
                <w:szCs w:val="21"/>
                <w:color w:val="auto"/>
              </w:rPr>
            </w:pPr>
          </w:p>
        </w:tc>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2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(4,029)</w:t>
            </w:r>
          </w:p>
        </w:tc>
        <w:tc>
          <w:tcPr>
            <w:tcW w:w="40" w:type="dxa"/>
            <w:vAlign w:val="bottom"/>
          </w:tcPr>
          <w:p>
            <w:pPr>
              <w:spacing w:after="0"/>
              <w:rPr>
                <w:sz w:val="21"/>
                <w:szCs w:val="21"/>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4,917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Gasoline and diesel fuel agreements</w:t>
            </w:r>
          </w:p>
        </w:tc>
        <w:tc>
          <w:tcPr>
            <w:tcW w:w="2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Costs of services provided / Selling and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5,469</w:t>
            </w:r>
          </w:p>
        </w:tc>
        <w:tc>
          <w:tcPr>
            <w:tcW w:w="40" w:type="dxa"/>
            <w:vAlign w:val="bottom"/>
          </w:tcPr>
          <w:p>
            <w:pPr>
              <w:spacing w:after="0"/>
              <w:rPr>
                <w:sz w:val="20"/>
                <w:szCs w:val="20"/>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(3,477)</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2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5,713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1,684</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79"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March 29, 2019, the net of tax gain expected to be reclassified from "Accumulated other comprehensive loss" into earnings over the next twelve months based on current market rates is approximately $3.4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w:t>
      </w:r>
    </w:p>
    <w:p>
      <w:pPr>
        <w:spacing w:after="0" w:line="14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generates revenue through sales of food, facility and uniform services to customers based on written contracts at the locations we serve. Within our FSS United States and FSS International segments, we provide food and beverage services, including catering and retail services, or facilities services, including plant operations and maintenance, custodial, housekeeping, landscaping and other services. Within our Uniform segment, the Company provides a full service uniform solution, including delivery, cleaning and maintenance. In accordance with Accounting Standards Codification 606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4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New Revenue Recognition Standard</w:t>
      </w:r>
    </w:p>
    <w:p>
      <w:pPr>
        <w:spacing w:after="0" w:line="14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a result of the adoption of ASC 606, the following changes occurred with respect to financial statement line item classification in the Company's condensed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Adjustment</w:t>
      </w:r>
      <w:r>
        <w:rPr>
          <w:rFonts w:ascii="Arial" w:cs="Arial" w:eastAsia="Arial" w:hAnsi="Arial"/>
          <w:sz w:val="18"/>
          <w:szCs w:val="18"/>
          <w:color w:val="auto"/>
        </w:rPr>
        <w:t>:</w:t>
      </w:r>
    </w:p>
    <w:p>
      <w:pPr>
        <w:spacing w:after="0" w:line="144" w:lineRule="exact"/>
        <w:rPr>
          <w:sz w:val="20"/>
          <w:szCs w:val="20"/>
          <w:color w:val="auto"/>
        </w:rPr>
      </w:pPr>
    </w:p>
    <w:p>
      <w:pPr>
        <w:ind w:left="660" w:right="2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to obtain contracts related to employee sales commissions, previously expensed to “Cost of services provided” at contract inception, are now capitalized in “Other Assets” ($97.2 million and $103.8 million as of September 29, 2018 and March 29, 2019,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Reclassifications and Changes in Presentation:</w:t>
      </w:r>
    </w:p>
    <w:p>
      <w:pPr>
        <w:spacing w:after="0" w:line="144" w:lineRule="exact"/>
        <w:rPr>
          <w:sz w:val="20"/>
          <w:szCs w:val="20"/>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fees within the Uniform segment, $95.8 million and $191.1 million for the three and six month periods of fiscal 2019, previously recognized as a reduction to “Cost of services provided,” are now recognized in “Revenue;”</w:t>
      </w:r>
    </w:p>
    <w:p>
      <w:pPr>
        <w:spacing w:after="0" w:line="89"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client contract investments, previously capitalized within “Other Assets” and amortized to “Depreciation and amortization” will continue to be expensed over the contract life as either a leasehold improvement in “Property and equipment, net” ($795.1 million as of March 29, 2019) or as long-term prepaid rent or costs to fulfill in “Other Assets” ($186.4 million and $112.9 million as of March 29, 2019, respectively) and primarily classified in “Depreciation and amortization” or “Cost of services provided;”</w:t>
      </w:r>
    </w:p>
    <w:p>
      <w:pPr>
        <w:spacing w:after="0" w:line="10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to fulfill contracts related to personalized work apparel, linens and other rental items in service, previously capitalized within "Inventories" are now capitalized within "Other Assets" ($345.0 million as of March 29, 2019); and</w:t>
      </w:r>
    </w:p>
    <w:p>
      <w:pPr>
        <w:spacing w:after="0" w:line="89"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client contract investments, previously included within "Purchases of property and equipment and other" in Net cash provided by (used in) investing activities on the Condensed Consolidated Statements of Cash Flows, are now included within "Payments made to clients on contracts" in Net cash provided by operating activities.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79"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compares the reported Condensed Consolidated Balance Sheet as of March 29, 2019, to the balances had the previous revenue accounting guidance remained in effect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March 29, 2019</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 Reported</w:t>
            </w:r>
          </w:p>
        </w:tc>
        <w:tc>
          <w:tcPr>
            <w:tcW w:w="170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9"/>
              </w:rPr>
              <w:t>Adoption adjustments of</w:t>
            </w:r>
          </w:p>
        </w:tc>
        <w:tc>
          <w:tcPr>
            <w:tcW w:w="140" w:type="dxa"/>
            <w:vAlign w:val="bottom"/>
          </w:tcPr>
          <w:p>
            <w:pPr>
              <w:spacing w:after="0"/>
              <w:rPr>
                <w:sz w:val="12"/>
                <w:szCs w:val="12"/>
                <w:color w:val="auto"/>
              </w:rPr>
            </w:pPr>
          </w:p>
        </w:tc>
        <w:tc>
          <w:tcPr>
            <w:tcW w:w="1460" w:type="dxa"/>
            <w:vAlign w:val="bottom"/>
          </w:tcPr>
          <w:p>
            <w:pPr>
              <w:jc w:val="right"/>
              <w:ind w:right="191"/>
              <w:spacing w:after="0" w:line="147" w:lineRule="exact"/>
              <w:rPr>
                <w:sz w:val="20"/>
                <w:szCs w:val="20"/>
                <w:color w:val="auto"/>
              </w:rPr>
            </w:pPr>
            <w:r>
              <w:rPr>
                <w:rFonts w:ascii="Arial" w:cs="Arial" w:eastAsia="Arial" w:hAnsi="Arial"/>
                <w:sz w:val="14"/>
                <w:szCs w:val="14"/>
                <w:b w:val="1"/>
                <w:bCs w:val="1"/>
                <w:color w:val="auto"/>
              </w:rPr>
              <w:t>Balances without</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ASC 606</w:t>
            </w:r>
          </w:p>
        </w:tc>
        <w:tc>
          <w:tcPr>
            <w:tcW w:w="140" w:type="dxa"/>
            <w:vAlign w:val="bottom"/>
          </w:tcPr>
          <w:p>
            <w:pPr>
              <w:spacing w:after="0"/>
              <w:rPr>
                <w:sz w:val="16"/>
                <w:szCs w:val="16"/>
                <w:color w:val="auto"/>
              </w:rPr>
            </w:pPr>
          </w:p>
        </w:tc>
        <w:tc>
          <w:tcPr>
            <w:tcW w:w="146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adoption of ASC 606</w:t>
            </w:r>
          </w:p>
        </w:tc>
        <w:tc>
          <w:tcPr>
            <w:tcW w:w="0" w:type="dxa"/>
            <w:vAlign w:val="bottom"/>
          </w:tcPr>
          <w:p>
            <w:pPr>
              <w:spacing w:after="0"/>
              <w:rPr>
                <w:sz w:val="1"/>
                <w:szCs w:val="1"/>
                <w:color w:val="auto"/>
              </w:rPr>
            </w:pPr>
          </w:p>
        </w:tc>
      </w:tr>
      <w:tr>
        <w:trPr>
          <w:trHeight w:val="230"/>
        </w:trPr>
        <w:tc>
          <w:tcPr>
            <w:tcW w:w="5360" w:type="dxa"/>
            <w:vAlign w:val="bottom"/>
          </w:tcPr>
          <w:p>
            <w:pPr>
              <w:ind w:left="2820"/>
              <w:spacing w:after="0"/>
              <w:rPr>
                <w:sz w:val="20"/>
                <w:szCs w:val="20"/>
                <w:color w:val="auto"/>
              </w:rPr>
            </w:pPr>
            <w:r>
              <w:rPr>
                <w:rFonts w:ascii="Arial" w:cs="Arial" w:eastAsia="Arial" w:hAnsi="Arial"/>
                <w:sz w:val="18"/>
                <w:szCs w:val="18"/>
                <w:b w:val="1"/>
                <w:bCs w:val="1"/>
                <w:color w:val="auto"/>
              </w:rPr>
              <w:t>ASSETS</w:t>
            </w:r>
          </w:p>
        </w:tc>
        <w:tc>
          <w:tcPr>
            <w:tcW w:w="10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195,387</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195,387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Receivables, net</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1,878,151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1,878,151</w:t>
            </w: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400,269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344,953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745,222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Prepayments and other current assets</w:t>
            </w: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156,796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156,796</w:t>
            </w:r>
          </w:p>
        </w:tc>
        <w:tc>
          <w:tcPr>
            <w:tcW w:w="0" w:type="dxa"/>
            <w:vAlign w:val="bottom"/>
          </w:tcPr>
          <w:p>
            <w:pPr>
              <w:spacing w:after="0"/>
              <w:rPr>
                <w:sz w:val="1"/>
                <w:szCs w:val="1"/>
                <w:color w:val="auto"/>
              </w:rPr>
            </w:pPr>
          </w:p>
        </w:tc>
      </w:tr>
      <w:tr>
        <w:trPr>
          <w:trHeight w:val="237"/>
        </w:trPr>
        <w:tc>
          <w:tcPr>
            <w:tcW w:w="5360" w:type="dxa"/>
            <w:vAlign w:val="bottom"/>
          </w:tcPr>
          <w:p>
            <w:pPr>
              <w:ind w:left="1340"/>
              <w:spacing w:after="0"/>
              <w:rPr>
                <w:sz w:val="20"/>
                <w:szCs w:val="20"/>
                <w:color w:val="auto"/>
              </w:rPr>
            </w:pPr>
            <w:r>
              <w:rPr>
                <w:rFonts w:ascii="Arial" w:cs="Arial" w:eastAsia="Arial" w:hAnsi="Arial"/>
                <w:sz w:val="18"/>
                <w:szCs w:val="18"/>
                <w:color w:val="auto"/>
              </w:rPr>
              <w:t>Total current assets</w:t>
            </w:r>
          </w:p>
        </w:tc>
        <w:tc>
          <w:tcPr>
            <w:tcW w:w="1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2,630,603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344,953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2,975,556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2,142,944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1,347,848</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5,522,552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5,522,552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2,087,641</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1,327,074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339,781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1,666,855</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13,710,814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13,600,452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120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Current maturities of long-term borrowings</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56,339</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56,339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Accounts payable</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911,785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911,785</w:t>
            </w: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Accrued expenses and other current liabilities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1,342,981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1,319,455</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2,311,105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2,287,579</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1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7,134,286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7,134,286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Noncurrent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998,205</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9,994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9,994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Common stock</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Capital surplus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3,180,943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3,180,943</w:t>
            </w: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Retained earnings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992,736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(63,292)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929,444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(141,651)</w:t>
            </w: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Treasury stock</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(801,160)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(801,160)</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stockholders' equity</w:t>
            </w: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3,233,680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3,170,388</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13,710,814</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13,600,452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vMerge w:val="restart"/>
          </w:tcPr>
          <w:p>
            <w:pPr>
              <w:jc w:val="right"/>
              <w:ind w:right="51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3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compares the reported Condensed Consolidated Statements of Income for the three and six month period ended March 29, 2019, to the balances had the previous revenue accounting guidance remained in effect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7"/>
          </w:tcPr>
          <w:p>
            <w:pPr>
              <w:jc w:val="center"/>
              <w:ind w:left="1092"/>
              <w:spacing w:after="0"/>
              <w:rPr>
                <w:sz w:val="20"/>
                <w:szCs w:val="20"/>
                <w:color w:val="auto"/>
              </w:rPr>
            </w:pPr>
            <w:r>
              <w:rPr>
                <w:rFonts w:ascii="Arial" w:cs="Arial" w:eastAsia="Arial" w:hAnsi="Arial"/>
                <w:sz w:val="14"/>
                <w:szCs w:val="14"/>
                <w:b w:val="1"/>
                <w:bCs w:val="1"/>
                <w:color w:val="auto"/>
                <w:w w:val="95"/>
              </w:rPr>
              <w:t>Three Months Ended March 29, 2019</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As Reported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Adoption adjustments of</w:t>
            </w:r>
          </w:p>
        </w:tc>
        <w:tc>
          <w:tcPr>
            <w:tcW w:w="18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Balances without adoption</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340" w:type="dxa"/>
            <w:vAlign w:val="bottom"/>
          </w:tcPr>
          <w:p>
            <w:pPr>
              <w:spacing w:after="0"/>
              <w:rPr>
                <w:sz w:val="16"/>
                <w:szCs w:val="16"/>
                <w:color w:val="auto"/>
              </w:rPr>
            </w:pPr>
          </w:p>
        </w:tc>
        <w:tc>
          <w:tcPr>
            <w:tcW w:w="1480" w:type="dxa"/>
            <w:vAlign w:val="bottom"/>
          </w:tcPr>
          <w:p>
            <w:pPr>
              <w:jc w:val="center"/>
              <w:ind w:right="251"/>
              <w:spacing w:after="0"/>
              <w:rPr>
                <w:sz w:val="20"/>
                <w:szCs w:val="20"/>
                <w:color w:val="auto"/>
              </w:rPr>
            </w:pPr>
            <w:r>
              <w:rPr>
                <w:rFonts w:ascii="Arial" w:cs="Arial" w:eastAsia="Arial" w:hAnsi="Arial"/>
                <w:sz w:val="14"/>
                <w:szCs w:val="14"/>
                <w:b w:val="1"/>
                <w:bCs w:val="1"/>
                <w:color w:val="auto"/>
                <w:w w:val="94"/>
              </w:rPr>
              <w:t>of ASC 606</w:t>
            </w:r>
          </w:p>
        </w:tc>
        <w:tc>
          <w:tcPr>
            <w:tcW w:w="0" w:type="dxa"/>
            <w:vAlign w:val="bottom"/>
          </w:tcPr>
          <w:p>
            <w:pPr>
              <w:spacing w:after="0"/>
              <w:rPr>
                <w:sz w:val="1"/>
                <w:szCs w:val="1"/>
                <w:color w:val="auto"/>
              </w:rPr>
            </w:pPr>
          </w:p>
        </w:tc>
      </w:tr>
      <w:tr>
        <w:trPr>
          <w:trHeight w:val="324"/>
        </w:trPr>
        <w:tc>
          <w:tcPr>
            <w:tcW w:w="574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46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6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3,999,987</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(91,583)</w:t>
            </w:r>
          </w:p>
        </w:tc>
        <w:tc>
          <w:tcPr>
            <w:tcW w:w="12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3,908,404</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60"/>
              <w:spacing w:after="0"/>
              <w:rPr>
                <w:sz w:val="20"/>
                <w:szCs w:val="20"/>
                <w:color w:val="auto"/>
              </w:rPr>
            </w:pPr>
            <w:r>
              <w:rPr>
                <w:rFonts w:ascii="Arial" w:cs="Arial" w:eastAsia="Arial" w:hAnsi="Arial"/>
                <w:sz w:val="18"/>
                <w:szCs w:val="18"/>
                <w:color w:val="auto"/>
              </w:rPr>
              <w:t>Cost of services provided</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3,639,959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(94,490)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3,545,469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147,908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152,801</w:t>
            </w:r>
          </w:p>
        </w:tc>
        <w:tc>
          <w:tcPr>
            <w:tcW w:w="0" w:type="dxa"/>
            <w:vAlign w:val="bottom"/>
          </w:tcPr>
          <w:p>
            <w:pPr>
              <w:spacing w:after="0"/>
              <w:rPr>
                <w:sz w:val="1"/>
                <w:szCs w:val="1"/>
                <w:color w:val="auto"/>
              </w:rPr>
            </w:pPr>
          </w:p>
        </w:tc>
      </w:tr>
      <w:tr>
        <w:trPr>
          <w:trHeight w:val="243"/>
        </w:trPr>
        <w:tc>
          <w:tcPr>
            <w:tcW w:w="5740" w:type="dxa"/>
            <w:vAlign w:val="bottom"/>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88,285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88,285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Gain on sale of Healthcare Technologies</w:t>
            </w: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3,877,152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(89,597)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3,787,555</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122,835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120,849</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Interest and Other Financing Costs, net</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84,178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84,178</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36,671</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27,838</w:t>
            </w:r>
          </w:p>
        </w:tc>
        <w:tc>
          <w:tcPr>
            <w:tcW w:w="0" w:type="dxa"/>
            <w:vAlign w:val="bottom"/>
          </w:tcPr>
          <w:p>
            <w:pPr>
              <w:spacing w:after="0"/>
              <w:rPr>
                <w:sz w:val="1"/>
                <w:szCs w:val="1"/>
                <w:color w:val="auto"/>
              </w:rPr>
            </w:pPr>
          </w:p>
        </w:tc>
      </w:tr>
      <w:tr>
        <w:trPr>
          <w:trHeight w:val="243"/>
        </w:trPr>
        <w:tc>
          <w:tcPr>
            <w:tcW w:w="5740" w:type="dxa"/>
            <w:vAlign w:val="bottom"/>
          </w:tcPr>
          <w:p>
            <w:pPr>
              <w:ind w:left="460"/>
              <w:spacing w:after="0"/>
              <w:rPr>
                <w:sz w:val="20"/>
                <w:szCs w:val="20"/>
                <w:color w:val="auto"/>
              </w:rPr>
            </w:pPr>
            <w:r>
              <w:rPr>
                <w:rFonts w:ascii="Arial" w:cs="Arial" w:eastAsia="Arial" w:hAnsi="Arial"/>
                <w:sz w:val="18"/>
                <w:szCs w:val="18"/>
                <w:color w:val="auto"/>
              </w:rPr>
              <w:t>Less: Net income (loss) attributable to noncontrolling interest</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Net income attributable to Aramark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29,353</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right="196"/>
              <w:spacing w:after="0"/>
              <w:rPr>
                <w:sz w:val="20"/>
                <w:szCs w:val="20"/>
                <w:color w:val="auto"/>
              </w:rPr>
            </w:pPr>
            <w:r>
              <w:rPr>
                <w:rFonts w:ascii="Arial" w:cs="Arial" w:eastAsia="Arial" w:hAnsi="Arial"/>
                <w:sz w:val="14"/>
                <w:szCs w:val="14"/>
                <w:b w:val="1"/>
                <w:bCs w:val="1"/>
                <w:color w:val="auto"/>
                <w:w w:val="95"/>
              </w:rPr>
              <w:t>Six Months Ended March 29, 2019</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As Reported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Adoption adjustments of</w:t>
            </w:r>
          </w:p>
        </w:tc>
        <w:tc>
          <w:tcPr>
            <w:tcW w:w="18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Balances without adoption</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340" w:type="dxa"/>
            <w:vAlign w:val="bottom"/>
          </w:tcPr>
          <w:p>
            <w:pPr>
              <w:spacing w:after="0"/>
              <w:rPr>
                <w:sz w:val="16"/>
                <w:szCs w:val="16"/>
                <w:color w:val="auto"/>
              </w:rPr>
            </w:pPr>
          </w:p>
        </w:tc>
        <w:tc>
          <w:tcPr>
            <w:tcW w:w="1480" w:type="dxa"/>
            <w:vAlign w:val="bottom"/>
          </w:tcPr>
          <w:p>
            <w:pPr>
              <w:jc w:val="center"/>
              <w:ind w:right="251"/>
              <w:spacing w:after="0"/>
              <w:rPr>
                <w:sz w:val="20"/>
                <w:szCs w:val="20"/>
                <w:color w:val="auto"/>
              </w:rPr>
            </w:pPr>
            <w:r>
              <w:rPr>
                <w:rFonts w:ascii="Arial" w:cs="Arial" w:eastAsia="Arial" w:hAnsi="Arial"/>
                <w:sz w:val="14"/>
                <w:szCs w:val="14"/>
                <w:b w:val="1"/>
                <w:bCs w:val="1"/>
                <w:color w:val="auto"/>
                <w:w w:val="94"/>
              </w:rPr>
              <w:t>of ASC 606</w:t>
            </w:r>
          </w:p>
        </w:tc>
        <w:tc>
          <w:tcPr>
            <w:tcW w:w="0" w:type="dxa"/>
            <w:vAlign w:val="bottom"/>
          </w:tcPr>
          <w:p>
            <w:pPr>
              <w:spacing w:after="0"/>
              <w:rPr>
                <w:sz w:val="1"/>
                <w:szCs w:val="1"/>
                <w:color w:val="auto"/>
              </w:rPr>
            </w:pPr>
          </w:p>
        </w:tc>
      </w:tr>
      <w:tr>
        <w:trPr>
          <w:trHeight w:val="324"/>
        </w:trPr>
        <w:tc>
          <w:tcPr>
            <w:tcW w:w="574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46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6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8,265,336</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(180,090)</w:t>
            </w:r>
          </w:p>
        </w:tc>
        <w:tc>
          <w:tcPr>
            <w:tcW w:w="12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8,085,246</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60"/>
              <w:spacing w:after="0"/>
              <w:rPr>
                <w:sz w:val="20"/>
                <w:szCs w:val="20"/>
                <w:color w:val="auto"/>
              </w:rPr>
            </w:pPr>
            <w:r>
              <w:rPr>
                <w:rFonts w:ascii="Arial" w:cs="Arial" w:eastAsia="Arial" w:hAnsi="Arial"/>
                <w:sz w:val="18"/>
                <w:szCs w:val="18"/>
                <w:color w:val="auto"/>
              </w:rPr>
              <w:t>Cost of services provided</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7,434,404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(183,197)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7,251,207</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298,629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306,528</w:t>
            </w:r>
          </w:p>
        </w:tc>
        <w:tc>
          <w:tcPr>
            <w:tcW w:w="0" w:type="dxa"/>
            <w:vAlign w:val="bottom"/>
          </w:tcPr>
          <w:p>
            <w:pPr>
              <w:spacing w:after="0"/>
              <w:rPr>
                <w:sz w:val="1"/>
                <w:szCs w:val="1"/>
                <w:color w:val="auto"/>
              </w:rPr>
            </w:pPr>
          </w:p>
        </w:tc>
      </w:tr>
      <w:tr>
        <w:trPr>
          <w:trHeight w:val="243"/>
        </w:trPr>
        <w:tc>
          <w:tcPr>
            <w:tcW w:w="5740" w:type="dxa"/>
            <w:vAlign w:val="bottom"/>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192,415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192,415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Gain on sale of Healthcare Technologies</w:t>
            </w: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(156,309)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(156,309)</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7,769,139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(175,298)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7,593,841</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496,197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491,405</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Interest and Other Financing Costs, net</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167,155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167,155</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324,250</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49,054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47,813</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279,988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276,437</w:t>
            </w:r>
          </w:p>
        </w:tc>
        <w:tc>
          <w:tcPr>
            <w:tcW w:w="0" w:type="dxa"/>
            <w:vAlign w:val="bottom"/>
          </w:tcPr>
          <w:p>
            <w:pPr>
              <w:spacing w:after="0"/>
              <w:rPr>
                <w:sz w:val="1"/>
                <w:szCs w:val="1"/>
                <w:color w:val="auto"/>
              </w:rPr>
            </w:pPr>
          </w:p>
        </w:tc>
      </w:tr>
      <w:tr>
        <w:trPr>
          <w:trHeight w:val="243"/>
        </w:trPr>
        <w:tc>
          <w:tcPr>
            <w:tcW w:w="5740" w:type="dxa"/>
            <w:vAlign w:val="bottom"/>
          </w:tcPr>
          <w:p>
            <w:pPr>
              <w:ind w:left="460"/>
              <w:spacing w:after="0"/>
              <w:rPr>
                <w:sz w:val="20"/>
                <w:szCs w:val="20"/>
                <w:color w:val="auto"/>
              </w:rPr>
            </w:pPr>
            <w:r>
              <w:rPr>
                <w:rFonts w:ascii="Arial" w:cs="Arial" w:eastAsia="Arial" w:hAnsi="Arial"/>
                <w:sz w:val="18"/>
                <w:szCs w:val="18"/>
                <w:color w:val="auto"/>
              </w:rPr>
              <w:t>Less: Net income (loss) attributable to noncontrolling interest</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Net income attributable to Aramark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280,037</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276,486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79"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revenue source (in millions):</w:t>
      </w:r>
    </w:p>
    <w:p>
      <w:pPr>
        <w:sectPr>
          <w:pgSz w:w="11900" w:h="16838" w:orient="portrait"/>
          <w:cols w:equalWidth="0" w:num="1">
            <w:col w:w="11420"/>
          </w:cols>
          <w:pgMar w:left="240" w:top="179" w:right="239" w:bottom="1440" w:gutter="0" w:footer="0" w:header="0"/>
        </w:sectPr>
      </w:pPr>
    </w:p>
    <w:p>
      <w:pPr>
        <w:spacing w:after="0" w:line="338" w:lineRule="exact"/>
        <w:rPr>
          <w:sz w:val="20"/>
          <w:szCs w:val="20"/>
          <w:color w:val="auto"/>
        </w:rPr>
      </w:pPr>
    </w:p>
    <w:p>
      <w:pPr>
        <w:jc w:val="center"/>
        <w:ind w:left="708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31115</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March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520"/>
        <w:spacing w:after="0"/>
        <w:rPr>
          <w:sz w:val="20"/>
          <w:szCs w:val="20"/>
          <w:color w:val="auto"/>
        </w:rPr>
      </w:pPr>
      <w:r>
        <w:rPr>
          <w:rFonts w:ascii="Arial" w:cs="Arial" w:eastAsia="Arial" w:hAnsi="Arial"/>
          <w:sz w:val="12"/>
          <w:szCs w:val="12"/>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38100</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12"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March 29, 2019</w:t>
      </w:r>
    </w:p>
    <w:p>
      <w:pPr>
        <w:spacing w:after="0" w:line="63" w:lineRule="exact"/>
        <w:rPr>
          <w:sz w:val="20"/>
          <w:szCs w:val="20"/>
          <w:color w:val="auto"/>
        </w:rPr>
      </w:pPr>
    </w:p>
    <w:p>
      <w:pPr>
        <w:sectPr>
          <w:pgSz w:w="11900" w:h="16838" w:orient="portrait"/>
          <w:cols w:equalWidth="0" w:num="2">
            <w:col w:w="9060" w:space="720"/>
            <w:col w:w="1640"/>
          </w:cols>
          <w:pgMar w:left="240" w:top="179"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shd w:val="clear" w:color="auto" w:fill="CCEEFF"/>
        </w:rPr>
        <w:t>FSS United States: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Business &amp; Industry</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20"/>
                <w:szCs w:val="20"/>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794.7</w:t>
            </w: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Education</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1,917.9</w:t>
            </w:r>
          </w:p>
        </w:tc>
      </w:tr>
      <w:tr>
        <w:trPr>
          <w:trHeight w:val="243"/>
        </w:trPr>
        <w:tc>
          <w:tcPr>
            <w:tcW w:w="700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484.7</w:t>
            </w: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Sports, Leisure &amp; Corrections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1,099.0</w:t>
            </w:r>
          </w:p>
        </w:tc>
      </w:tr>
      <w:tr>
        <w:trPr>
          <w:trHeight w:val="243"/>
        </w:trPr>
        <w:tc>
          <w:tcPr>
            <w:tcW w:w="7000" w:type="dxa"/>
            <w:vAlign w:val="bottom"/>
          </w:tcPr>
          <w:p>
            <w:pPr>
              <w:ind w:left="220"/>
              <w:spacing w:after="0"/>
              <w:rPr>
                <w:sz w:val="20"/>
                <w:szCs w:val="20"/>
                <w:color w:val="auto"/>
              </w:rPr>
            </w:pPr>
            <w:r>
              <w:rPr>
                <w:rFonts w:ascii="Arial" w:cs="Arial" w:eastAsia="Arial" w:hAnsi="Arial"/>
                <w:sz w:val="18"/>
                <w:szCs w:val="18"/>
                <w:color w:val="auto"/>
              </w:rPr>
              <w:t>Facilities &amp; Other</w:t>
            </w: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781.0</w:t>
            </w:r>
          </w:p>
        </w:tc>
      </w:tr>
      <w:tr>
        <w:trPr>
          <w:trHeight w:val="27"/>
        </w:trPr>
        <w:tc>
          <w:tcPr>
            <w:tcW w:w="7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jc w:val="right"/>
              <w:ind w:right="4750"/>
              <w:spacing w:after="0"/>
              <w:rPr>
                <w:sz w:val="20"/>
                <w:szCs w:val="20"/>
                <w:color w:val="auto"/>
              </w:rPr>
            </w:pPr>
            <w:r>
              <w:rPr>
                <w:rFonts w:ascii="Arial" w:cs="Arial" w:eastAsia="Arial" w:hAnsi="Arial"/>
                <w:sz w:val="18"/>
                <w:szCs w:val="18"/>
                <w:color w:val="auto"/>
              </w:rPr>
              <w:t>Total FSS United States</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2,417.0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5,077.3</w:t>
            </w:r>
          </w:p>
        </w:tc>
      </w:tr>
      <w:tr>
        <w:trPr>
          <w:trHeight w:val="324"/>
        </w:trPr>
        <w:tc>
          <w:tcPr>
            <w:tcW w:w="7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FSS International:</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220"/>
              <w:spacing w:after="0"/>
              <w:rPr>
                <w:sz w:val="20"/>
                <w:szCs w:val="20"/>
                <w:color w:val="auto"/>
              </w:rPr>
            </w:pPr>
            <w:r>
              <w:rPr>
                <w:rFonts w:ascii="Arial" w:cs="Arial" w:eastAsia="Arial" w:hAnsi="Arial"/>
                <w:sz w:val="18"/>
                <w:szCs w:val="18"/>
                <w:color w:val="auto"/>
              </w:rPr>
              <w:t>Europe</w:t>
            </w: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512.0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1,032.2</w:t>
            </w: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863.0</w:t>
            </w:r>
          </w:p>
        </w:tc>
      </w:tr>
      <w:tr>
        <w:trPr>
          <w:trHeight w:val="237"/>
        </w:trPr>
        <w:tc>
          <w:tcPr>
            <w:tcW w:w="7000" w:type="dxa"/>
            <w:vAlign w:val="bottom"/>
          </w:tcPr>
          <w:p>
            <w:pPr>
              <w:jc w:val="right"/>
              <w:ind w:right="4750"/>
              <w:spacing w:after="0"/>
              <w:rPr>
                <w:sz w:val="20"/>
                <w:szCs w:val="20"/>
                <w:color w:val="auto"/>
              </w:rPr>
            </w:pPr>
            <w:r>
              <w:rPr>
                <w:rFonts w:ascii="Arial" w:cs="Arial" w:eastAsia="Arial" w:hAnsi="Arial"/>
                <w:sz w:val="18"/>
                <w:szCs w:val="18"/>
                <w:color w:val="auto"/>
              </w:rPr>
              <w:t>Total FSS International</w:t>
            </w:r>
          </w:p>
        </w:tc>
        <w:tc>
          <w:tcPr>
            <w:tcW w:w="8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1,895.2</w:t>
            </w: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Uniform</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1,292.8</w:t>
            </w: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r>
      <w:tr>
        <w:trPr>
          <w:trHeight w:val="257"/>
        </w:trPr>
        <w:tc>
          <w:tcPr>
            <w:tcW w:w="70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8,265.3</w:t>
            </w:r>
          </w:p>
        </w:tc>
      </w:tr>
      <w:tr>
        <w:trPr>
          <w:trHeight w:val="20"/>
        </w:trPr>
        <w:tc>
          <w:tcPr>
            <w:tcW w:w="7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4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defers sales commissions earned by our sales force that are considered to be incremental and recoverable costs of obtaining a contract tied to its food, facilities and uniform services. The deferred costs are amortized using the portfolio approach on a straight line basis over the average period of benefit and are assessed for impairment on a periodic basis. Determination of the amortization period and the subsequent assessment for impairment of the contract cost asset requires judgment. During the three and six months ended March 29, 2019, the Company expensed approximately $3.6 million and $7.2 million of these costs to “Cost of services provided” in the Condensed Consolidated Statements of Income.</w:t>
      </w:r>
    </w:p>
    <w:p>
      <w:pPr>
        <w:spacing w:after="0" w:line="6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Costs to fulfill contracts includes payments made by the Company to enhance the service resources used by the Company to satisfy its performance obligation. These amounts are amortized over the contract period. If a contract is terminated prior to its maturity date, the Company is typically reimbursed for the unamortized amount. During the three and six months ended March 29, 2019, the Company expensed approximately $4.8 million and $9.9 million of these costs to "Depreciation and amortization" in the Condensed Consolidated Statements of Income.</w:t>
      </w:r>
    </w:p>
    <w:p>
      <w:pPr>
        <w:spacing w:after="0" w:line="6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Other costs to fulfill contracts represent personalized work apparel, linens and other rental items in service. The amounts are recorded at cost and are amortized over their estimated useful lives, which primarily range from one to four years. The amortization rates used are based on the Company's specific experience. The Company recorded expense of approximately $78.4 million and $157.5 million during the three and six months ended March 29, 2019 related to these costs, which was recorded in "Costs of services provided" in the Condensed Consolidated Statements of Income.</w:t>
      </w:r>
    </w:p>
    <w:p>
      <w:pPr>
        <w:spacing w:after="0" w:line="4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Deferred income is recognized in "Accrued expenses and other current liabilities" in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79"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six months ended March 29, 2019, deferred income increased related to customer prepayments and decreased related to income recognized during the period as a result of satisfying the performance obligation. Below is a summary of the changes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4120" w:type="dxa"/>
            <w:vAlign w:val="bottom"/>
            <w:gridSpan w:val="5"/>
          </w:tcPr>
          <w:p>
            <w:pPr>
              <w:ind w:left="100"/>
              <w:spacing w:after="0"/>
              <w:rPr>
                <w:sz w:val="20"/>
                <w:szCs w:val="20"/>
                <w:color w:val="auto"/>
              </w:rPr>
            </w:pPr>
            <w:r>
              <w:rPr>
                <w:rFonts w:ascii="Arial" w:cs="Arial" w:eastAsia="Arial" w:hAnsi="Arial"/>
                <w:sz w:val="14"/>
                <w:szCs w:val="14"/>
                <w:b w:val="1"/>
                <w:bCs w:val="1"/>
                <w:color w:val="auto"/>
                <w:w w:val="99"/>
              </w:rPr>
              <w:t>Balance, September 28,   Add: Net increase in current period</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Less: Recognition of deferred</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Balance, March 29,</w:t>
            </w:r>
          </w:p>
        </w:tc>
      </w:tr>
      <w:tr>
        <w:trPr>
          <w:trHeight w:val="192"/>
        </w:trPr>
        <w:tc>
          <w:tcPr>
            <w:tcW w:w="3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380" w:type="dxa"/>
            <w:vAlign w:val="bottom"/>
            <w:gridSpan w:val="2"/>
          </w:tcPr>
          <w:p>
            <w:pPr>
              <w:ind w:left="640"/>
              <w:spacing w:after="0"/>
              <w:rPr>
                <w:sz w:val="20"/>
                <w:szCs w:val="20"/>
                <w:color w:val="auto"/>
              </w:rPr>
            </w:pPr>
            <w:r>
              <w:rPr>
                <w:rFonts w:ascii="Arial" w:cs="Arial" w:eastAsia="Arial" w:hAnsi="Arial"/>
                <w:sz w:val="14"/>
                <w:szCs w:val="14"/>
                <w:b w:val="1"/>
                <w:bCs w:val="1"/>
                <w:color w:val="auto"/>
              </w:rPr>
              <w:t>deferred income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income</w:t>
            </w: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229"/>
        </w:trPr>
        <w:tc>
          <w:tcPr>
            <w:tcW w:w="3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income</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281.5</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628.5</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233.6</w:t>
            </w:r>
          </w:p>
        </w:tc>
      </w:tr>
      <w:tr>
        <w:trPr>
          <w:trHeight w:val="41"/>
        </w:trPr>
        <w:tc>
          <w:tcPr>
            <w:tcW w:w="35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22, 2017, “H.R.1,” commonly referred to as the “Tax Cuts and Jobs Act” (the “Tax Legislation”) was signed into U.S. law. The Tax Legislation, which was effective on January 1, 2018, significantly revised the U.S. tax code by, among other things, lowering the corporate income tax rate from 35.0% to 21.0% and implementing new international tax provisions that included a one-time transition tax on deemed repatriated earnings of foreign subsidiaries. Though certain key aspects of the new law were effective January 1, 2018 and had an immediate accounting impact, other significant provisions were not effective or did not result in accounting implications for the Company until after the fiscal year-end September 28, 2018. The provisions effective for fiscal 2019 are the tax on "Global Intangible Low-Taxed Income" ("GILTI"), the deduction for "Foreign-Derived Intangible Income" ("FDII"), the 163(j) limitation on interest expense and the 162(m) limitation on certain executive compensation.</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2018, the Company made reasonable estimates related to certain impacts of the Tax Legislation and, in accordance with the Securities and Exchange Commission (“SEC”) Staff Accountant Bulletin No. 118, Income Tax Accounting Implications of the Tax Cut and Jobs Act (“SAB 118”), recorded provisional estimates during a measurement period when it did not have the necessary information available, prepared, or analyzed in reasonable detail to complete its accounting for the change in tax law.</w:t>
      </w:r>
    </w:p>
    <w:p>
      <w:pPr>
        <w:spacing w:after="0" w:line="13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a result of the Tax Legislation, the Company reassessed during fiscal 2018 the ability to recover its $27.2 million of foreign tax credit ("FTC") carryforwards. Based on currently available information, the Company believed it would not generate sufficient foreign source income in the carryforward period to utilize a portion of these credits. As a result, the Company recorded a valuation allowance of $13.1 million against its foreign tax credit carryforward during fiscal 2018 as a provisional estimate. On the basis of proposed Treasury Regulations issued subsequent to the filing of the Company's Annual Report on Form 10-K on November 21, 2018, the Company recorded an adjustment to reduce the $13.1 million valuation allowance by $9.5 million, which was recorded as a tax benefit to the provision for income taxes during the first quarter of fiscal 2019. During the second quarter of fiscal 2019, the Company reduced the remaining $3.6 million valuation allowance and recorded a related uncertain tax position of $2.7 million, resulting in a net benefit to the provision for income taxes of $0.9 million.</w:t>
      </w:r>
    </w:p>
    <w:p>
      <w:pPr>
        <w:spacing w:after="0" w:line="1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Tax Legislation contains additional international provisions which impact the Company beginning in the period ended December 28, 2018, including the tax on “Global Intangible Low-Taxed Income” (“GILTI”). The impact of the GILTI liability is not expected to have a significant impact on the financial statements for the fiscal year ending September 27, 2019. The Company is electing to treat taxes due on future U.S. inclusions in taxable income related to GILTI as a current-period expense when incurred (the “period cost method”).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for the impact of the Tax Legislation is complete and the Company closed the measurement period related to SAB 118.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4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the six months ended March 29, 2019 and March 30, 2018, the Company paid dividends of approximately $54.2 million and $51.5 million to its stockholders, respectively. On May 1, 2019, the Company's Board declared a $0.110 dividend per share of common stock, payable on May 30, 2019, to shareholders of record on the close of business on May 16, 2019. During the first quarter of fiscal 2019, the Company completed a repurchase of 1.6 million shares of its common stock for $50.0 million. During the first quarter of fiscal 2018, the Company completed a repurchase of 0.6 million shares of its common stock for $24.4 million.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79"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4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following table summarizes the share-based compensation expense and related information for Time-Based Options ("TBOs"), Time-Based Restricted Stock Units ("RSUs"), Performance Stock Units and Performance Restricted Stock ("PSUs"), and Deferred Stock and Other Units classified as "Selling and general corporate expenses" in the Condensed Consolidated Statements of Income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 2019</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30,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 2019</w:t>
            </w:r>
          </w:p>
        </w:tc>
        <w:tc>
          <w:tcPr>
            <w:tcW w:w="220" w:type="dxa"/>
            <w:vAlign w:val="bottom"/>
          </w:tcPr>
          <w:p>
            <w:pPr>
              <w:spacing w:after="0"/>
              <w:rPr>
                <w:sz w:val="22"/>
                <w:szCs w:val="22"/>
                <w:color w:val="auto"/>
              </w:rPr>
            </w:pPr>
          </w:p>
        </w:tc>
        <w:tc>
          <w:tcPr>
            <w:tcW w:w="1260" w:type="dxa"/>
            <w:vAlign w:val="bottom"/>
          </w:tcPr>
          <w:p>
            <w:pPr>
              <w:jc w:val="right"/>
              <w:ind w:right="133"/>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TBOs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RSUs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PSUs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Stock and Other Units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0.9</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related to share-based compensation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r>
      <w:tr>
        <w:trPr>
          <w:trHeight w:val="27"/>
        </w:trPr>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below table summarizes the number of shares granted and the weighted-average grant-date fair value per unit during the six months ended March 29,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Granted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 (dollars per</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TBOs</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PSUs</w:t>
            </w:r>
            <w:r>
              <w:rPr>
                <w:rFonts w:ascii="Arial" w:cs="Arial" w:eastAsia="Arial" w:hAnsi="Arial"/>
                <w:sz w:val="25"/>
                <w:szCs w:val="25"/>
                <w:color w:val="auto"/>
                <w:vertAlign w:val="superscript"/>
              </w:rPr>
              <w:t>(1)</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Stock Units</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 w:type="dxa"/>
            <w:vAlign w:val="bottom"/>
          </w:tcPr>
          <w:p>
            <w:pPr>
              <w:ind w:left="40"/>
              <w:spacing w:after="0"/>
              <w:rPr>
                <w:sz w:val="20"/>
                <w:szCs w:val="20"/>
                <w:color w:val="auto"/>
              </w:rPr>
            </w:pPr>
            <w:r>
              <w:rPr>
                <w:rFonts w:ascii="Arial" w:cs="Arial" w:eastAsia="Arial" w:hAnsi="Arial"/>
                <w:sz w:val="13"/>
                <w:szCs w:val="13"/>
                <w:color w:val="auto"/>
              </w:rPr>
              <w:t>(1)</w:t>
            </w:r>
          </w:p>
        </w:tc>
        <w:tc>
          <w:tcPr>
            <w:tcW w:w="7600" w:type="dxa"/>
            <w:vAlign w:val="bottom"/>
            <w:vMerge w:val="restart"/>
          </w:tcPr>
          <w:p>
            <w:pPr>
              <w:ind w:left="160"/>
              <w:spacing w:after="0"/>
              <w:rPr>
                <w:sz w:val="20"/>
                <w:szCs w:val="20"/>
                <w:color w:val="auto"/>
              </w:rPr>
            </w:pPr>
            <w:r>
              <w:rPr>
                <w:rFonts w:ascii="Arial" w:cs="Arial" w:eastAsia="Arial" w:hAnsi="Arial"/>
                <w:sz w:val="13"/>
                <w:szCs w:val="13"/>
                <w:color w:val="auto"/>
                <w:w w:val="87"/>
              </w:rPr>
              <w:t>Includes approximately 0.5 million shares resulting from the payout of the 2016 PSU grants due to exceeding the adjusted earnings per share target.</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7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7"/>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NOTE 11. EARNINGS PER SHARE:</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spacing w:after="0" w:line="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attributable to the Company's stockholders (in thousands, except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 2019</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30,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 2019</w:t>
            </w:r>
          </w:p>
        </w:tc>
        <w:tc>
          <w:tcPr>
            <w:tcW w:w="220" w:type="dxa"/>
            <w:vAlign w:val="bottom"/>
          </w:tcPr>
          <w:p>
            <w:pPr>
              <w:spacing w:after="0"/>
              <w:rPr>
                <w:sz w:val="22"/>
                <w:szCs w:val="22"/>
                <w:color w:val="auto"/>
              </w:rPr>
            </w:pPr>
          </w:p>
        </w:tc>
        <w:tc>
          <w:tcPr>
            <w:tcW w:w="1260" w:type="dxa"/>
            <w:vAlign w:val="bottom"/>
          </w:tcPr>
          <w:p>
            <w:pPr>
              <w:jc w:val="right"/>
              <w:ind w:right="133"/>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40"/>
              <w:spacing w:after="0"/>
              <w:rPr>
                <w:sz w:val="20"/>
                <w:szCs w:val="20"/>
                <w:color w:val="auto"/>
              </w:rPr>
            </w:pPr>
            <w:r>
              <w:rPr>
                <w:rFonts w:ascii="Arial" w:cs="Arial" w:eastAsia="Arial" w:hAnsi="Arial"/>
                <w:sz w:val="18"/>
                <w:szCs w:val="18"/>
                <w:color w:val="auto"/>
              </w:rPr>
              <w:t>Net income attributable to Aramark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29,353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27,569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280,037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319,853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246,217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245,648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246,540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245,366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7,014</w:t>
            </w:r>
          </w:p>
        </w:tc>
      </w:tr>
      <w:tr>
        <w:trPr>
          <w:trHeight w:val="297"/>
        </w:trPr>
        <w:tc>
          <w:tcPr>
            <w:tcW w:w="51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22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250,347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252,485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251,355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252,380</w:t>
            </w:r>
          </w:p>
        </w:tc>
      </w:tr>
      <w:tr>
        <w:trPr>
          <w:trHeight w:val="311"/>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attributable to Aramark stockholders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Aramark stockholders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r>
      <w:tr>
        <w:trPr>
          <w:trHeight w:val="27"/>
        </w:trPr>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79"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Share-based awards to purchase 8.6 million and 1.8 million shares were outstanding for the three months ended March 29, 2019 and March 30, 2018, respectively, but were not included in the computation of diluted earnings per common share, as their effect would have been antidilutive. In addition, PSUs related to 1.7 million shares and 1.8 million shares were outstanding for the three month periods of March 29, 2019 and March 30, 2018, respectively, but were not included in the computation of diluted earnings per common share, as the performance targets were not yet met.</w:t>
      </w:r>
    </w:p>
    <w:p>
      <w:pPr>
        <w:spacing w:after="0" w:line="9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Share-based awards to purchase 7.2 million and 1.3 million shares were outstanding for the six months ended March 29, 2019 and March 30, 2018, respectively, but were not included in the computation of diluted earnings per common share, as their effect would have been antidilutive. In addition, PSUs related to 1.7 million shares and 1.8 million shares were outstanding for the six month periods of March 29, 2019 and March 30, 2018, respectively, but were not included in the computation of diluted earnings per common share, as the performance targets were not yet met.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Certain of the Company's lease arrangements, primarily vehicle leases, with terms of one to eight years, contain provisions related to residual value guarantees. The maximum potential liability to the Company under such arrangements was approximately $34.3 million at March 29, 2019 if the terminal fair value of vehicles coming off lease was zero. Consistent with past experience, management does not expect any significant payments will be required pursuant to these arrangements. No amounts have been accrued for guarantee arrangements at March 29, 2019.</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SEGMENTS:</w:t>
      </w:r>
    </w:p>
    <w:p>
      <w:pPr>
        <w:spacing w:after="0" w:line="1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reported its operating results in three reportable segments: FSS United States, FSS International and Uniform. Corporate includes general expenses not specifically allocated to an individual segment and share-based compensation expense (see Note 10). In the Company's food and support services segments, approximately 77% of the global revenue is related to food services and 23% is related to facilities services. Financial information by segment follows (in millions):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79"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1136"/>
              <w:spacing w:after="0"/>
              <w:rPr>
                <w:sz w:val="20"/>
                <w:szCs w:val="20"/>
                <w:color w:val="auto"/>
              </w:rPr>
            </w:pPr>
            <w:r>
              <w:rPr>
                <w:rFonts w:ascii="Arial" w:cs="Arial" w:eastAsia="Arial" w:hAnsi="Arial"/>
                <w:sz w:val="14"/>
                <w:szCs w:val="14"/>
                <w:b w:val="1"/>
                <w:bCs w:val="1"/>
                <w:color w:val="auto"/>
                <w:w w:val="89"/>
              </w:rPr>
              <w:t>Revenue</w:t>
            </w:r>
          </w:p>
        </w:tc>
        <w:tc>
          <w:tcPr>
            <w:tcW w:w="1360" w:type="dxa"/>
            <w:vAlign w:val="bottom"/>
            <w:tcBorders>
              <w:bottom w:val="single" w:sz="8" w:color="auto"/>
            </w:tcBorders>
          </w:tcPr>
          <w:p>
            <w:pPr>
              <w:spacing w:after="0"/>
              <w:rPr>
                <w:sz w:val="16"/>
                <w:szCs w:val="16"/>
                <w:color w:val="auto"/>
              </w:rPr>
            </w:pPr>
          </w:p>
        </w:tc>
      </w:tr>
      <w:tr>
        <w:trPr>
          <w:trHeight w:val="250"/>
        </w:trPr>
        <w:tc>
          <w:tcPr>
            <w:tcW w:w="7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3"/>
              </w:rPr>
              <w:t>Three Months Ended</w:t>
            </w:r>
          </w:p>
        </w:tc>
      </w:tr>
      <w:tr>
        <w:trPr>
          <w:trHeight w:val="264"/>
        </w:trPr>
        <w:tc>
          <w:tcPr>
            <w:tcW w:w="7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340" w:type="dxa"/>
            <w:vAlign w:val="bottom"/>
          </w:tcPr>
          <w:p>
            <w:pPr>
              <w:spacing w:after="0"/>
              <w:rPr>
                <w:sz w:val="22"/>
                <w:szCs w:val="22"/>
                <w:color w:val="auto"/>
              </w:rPr>
            </w:pPr>
          </w:p>
        </w:tc>
        <w:tc>
          <w:tcPr>
            <w:tcW w:w="136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2,506.4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925.3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507.6</w:t>
            </w:r>
          </w:p>
        </w:tc>
      </w:tr>
      <w:tr>
        <w:trPr>
          <w:trHeight w:val="237"/>
        </w:trPr>
        <w:tc>
          <w:tcPr>
            <w:tcW w:w="79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3,939.3</w:t>
            </w: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515"/>
        </w:trPr>
        <w:tc>
          <w:tcPr>
            <w:tcW w:w="7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4"/>
              </w:rPr>
              <w:t>Operating Income</w:t>
            </w:r>
          </w:p>
        </w:tc>
      </w:tr>
      <w:tr>
        <w:trPr>
          <w:trHeight w:val="250"/>
        </w:trPr>
        <w:tc>
          <w:tcPr>
            <w:tcW w:w="7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3"/>
              </w:rPr>
              <w:t>Three Months Ended</w:t>
            </w:r>
          </w:p>
        </w:tc>
      </w:tr>
      <w:tr>
        <w:trPr>
          <w:trHeight w:val="264"/>
        </w:trPr>
        <w:tc>
          <w:tcPr>
            <w:tcW w:w="7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340" w:type="dxa"/>
            <w:vAlign w:val="bottom"/>
          </w:tcPr>
          <w:p>
            <w:pPr>
              <w:spacing w:after="0"/>
              <w:rPr>
                <w:sz w:val="22"/>
                <w:szCs w:val="22"/>
                <w:color w:val="auto"/>
              </w:rPr>
            </w:pPr>
          </w:p>
        </w:tc>
        <w:tc>
          <w:tcPr>
            <w:tcW w:w="136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13.9</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r>
      <w:tr>
        <w:trPr>
          <w:trHeight w:val="237"/>
        </w:trPr>
        <w:tc>
          <w:tcPr>
            <w:tcW w:w="7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181.8</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42.3</w:t>
            </w: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15"/>
        </w:trPr>
        <w:tc>
          <w:tcPr>
            <w:tcW w:w="7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left="1136"/>
              <w:spacing w:after="0"/>
              <w:rPr>
                <w:sz w:val="20"/>
                <w:szCs w:val="20"/>
                <w:color w:val="auto"/>
              </w:rPr>
            </w:pPr>
            <w:r>
              <w:rPr>
                <w:rFonts w:ascii="Arial" w:cs="Arial" w:eastAsia="Arial" w:hAnsi="Arial"/>
                <w:sz w:val="14"/>
                <w:szCs w:val="14"/>
                <w:b w:val="1"/>
                <w:bCs w:val="1"/>
                <w:color w:val="auto"/>
                <w:w w:val="89"/>
              </w:rPr>
              <w:t>Revenue</w:t>
            </w:r>
          </w:p>
        </w:tc>
        <w:tc>
          <w:tcPr>
            <w:tcW w:w="1360" w:type="dxa"/>
            <w:vAlign w:val="bottom"/>
            <w:tcBorders>
              <w:bottom w:val="single" w:sz="8" w:color="auto"/>
            </w:tcBorders>
          </w:tcPr>
          <w:p>
            <w:pPr>
              <w:spacing w:after="0"/>
              <w:rPr>
                <w:sz w:val="24"/>
                <w:szCs w:val="24"/>
                <w:color w:val="auto"/>
              </w:rPr>
            </w:pPr>
          </w:p>
        </w:tc>
      </w:tr>
      <w:tr>
        <w:trPr>
          <w:trHeight w:val="250"/>
        </w:trPr>
        <w:tc>
          <w:tcPr>
            <w:tcW w:w="7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3"/>
              </w:rPr>
              <w:t>Six Months Ended</w:t>
            </w:r>
          </w:p>
        </w:tc>
      </w:tr>
      <w:tr>
        <w:trPr>
          <w:trHeight w:val="264"/>
        </w:trPr>
        <w:tc>
          <w:tcPr>
            <w:tcW w:w="7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340" w:type="dxa"/>
            <w:vAlign w:val="bottom"/>
          </w:tcPr>
          <w:p>
            <w:pPr>
              <w:spacing w:after="0"/>
              <w:rPr>
                <w:sz w:val="22"/>
                <w:szCs w:val="22"/>
                <w:color w:val="auto"/>
              </w:rPr>
            </w:pPr>
          </w:p>
        </w:tc>
        <w:tc>
          <w:tcPr>
            <w:tcW w:w="136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5,156.0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1,895.2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1,838.3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1,292.8</w:t>
            </w:r>
          </w:p>
        </w:tc>
        <w:tc>
          <w:tcPr>
            <w:tcW w:w="100" w:type="dxa"/>
            <w:vAlign w:val="bottom"/>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910.1</w:t>
            </w:r>
          </w:p>
        </w:tc>
      </w:tr>
      <w:tr>
        <w:trPr>
          <w:trHeight w:val="237"/>
        </w:trPr>
        <w:tc>
          <w:tcPr>
            <w:tcW w:w="79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8,265.3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7,904.4</w:t>
            </w: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515"/>
        </w:trPr>
        <w:tc>
          <w:tcPr>
            <w:tcW w:w="7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4"/>
              </w:rPr>
              <w:t>Operating Income</w:t>
            </w:r>
          </w:p>
        </w:tc>
      </w:tr>
      <w:tr>
        <w:trPr>
          <w:trHeight w:val="250"/>
        </w:trPr>
        <w:tc>
          <w:tcPr>
            <w:tcW w:w="7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3"/>
              </w:rPr>
              <w:t>Six Months Ended</w:t>
            </w:r>
          </w:p>
        </w:tc>
      </w:tr>
      <w:tr>
        <w:trPr>
          <w:trHeight w:val="264"/>
        </w:trPr>
        <w:tc>
          <w:tcPr>
            <w:tcW w:w="7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57.8</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w:t>
            </w:r>
          </w:p>
        </w:tc>
      </w:tr>
      <w:tr>
        <w:trPr>
          <w:trHeight w:val="237"/>
        </w:trPr>
        <w:tc>
          <w:tcPr>
            <w:tcW w:w="7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450.2</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351.9</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185.1</w:t>
            </w: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FINANCIAL ASSETS AND FINANCIAL LIABILITIES:</w:t>
      </w:r>
    </w:p>
    <w:p>
      <w:pPr>
        <w:spacing w:after="0" w:line="14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8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ectPr>
          <w:pgSz w:w="11900" w:h="16838" w:orient="portrait"/>
          <w:cols w:equalWidth="0" w:num="1">
            <w:col w:w="11420"/>
          </w:cols>
          <w:pgMar w:left="240" w:top="17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79"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left="980" w:right="52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65"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the gross values would not be materially different. The fair value of the Company's debt at March 29, 2019 and September 28, 2018 was $7,271.6 million and $7,303.1 million, respectively. The carrying value of the Company's debt at March 29, 2019 and September 28, 2018 was $7,190.6 million and $7,244.0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79"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CONDENSED CONSOLIDATING FINANCIAL STATEMENTS OF ARAMARK AND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consolidating financial statements of the Company have been prepared pursuant to Rule 3-10 of Regulation S-X.</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condensed consolidating financial statements are presented for: (i) Aramark (the "Parent"); (ii) Aramark Services, Inc. and Aramark International Finance S.à r.l. (the "Issuers"); (iii) the guarantors; (iv) the non guarantors; (v) elimination entries necessary to consolidate the Parent with the Issuers, the guarantors and non guarantors; and (vi) the Company on a consolidated basis. Each of the guarantors is wholly-owned, directly or indirectly, by the Company.</w:t>
      </w:r>
    </w:p>
    <w:p>
      <w:pPr>
        <w:ind w:right="20"/>
        <w:spacing w:after="0" w:line="268" w:lineRule="auto"/>
        <w:rPr>
          <w:sz w:val="20"/>
          <w:szCs w:val="20"/>
          <w:color w:val="auto"/>
        </w:rPr>
      </w:pPr>
      <w:r>
        <w:rPr>
          <w:rFonts w:ascii="Arial" w:cs="Arial" w:eastAsia="Arial" w:hAnsi="Arial"/>
          <w:sz w:val="17"/>
          <w:szCs w:val="17"/>
          <w:color w:val="auto"/>
        </w:rPr>
        <w:t>The 5.125% Senior Notes due 2024 (the "2024 Notes"), 5.000% Senior Notes due April 1, 2025 (the "5.000% 2025 Notes"), 3.125% Senior Notes due April 1, 2025 (the "3.125% 2025 Notes" and, together with the 5.000% 2025 Notes, the "2025 Notes"), 4.75% Senior Notes due June 1, 2026 ("2026 Notes") and 5.000% Senior Notes due February 1, 2028 (the "2028 Notes") are obligations of the Company's wholly-owned subsidiary, Aramark Services, Inc., (other than the 3.125% 2025 Notes, which are obligations of the Company's wholly owned subsidiary, Aramark International Finance S.a.r.l) and are each jointly and severally guaranteed on a senior unsecured basis by the Company and substantially all of the Company's existing and future domestic subsidiaries (excluding the Receivables Facility subsidiary) ("Guarantors"). All other subsidiaries of the Company, either direct or indirect, do not guarantee the 2024 Notes, 2025 Notes, 2026 Notes or 2028 Notes ("Non Guarantors"). The Guarantors also guarantee certain other debt. These condensed consolidating financial statements have been prepared from the Company's financial information on the same basis of accounting as the condensed consolidated financial statements. Interest expense and certain other costs are partially allocated to all of the subsidiaries of the Company. Goodwill and other intangible assets have been allocated to the subsidiaries based on management's estimates.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7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March 29, 2019</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Aramark</w:t>
            </w:r>
          </w:p>
        </w:tc>
        <w:tc>
          <w:tcPr>
            <w:tcW w:w="22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Issuers</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Non</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(Parent)</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195,387</w:t>
            </w:r>
          </w:p>
        </w:tc>
        <w:tc>
          <w:tcPr>
            <w:tcW w:w="0" w:type="dxa"/>
            <w:vAlign w:val="bottom"/>
          </w:tcPr>
          <w:p>
            <w:pPr>
              <w:spacing w:after="0"/>
              <w:rPr>
                <w:sz w:val="1"/>
                <w:szCs w:val="1"/>
                <w:color w:val="auto"/>
              </w:rPr>
            </w:pPr>
          </w:p>
        </w:tc>
      </w:tr>
      <w:tr>
        <w:trPr>
          <w:trHeight w:val="243"/>
        </w:trPr>
        <w:tc>
          <w:tcPr>
            <w:tcW w:w="3540" w:type="dxa"/>
            <w:vAlign w:val="bottom"/>
          </w:tcPr>
          <w:p>
            <w:pPr>
              <w:ind w:left="4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522,706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1,353,083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1,878,151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400,269</w:t>
            </w:r>
          </w:p>
        </w:tc>
        <w:tc>
          <w:tcPr>
            <w:tcW w:w="0" w:type="dxa"/>
            <w:vAlign w:val="bottom"/>
          </w:tcPr>
          <w:p>
            <w:pPr>
              <w:spacing w:after="0"/>
              <w:rPr>
                <w:sz w:val="1"/>
                <w:szCs w:val="1"/>
                <w:color w:val="auto"/>
              </w:rPr>
            </w:pPr>
          </w:p>
        </w:tc>
      </w:tr>
      <w:tr>
        <w:trPr>
          <w:trHeight w:val="243"/>
        </w:trPr>
        <w:tc>
          <w:tcPr>
            <w:tcW w:w="3540" w:type="dxa"/>
            <w:vAlign w:val="bottom"/>
          </w:tcPr>
          <w:p>
            <w:pPr>
              <w:ind w:left="460"/>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75,026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156,796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875,090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1,691,433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2,630,603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46,370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1,737,050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359,524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2,142,944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4,701,882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647,566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5,522,552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9"/>
              </w:rPr>
              <w:t>Investment in and Advances to Subsidiaries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3,233,675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6,908,790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743,584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(10,886,049)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1,861,457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2,087,641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986,975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318,340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1,327,074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3,233,680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7,245,784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10,162,454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3,956,947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(10,888,051)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13,710,814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b w:val="1"/>
                <w:bCs w:val="1"/>
                <w:color w:val="auto"/>
              </w:rPr>
              <w:t>LIABILITIES AND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460"/>
              <w:spacing w:after="0"/>
              <w:rPr>
                <w:sz w:val="20"/>
                <w:szCs w:val="20"/>
                <w:color w:val="auto"/>
              </w:rPr>
            </w:pPr>
            <w:r>
              <w:rPr>
                <w:rFonts w:ascii="Arial" w:cs="Arial" w:eastAsia="Arial" w:hAnsi="Arial"/>
                <w:sz w:val="18"/>
                <w:szCs w:val="18"/>
                <w:color w:val="auto"/>
              </w:rPr>
              <w:t>Current maturities of long-term</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680"/>
              <w:spacing w:after="0"/>
              <w:rPr>
                <w:sz w:val="20"/>
                <w:szCs w:val="20"/>
                <w:color w:val="auto"/>
              </w:rPr>
            </w:pPr>
            <w:r>
              <w:rPr>
                <w:rFonts w:ascii="Arial" w:cs="Arial" w:eastAsia="Arial" w:hAnsi="Arial"/>
                <w:sz w:val="18"/>
                <w:szCs w:val="18"/>
                <w:color w:val="auto"/>
              </w:rPr>
              <w:t>borrowings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28,744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23,941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56,339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335,688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911,785</w:t>
            </w:r>
          </w:p>
        </w:tc>
        <w:tc>
          <w:tcPr>
            <w:tcW w:w="0" w:type="dxa"/>
            <w:vAlign w:val="bottom"/>
          </w:tcPr>
          <w:p>
            <w:pPr>
              <w:spacing w:after="0"/>
              <w:rPr>
                <w:sz w:val="1"/>
                <w:szCs w:val="1"/>
                <w:color w:val="auto"/>
              </w:rPr>
            </w:pPr>
          </w:p>
        </w:tc>
      </w:tr>
      <w:tr>
        <w:trPr>
          <w:trHeight w:val="229"/>
        </w:trPr>
        <w:tc>
          <w:tcPr>
            <w:tcW w:w="3540" w:type="dxa"/>
            <w:vAlign w:val="bottom"/>
          </w:tcPr>
          <w:p>
            <w:pPr>
              <w:ind w:left="460"/>
              <w:spacing w:after="0"/>
              <w:rPr>
                <w:sz w:val="20"/>
                <w:szCs w:val="20"/>
                <w:color w:val="auto"/>
              </w:rPr>
            </w:pPr>
            <w:r>
              <w:rPr>
                <w:rFonts w:ascii="Arial" w:cs="Arial" w:eastAsia="Arial" w:hAnsi="Arial"/>
                <w:sz w:val="18"/>
                <w:szCs w:val="18"/>
                <w:color w:val="auto"/>
              </w:rPr>
              <w:t>Accrued expenses and other current</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68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151,055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863,268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328,570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1,342,981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294,855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1,327,963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688,199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2,311,105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6,360,687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73,177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700,422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7,134,286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Deferred Income Taxes and Other Noncurrent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394,677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512,591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1,021,749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Intercompany Payable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4,552,727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731,000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(5,283,727)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3,233,680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195,565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3,686,002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1,722,845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(5,604,412)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3,233,680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3,233,680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7,245,784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10,162,454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3,956,947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(10,888,051)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13,710,814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28,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Aramark</w:t>
            </w:r>
          </w:p>
        </w:tc>
        <w:tc>
          <w:tcPr>
            <w:tcW w:w="22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Issuers</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Non</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(Parent)</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215,025</w:t>
            </w:r>
          </w:p>
        </w:tc>
        <w:tc>
          <w:tcPr>
            <w:tcW w:w="0" w:type="dxa"/>
            <w:vAlign w:val="bottom"/>
          </w:tcPr>
          <w:p>
            <w:pPr>
              <w:spacing w:after="0"/>
              <w:rPr>
                <w:sz w:val="1"/>
                <w:szCs w:val="1"/>
                <w:color w:val="auto"/>
              </w:rPr>
            </w:pPr>
          </w:p>
        </w:tc>
      </w:tr>
      <w:tr>
        <w:trPr>
          <w:trHeight w:val="243"/>
        </w:trPr>
        <w:tc>
          <w:tcPr>
            <w:tcW w:w="3440" w:type="dxa"/>
            <w:vAlign w:val="bottom"/>
          </w:tcPr>
          <w:p>
            <w:pPr>
              <w:ind w:left="46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443,599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1,345,796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1,790,433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724,802</w:t>
            </w:r>
          </w:p>
        </w:tc>
        <w:tc>
          <w:tcPr>
            <w:tcW w:w="0" w:type="dxa"/>
            <w:vAlign w:val="bottom"/>
          </w:tcPr>
          <w:p>
            <w:pPr>
              <w:spacing w:after="0"/>
              <w:rPr>
                <w:sz w:val="1"/>
                <w:szCs w:val="1"/>
                <w:color w:val="auto"/>
              </w:rPr>
            </w:pPr>
          </w:p>
        </w:tc>
      </w:tr>
      <w:tr>
        <w:trPr>
          <w:trHeight w:val="243"/>
        </w:trPr>
        <w:tc>
          <w:tcPr>
            <w:tcW w:w="3440" w:type="dxa"/>
            <w:vAlign w:val="bottom"/>
          </w:tcPr>
          <w:p>
            <w:pPr>
              <w:ind w:left="460"/>
              <w:spacing w:after="0"/>
              <w:rPr>
                <w:sz w:val="20"/>
                <w:szCs w:val="20"/>
                <w:color w:val="auto"/>
              </w:rPr>
            </w:pPr>
            <w:r>
              <w:rPr>
                <w:rFonts w:ascii="Arial" w:cs="Arial" w:eastAsia="Arial" w:hAnsi="Arial"/>
                <w:sz w:val="18"/>
                <w:szCs w:val="18"/>
                <w:color w:val="auto"/>
                <w:w w:val="96"/>
              </w:rPr>
              <w:t>Prepayments and other current assets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63,654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171,165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89,022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1,151,802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1,660,596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2,901,425</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28,341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1,013,523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336,230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1,378,094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4,783,547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5,610,568</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w w:val="96"/>
              </w:rPr>
              <w:t>Investment in and Advances to Subsidiaries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3,029,553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7,441,605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90,049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844,245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(11,405,452)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187,365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2,136,844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100,754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1,264,976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329,443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1,693,171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3,029,558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7,862,510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10,223,692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4,011,796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(11,407,454)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13,720,102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b w:val="1"/>
                <w:bCs w:val="1"/>
                <w:color w:val="auto"/>
              </w:rPr>
              <w:t>LIABILITIES AND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60"/>
              <w:spacing w:after="0"/>
              <w:rPr>
                <w:sz w:val="20"/>
                <w:szCs w:val="20"/>
                <w:color w:val="auto"/>
              </w:rPr>
            </w:pPr>
            <w:r>
              <w:rPr>
                <w:rFonts w:ascii="Arial" w:cs="Arial" w:eastAsia="Arial" w:hAnsi="Arial"/>
                <w:sz w:val="18"/>
                <w:szCs w:val="18"/>
                <w:color w:val="auto"/>
              </w:rPr>
              <w:t>Current maturities of long-term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80"/>
              <w:spacing w:after="0"/>
              <w:rPr>
                <w:sz w:val="20"/>
                <w:szCs w:val="20"/>
                <w:color w:val="auto"/>
              </w:rPr>
            </w:pPr>
            <w:r>
              <w:rPr>
                <w:rFonts w:ascii="Arial" w:cs="Arial" w:eastAsia="Arial" w:hAnsi="Arial"/>
                <w:sz w:val="18"/>
                <w:szCs w:val="18"/>
                <w:color w:val="auto"/>
              </w:rPr>
              <w:t>borrowings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26,564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4,343</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30,907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406,854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1,018,920</w:t>
            </w:r>
          </w:p>
        </w:tc>
        <w:tc>
          <w:tcPr>
            <w:tcW w:w="0" w:type="dxa"/>
            <w:vAlign w:val="bottom"/>
          </w:tcPr>
          <w:p>
            <w:pPr>
              <w:spacing w:after="0"/>
              <w:rPr>
                <w:sz w:val="1"/>
                <w:szCs w:val="1"/>
                <w:color w:val="auto"/>
              </w:rPr>
            </w:pPr>
          </w:p>
        </w:tc>
      </w:tr>
      <w:tr>
        <w:trPr>
          <w:trHeight w:val="229"/>
        </w:trPr>
        <w:tc>
          <w:tcPr>
            <w:tcW w:w="3440" w:type="dxa"/>
            <w:vAlign w:val="bottom"/>
          </w:tcPr>
          <w:p>
            <w:pPr>
              <w:ind w:left="460"/>
              <w:spacing w:after="0"/>
              <w:rPr>
                <w:sz w:val="20"/>
                <w:szCs w:val="20"/>
                <w:color w:val="auto"/>
              </w:rPr>
            </w:pPr>
            <w:r>
              <w:rPr>
                <w:rFonts w:ascii="Arial" w:cs="Arial" w:eastAsia="Arial" w:hAnsi="Arial"/>
                <w:sz w:val="18"/>
                <w:szCs w:val="18"/>
                <w:color w:val="auto"/>
              </w:rPr>
              <w:t>Accrued expenses and other current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8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205,807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926,794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307,643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1,440,332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334,267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1,436,964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718,840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2,490,159</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6,651,110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82,097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479,870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7,213,077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Deferred Income Taxes and Other Noncurrent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432,583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466,331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977,215</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Intercompany Payable</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4,827,084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955,407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(5,782,491)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3,029,558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444,550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3,401,123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1,779,378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(5,625,051)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3,029,558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3,029,558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7,862,510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10,223,692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4,011,796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(11,407,454)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13,720,102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29,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00" w:type="dxa"/>
            <w:vAlign w:val="bottom"/>
          </w:tcPr>
          <w:p>
            <w:pPr>
              <w:spacing w:after="0"/>
              <w:rPr>
                <w:sz w:val="14"/>
                <w:szCs w:val="14"/>
                <w:color w:val="auto"/>
              </w:rPr>
            </w:pPr>
          </w:p>
        </w:tc>
        <w:tc>
          <w:tcPr>
            <w:tcW w:w="8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260,057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2,629,407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1,110,523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3,999,987</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1,030,137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3,639,959</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118,261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147,908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88,285</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Gain on sale of Healthcare Technologies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84,178</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Expense allocations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85,651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438,176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2,451,503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1,071,651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3,961,330</w:t>
            </w:r>
          </w:p>
        </w:tc>
        <w:tc>
          <w:tcPr>
            <w:tcW w:w="0" w:type="dxa"/>
            <w:vAlign w:val="bottom"/>
          </w:tcPr>
          <w:p>
            <w:pPr>
              <w:spacing w:after="0"/>
              <w:rPr>
                <w:sz w:val="1"/>
                <w:szCs w:val="1"/>
                <w:color w:val="auto"/>
              </w:rPr>
            </w:pPr>
          </w:p>
        </w:tc>
      </w:tr>
      <w:tr>
        <w:trPr>
          <w:trHeight w:val="237"/>
        </w:trPr>
        <w:tc>
          <w:tcPr>
            <w:tcW w:w="4000" w:type="dxa"/>
            <w:vAlign w:val="bottom"/>
          </w:tcPr>
          <w:p>
            <w:pPr>
              <w:ind w:left="460"/>
              <w:spacing w:after="0"/>
              <w:rPr>
                <w:sz w:val="20"/>
                <w:szCs w:val="20"/>
                <w:color w:val="auto"/>
              </w:rPr>
            </w:pPr>
            <w:r>
              <w:rPr>
                <w:rFonts w:ascii="Arial" w:cs="Arial" w:eastAsia="Arial" w:hAnsi="Arial"/>
                <w:sz w:val="18"/>
                <w:szCs w:val="18"/>
                <w:color w:val="auto"/>
              </w:rPr>
              <w:t>Income (Loss) before Income Tax</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(178,119)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177,904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38,872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in Net Income of Subsidiaries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29,353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(142,362)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29,310</w:t>
            </w:r>
          </w:p>
        </w:tc>
        <w:tc>
          <w:tcPr>
            <w:tcW w:w="0" w:type="dxa"/>
            <w:vAlign w:val="bottom"/>
          </w:tcPr>
          <w:p>
            <w:pPr>
              <w:spacing w:after="0"/>
              <w:rPr>
                <w:sz w:val="1"/>
                <w:szCs w:val="1"/>
                <w:color w:val="auto"/>
              </w:rPr>
            </w:pPr>
          </w:p>
        </w:tc>
      </w:tr>
      <w:tr>
        <w:trPr>
          <w:trHeight w:val="229"/>
        </w:trPr>
        <w:tc>
          <w:tcPr>
            <w:tcW w:w="4000" w:type="dxa"/>
            <w:vAlign w:val="bottom"/>
          </w:tcPr>
          <w:p>
            <w:pPr>
              <w:ind w:left="460"/>
              <w:spacing w:after="0"/>
              <w:rPr>
                <w:sz w:val="20"/>
                <w:szCs w:val="20"/>
                <w:color w:val="auto"/>
              </w:rPr>
            </w:pPr>
            <w:r>
              <w:rPr>
                <w:rFonts w:ascii="Arial" w:cs="Arial" w:eastAsia="Arial" w:hAnsi="Arial"/>
                <w:sz w:val="18"/>
                <w:szCs w:val="18"/>
                <w:color w:val="auto"/>
              </w:rPr>
              <w:t>Less: Net income (loss) attributable to</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8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income (loss) attributable to Aramark</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(142,362)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29,353</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22,964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Comprehensive income (loss) attributable to</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20,698</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(159,436)</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142,649</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23,176</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Aramark stockholders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79"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29,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Aramark</w:t>
            </w:r>
          </w:p>
        </w:tc>
        <w:tc>
          <w:tcPr>
            <w:tcW w:w="200" w:type="dxa"/>
            <w:vAlign w:val="bottom"/>
          </w:tcPr>
          <w:p>
            <w:pPr>
              <w:spacing w:after="0"/>
              <w:rPr>
                <w:sz w:val="14"/>
                <w:szCs w:val="14"/>
                <w:color w:val="auto"/>
              </w:rPr>
            </w:pPr>
          </w:p>
        </w:tc>
        <w:tc>
          <w:tcPr>
            <w:tcW w:w="8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(Parent)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528,579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5,478,334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2,258,423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8,265,336</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481,094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4,839,939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2,113,371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7,434,404</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8,289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239,243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51,097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298,629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192,415</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Gain on sale of Healthcare Technologies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(156,309)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(156,309)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167,155</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Expense allocations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(144,938)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136,296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592,969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5,148,102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2,195,223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7,936,294</w:t>
            </w:r>
          </w:p>
        </w:tc>
        <w:tc>
          <w:tcPr>
            <w:tcW w:w="0" w:type="dxa"/>
            <w:vAlign w:val="bottom"/>
          </w:tcPr>
          <w:p>
            <w:pPr>
              <w:spacing w:after="0"/>
              <w:rPr>
                <w:sz w:val="1"/>
                <w:szCs w:val="1"/>
                <w:color w:val="auto"/>
              </w:rPr>
            </w:pPr>
          </w:p>
        </w:tc>
      </w:tr>
      <w:tr>
        <w:trPr>
          <w:trHeight w:val="237"/>
        </w:trPr>
        <w:tc>
          <w:tcPr>
            <w:tcW w:w="4000" w:type="dxa"/>
            <w:vAlign w:val="bottom"/>
          </w:tcPr>
          <w:p>
            <w:pPr>
              <w:ind w:left="46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330,232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63,200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329,042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49,054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in Net Income of Subsidiaries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280,037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(280,037)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269,934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279,988</w:t>
            </w:r>
          </w:p>
        </w:tc>
        <w:tc>
          <w:tcPr>
            <w:tcW w:w="0" w:type="dxa"/>
            <w:vAlign w:val="bottom"/>
          </w:tcPr>
          <w:p>
            <w:pPr>
              <w:spacing w:after="0"/>
              <w:rPr>
                <w:sz w:val="1"/>
                <w:szCs w:val="1"/>
                <w:color w:val="auto"/>
              </w:rPr>
            </w:pPr>
          </w:p>
        </w:tc>
      </w:tr>
      <w:tr>
        <w:trPr>
          <w:trHeight w:val="229"/>
        </w:trPr>
        <w:tc>
          <w:tcPr>
            <w:tcW w:w="4000" w:type="dxa"/>
            <w:vAlign w:val="bottom"/>
          </w:tcPr>
          <w:p>
            <w:pPr>
              <w:ind w:left="460"/>
              <w:spacing w:after="0"/>
              <w:rPr>
                <w:sz w:val="20"/>
                <w:szCs w:val="20"/>
                <w:color w:val="auto"/>
              </w:rPr>
            </w:pPr>
            <w:r>
              <w:rPr>
                <w:rFonts w:ascii="Arial" w:cs="Arial" w:eastAsia="Arial" w:hAnsi="Arial"/>
                <w:sz w:val="18"/>
                <w:szCs w:val="18"/>
                <w:color w:val="auto"/>
              </w:rPr>
              <w:t>Less: Net income (loss) attributable to</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8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income attributable to Aramark</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280,037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269,983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280,037</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95,266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(50,428)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Comprehensive income (loss) attributable to</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229,609</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(81,798)</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269,983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(184,771)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229,609</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Aramark stockholders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30,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00" w:type="dxa"/>
            <w:vAlign w:val="bottom"/>
          </w:tcPr>
          <w:p>
            <w:pPr>
              <w:spacing w:after="0"/>
              <w:rPr>
                <w:sz w:val="14"/>
                <w:szCs w:val="14"/>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2,605,150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1,081,807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3,939,311</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220,756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2,306,776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3,563,009</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152,864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88,444</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Interest and other financing costs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88,220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92,653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Expense 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282,012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2,545,211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1,069,747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3,896,970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(Loss) before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42,341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9,764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27,569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(22,463)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Less: Net income attributable to noncontrolling</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rPr>
              <w:t>Net income (loss) attributable to Aramark</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27,569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47,736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27,569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49,460</w:t>
            </w: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w w:val="98"/>
              </w:rPr>
              <w:t>Comprehensive income (loss) attributable to</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77,029</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(5,029)</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49,917</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50,171</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(95,059)</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77,029</w:t>
            </w:r>
          </w:p>
        </w:tc>
        <w:tc>
          <w:tcPr>
            <w:tcW w:w="0" w:type="dxa"/>
            <w:vAlign w:val="bottom"/>
          </w:tcPr>
          <w:p>
            <w:pPr>
              <w:spacing w:after="0"/>
              <w:rPr>
                <w:sz w:val="1"/>
                <w:szCs w:val="1"/>
                <w:color w:val="auto"/>
              </w:rPr>
            </w:pPr>
          </w:p>
        </w:tc>
      </w:tr>
      <w:tr>
        <w:trPr>
          <w:trHeight w:val="242"/>
        </w:trPr>
        <w:tc>
          <w:tcPr>
            <w:tcW w:w="4000" w:type="dxa"/>
            <w:vAlign w:val="bottom"/>
          </w:tcPr>
          <w:p>
            <w:pPr>
              <w:ind w:left="500"/>
              <w:spacing w:after="0"/>
              <w:rPr>
                <w:sz w:val="20"/>
                <w:szCs w:val="20"/>
                <w:color w:val="auto"/>
              </w:rPr>
            </w:pPr>
            <w:r>
              <w:rPr>
                <w:rFonts w:ascii="Arial" w:cs="Arial" w:eastAsia="Arial" w:hAnsi="Arial"/>
                <w:sz w:val="18"/>
                <w:szCs w:val="18"/>
                <w:color w:val="auto"/>
              </w:rPr>
              <w:t>Aramark stockholders</w:t>
            </w:r>
          </w:p>
        </w:tc>
        <w:tc>
          <w:tcPr>
            <w:tcW w:w="2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30,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rPr>
              <w:t>Aramark</w:t>
            </w:r>
          </w:p>
        </w:tc>
        <w:tc>
          <w:tcPr>
            <w:tcW w:w="300" w:type="dxa"/>
            <w:vAlign w:val="bottom"/>
          </w:tcPr>
          <w:p>
            <w:pPr>
              <w:spacing w:after="0"/>
              <w:rPr>
                <w:sz w:val="14"/>
                <w:szCs w:val="14"/>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510,625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5,248,416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2,145,388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7,904,429</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445,972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4,626,967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2,012,300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7,085,239</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9,874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233,165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43,674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286,713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180,612</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Interest and other financing costs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159,395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166,786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Expense 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(146,008)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571,357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5,066,172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2,081,821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7,719,350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(Loss) before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185,079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(130,391)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23,218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(135,077)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319,853</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(319,853)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319,853</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312,635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40,349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320,156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Less: Net income attributable to noncontrolling</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rPr>
              <w:t>Net income (loss) attributable to Aramark</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319,853</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312,332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40,349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(319,853)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319,853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61,065</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66,877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61,065</w:t>
            </w: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w w:val="98"/>
              </w:rPr>
              <w:t>Comprehensive income (loss) attributable to</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380,918</w:t>
            </w: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(10,005)</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314,513</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107,226</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(411,734)</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380,918</w:t>
            </w:r>
          </w:p>
        </w:tc>
        <w:tc>
          <w:tcPr>
            <w:tcW w:w="0" w:type="dxa"/>
            <w:vAlign w:val="bottom"/>
          </w:tcPr>
          <w:p>
            <w:pPr>
              <w:spacing w:after="0"/>
              <w:rPr>
                <w:sz w:val="1"/>
                <w:szCs w:val="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Aramark stockholders</w:t>
            </w:r>
          </w:p>
        </w:tc>
        <w:tc>
          <w:tcPr>
            <w:tcW w:w="2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29,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40" w:type="dxa"/>
            <w:vAlign w:val="bottom"/>
          </w:tcPr>
          <w:p>
            <w:pPr>
              <w:spacing w:after="0"/>
              <w:rPr>
                <w:sz w:val="14"/>
                <w:szCs w:val="14"/>
                <w:color w:val="auto"/>
              </w:rPr>
            </w:pPr>
          </w:p>
        </w:tc>
        <w:tc>
          <w:tcPr>
            <w:tcW w:w="8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cash provided by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88,983</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Purchases of property and equipment and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(230,402)</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Disposals of property and equipment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divestiture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293,711</w:t>
            </w:r>
          </w:p>
        </w:tc>
        <w:tc>
          <w:tcPr>
            <w:tcW w:w="0" w:type="dxa"/>
            <w:vAlign w:val="bottom"/>
          </w:tcPr>
          <w:p>
            <w:pPr>
              <w:spacing w:after="0"/>
              <w:rPr>
                <w:sz w:val="1"/>
                <w:szCs w:val="1"/>
                <w:color w:val="auto"/>
              </w:rPr>
            </w:pPr>
          </w:p>
        </w:tc>
      </w:tr>
      <w:tr>
        <w:trPr>
          <w:trHeight w:val="229"/>
        </w:trPr>
        <w:tc>
          <w:tcPr>
            <w:tcW w:w="3780" w:type="dxa"/>
            <w:vAlign w:val="bottom"/>
          </w:tcPr>
          <w:p>
            <w:pPr>
              <w:ind w:left="460"/>
              <w:spacing w:after="0"/>
              <w:rPr>
                <w:sz w:val="20"/>
                <w:szCs w:val="20"/>
                <w:color w:val="auto"/>
              </w:rPr>
            </w:pPr>
            <w:r>
              <w:rPr>
                <w:rFonts w:ascii="Arial" w:cs="Arial" w:eastAsia="Arial" w:hAnsi="Arial"/>
                <w:sz w:val="18"/>
                <w:szCs w:val="18"/>
                <w:color w:val="auto"/>
              </w:rPr>
              <w:t>Acquisitions of businesses, net of cash</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680"/>
              <w:spacing w:after="0"/>
              <w:rPr>
                <w:sz w:val="20"/>
                <w:szCs w:val="20"/>
                <w:color w:val="auto"/>
              </w:rPr>
            </w:pPr>
            <w:r>
              <w:rPr>
                <w:rFonts w:ascii="Arial" w:cs="Arial" w:eastAsia="Arial" w:hAnsi="Arial"/>
                <w:sz w:val="18"/>
                <w:szCs w:val="18"/>
                <w:color w:val="auto"/>
              </w:rPr>
              <w:t>acquired</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investing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w w:val="94"/>
              </w:rPr>
              <w:t>Net cash provided by (used in) investing activities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121,102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58,195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Proceeds from long-term borrowings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100,071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100,071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Payments of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(345,458)</w:t>
            </w:r>
          </w:p>
        </w:tc>
        <w:tc>
          <w:tcPr>
            <w:tcW w:w="0" w:type="dxa"/>
            <w:vAlign w:val="bottom"/>
          </w:tcPr>
          <w:p>
            <w:pPr>
              <w:spacing w:after="0"/>
              <w:rPr>
                <w:sz w:val="1"/>
                <w:szCs w:val="1"/>
                <w:color w:val="auto"/>
              </w:rPr>
            </w:pPr>
          </w:p>
        </w:tc>
      </w:tr>
      <w:tr>
        <w:trPr>
          <w:trHeight w:val="229"/>
        </w:trPr>
        <w:tc>
          <w:tcPr>
            <w:tcW w:w="3780" w:type="dxa"/>
            <w:vAlign w:val="bottom"/>
          </w:tcPr>
          <w:p>
            <w:pPr>
              <w:ind w:left="460"/>
              <w:spacing w:after="0"/>
              <w:rPr>
                <w:sz w:val="20"/>
                <w:szCs w:val="20"/>
                <w:color w:val="auto"/>
              </w:rPr>
            </w:pPr>
            <w:r>
              <w:rPr>
                <w:rFonts w:ascii="Arial" w:cs="Arial" w:eastAsia="Arial" w:hAnsi="Arial"/>
                <w:sz w:val="18"/>
                <w:szCs w:val="18"/>
                <w:color w:val="auto"/>
                <w:w w:val="91"/>
              </w:rPr>
              <w:t>Net change in funding under the Receivables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680"/>
              <w:spacing w:after="0"/>
              <w:rPr>
                <w:sz w:val="20"/>
                <w:szCs w:val="20"/>
                <w:color w:val="auto"/>
              </w:rPr>
            </w:pPr>
            <w:r>
              <w:rPr>
                <w:rFonts w:ascii="Arial" w:cs="Arial" w:eastAsia="Arial" w:hAnsi="Arial"/>
                <w:sz w:val="18"/>
                <w:szCs w:val="18"/>
                <w:color w:val="auto"/>
              </w:rPr>
              <w:t>Facility</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205,000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205,000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Payments of dividends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w w:val="98"/>
              </w:rPr>
              <w:t>Proceeds from issuance of common stock</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10,372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10,372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Repurchase of stock</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Other financing activities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(29,120)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Change in intercompany, net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468,094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w w:val="94"/>
              </w:rPr>
              <w:t>Net cash provided by (used in) financing activities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67,156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(163,355)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Effect of foreign exchange rates on cash and cash</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w w:val="93"/>
              </w:rPr>
              <w:t>Increase (decrease) in cash and cash equivalents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215,025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31,508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140,120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195,387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30,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180" w:type="dxa"/>
            <w:vAlign w:val="bottom"/>
          </w:tcPr>
          <w:p>
            <w:pPr>
              <w:spacing w:after="0"/>
              <w:rPr>
                <w:sz w:val="14"/>
                <w:szCs w:val="14"/>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cash provided by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21,627</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Purchases of property and equipment and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(248,404)</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Disposals of property and equipment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Acquisitions of businesses, net of cash</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acquired</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(2,369,118)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(2,227,785)</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Other investing activities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cash provided by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(2,373,432)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(2,476,260)</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2,935,001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3,091,777</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Payments of long-term borrowings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(638,721)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(683,102)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1"/>
              </w:rPr>
              <w:t>Net change in funding under the Receivables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Facility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95,800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95,800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Payments of dividends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(51,547)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8"/>
              </w:rPr>
              <w:t>Proceeds from issuance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10,556</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Repurchase of stock</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(40,276)</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Change in intercompany, net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166,556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cash provided by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2,358,694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2,398,798</w:t>
            </w:r>
          </w:p>
        </w:tc>
        <w:tc>
          <w:tcPr>
            <w:tcW w:w="0" w:type="dxa"/>
            <w:vAlign w:val="bottom"/>
          </w:tcPr>
          <w:p>
            <w:pPr>
              <w:spacing w:after="0"/>
              <w:rPr>
                <w:sz w:val="1"/>
                <w:szCs w:val="1"/>
                <w:color w:val="auto"/>
              </w:rPr>
            </w:pPr>
          </w:p>
        </w:tc>
      </w:tr>
      <w:tr>
        <w:trPr>
          <w:trHeight w:val="209"/>
        </w:trPr>
        <w:tc>
          <w:tcPr>
            <w:tcW w:w="3780" w:type="dxa"/>
            <w:vAlign w:val="bottom"/>
          </w:tcPr>
          <w:p>
            <w:pPr>
              <w:ind w:left="40"/>
              <w:spacing w:after="0"/>
              <w:rPr>
                <w:sz w:val="20"/>
                <w:szCs w:val="20"/>
                <w:color w:val="auto"/>
              </w:rPr>
            </w:pPr>
            <w:r>
              <w:rPr>
                <w:rFonts w:ascii="Arial" w:cs="Arial" w:eastAsia="Arial" w:hAnsi="Arial"/>
                <w:sz w:val="18"/>
                <w:szCs w:val="18"/>
                <w:color w:val="auto"/>
                <w:w w:val="92"/>
              </w:rPr>
              <w:t>Effect of foreign exchange rates on cash and cash</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(53,264)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w w:val="98"/>
              </w:rPr>
              <w:t>Cash and cash equivalents, beginning of period</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111,512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37,513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89,767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238,797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116,058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185,533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The following discussion and analysis of Aramark's (the "Company," "we," "our" and "us") financial condition and results of operations for the three and six months ended March 29, 2019 and March 30, 2018 should be read in conjunction with our audited consolidated financial statements, and the notes to those statements for the fiscal year ended September 28, 2018 included in the Company's Annual Report on Form 10-K, filed with the Securities and Exchange Commission ("SEC") on November 21, 2018.</w:t>
      </w:r>
    </w:p>
    <w:p>
      <w:pPr>
        <w:spacing w:after="0" w:line="10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education, healthcare, business, sports, leisure and corrections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first quarter of fiscal 2018, we acquired Avendra, LLC ("Avendra") and during the second quarter of fiscal 2018, we acquired AmeriPride Services, Inc. ("AmeriPride") in separate transactions. The Avendra acquisition consideration was $1,386.4 million, partially offset by $87.3 million of cash and restricted investments acquired. The AmeriPride acquisition consideration was $995.4 million, partially offset by $84.9 million of cash acquired. We incurred new debt to finance both the Avendra and AmeriPride acquisitions. We expect our earnings for some period following the closings to be impacted as a result of these acquisitions, due to, among other factors, merger and integration costs as well as depreciation and amortization resulting from purchase accounting and higher interest expense as a result of the new debt to finance the transactions. As a part of the integration of Avendra and AmeriPride, we expect to incur an approximate $35 million to $40 million of additional charges over the next two years.</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fiscal 2018, the Company launched the next phase of its program related to food, labor and selling and general administrative initiatives to generate additional cost savings. These initiatives include a reduction in headcount through reorganization and integration, the relocation of our headquarters facility and certain other costs. Efforts related to this phase have resulted in charges of approximately $43 million in the six months ended March 29, 2019. The Company currently expects to incur additional charges related to this phase of approximately $5 million to $10 million within the remaining months of fiscal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9, 2018, we completed the sale of our wholly-owned Healthcare Technologies ("HCT") business for $293.7 million in cash. The transaction resulted in a pretax gain of $156.3 million (tax effected gain of $139.2 million) in the Condensed Consolidated Statements of Income. The Company evaluated the sale under the rules for discontinued operations and concluded it did not meet all of the criteria required.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79"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44"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w:t>
      </w:r>
    </w:p>
    <w:p>
      <w:pPr>
        <w:ind w:right="660"/>
        <w:spacing w:after="0" w:line="290" w:lineRule="auto"/>
        <w:rPr>
          <w:sz w:val="20"/>
          <w:szCs w:val="20"/>
          <w:color w:val="auto"/>
        </w:rPr>
      </w:pPr>
      <w:r>
        <w:rPr>
          <w:rFonts w:ascii="Arial" w:cs="Arial" w:eastAsia="Arial" w:hAnsi="Arial"/>
          <w:sz w:val="17"/>
          <w:szCs w:val="17"/>
          <w:color w:val="auto"/>
        </w:rPr>
        <w:t>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4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fiscal year is the fifty-two or fifty-three week period which ends on the Friday nearest September 30th. The fiscal years ending September 27, 2019 and September 28, 2018 are each fifty-two week periods.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present an overview of our results on a consolidated and segment basis with the amount of and percentage change between periods for the three and six months ended March 29, 2019 and March 30, 2018 (dollars in millions).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29, 2019</w:t>
            </w:r>
          </w:p>
        </w:tc>
        <w:tc>
          <w:tcPr>
            <w:tcW w:w="280" w:type="dxa"/>
            <w:vAlign w:val="bottom"/>
          </w:tcPr>
          <w:p>
            <w:pPr>
              <w:spacing w:after="0"/>
              <w:rPr>
                <w:sz w:val="22"/>
                <w:szCs w:val="22"/>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30, 2018</w:t>
            </w:r>
          </w:p>
        </w:tc>
        <w:tc>
          <w:tcPr>
            <w:tcW w:w="360" w:type="dxa"/>
            <w:vAlign w:val="bottom"/>
          </w:tcPr>
          <w:p>
            <w:pPr>
              <w:spacing w:after="0"/>
              <w:rPr>
                <w:sz w:val="22"/>
                <w:szCs w:val="22"/>
                <w:color w:val="auto"/>
              </w:rPr>
            </w:pPr>
          </w:p>
        </w:tc>
        <w:tc>
          <w:tcPr>
            <w:tcW w:w="88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r>
      <w:tr>
        <w:trPr>
          <w:trHeight w:val="27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3,939.3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1"/>
        </w:trPr>
        <w:tc>
          <w:tcPr>
            <w:tcW w:w="4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4840" w:type="dxa"/>
            <w:vAlign w:val="bottom"/>
          </w:tcPr>
          <w:p>
            <w:pPr>
              <w:ind w:left="46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Gain on sale of Healthcare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4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3,877.2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3,804.3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4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554"/>
        </w:trPr>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right"/>
              <w:ind w:right="77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264"/>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March 29, 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30, 2018</w:t>
            </w: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2,417.0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2,506.4</w:t>
            </w:r>
          </w:p>
        </w:tc>
        <w:tc>
          <w:tcPr>
            <w:tcW w:w="120" w:type="dxa"/>
            <w:vAlign w:val="bottom"/>
          </w:tcPr>
          <w:p>
            <w:pPr>
              <w:spacing w:after="0"/>
              <w:rPr>
                <w:sz w:val="21"/>
                <w:szCs w:val="21"/>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(89.4)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925.3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Uniform</w:t>
            </w:r>
          </w:p>
        </w:tc>
        <w:tc>
          <w:tcPr>
            <w:tcW w:w="28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641.0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507.6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88"/>
              </w:rPr>
              <w:t>133.4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4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3,939.3</w:t>
            </w: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gridSpan w:val="5"/>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7"/>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24"/>
                <w:szCs w:val="24"/>
                <w:color w:val="auto"/>
              </w:rPr>
            </w:pPr>
          </w:p>
        </w:tc>
      </w:tr>
      <w:tr>
        <w:trPr>
          <w:trHeight w:val="264"/>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Income by Segment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March 29, 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30, 2018</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8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201 %</w:t>
            </w:r>
          </w:p>
        </w:tc>
      </w:tr>
      <w:tr>
        <w:trPr>
          <w:trHeight w:val="27"/>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16" w:lineRule="exact"/>
        <w:rPr>
          <w:sz w:val="20"/>
          <w:szCs w:val="20"/>
          <w:color w:val="auto"/>
        </w:rPr>
      </w:pPr>
    </w:p>
    <w:p>
      <w:pPr>
        <w:ind w:right="140" w:firstLine="8"/>
        <w:spacing w:after="0" w:line="353" w:lineRule="auto"/>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60% and 64%, FSS International represented 24% and 23% and Uniform represented 16% and 13% for the three month periods ended March 29, 2019 and March 30, 2018, respectively. These percentages were impacted by the adoption of ASC 606 (see Note 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113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gridSpan w:val="3"/>
          </w:tcPr>
          <w:p>
            <w:pPr>
              <w:ind w:left="140"/>
              <w:spacing w:after="0"/>
              <w:rPr>
                <w:sz w:val="20"/>
                <w:szCs w:val="20"/>
                <w:color w:val="auto"/>
              </w:rPr>
            </w:pPr>
            <w:r>
              <w:rPr>
                <w:rFonts w:ascii="Arial" w:cs="Arial" w:eastAsia="Arial" w:hAnsi="Arial"/>
                <w:sz w:val="14"/>
                <w:szCs w:val="14"/>
                <w:b w:val="1"/>
                <w:bCs w:val="1"/>
                <w:color w:val="auto"/>
              </w:rPr>
              <w:t>March 29, 2019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March 30, 2018</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45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r>
      <w:tr>
        <w:trPr>
          <w:trHeight w:val="270"/>
        </w:trPr>
        <w:tc>
          <w:tcPr>
            <w:tcW w:w="49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8,265.3</w:t>
            </w: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7,904.4</w:t>
            </w: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360.9</w:t>
            </w: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Borders>
              <w:top w:val="single" w:sz="8" w:color="auto"/>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40" w:type="dxa"/>
            <w:vAlign w:val="bottom"/>
          </w:tcPr>
          <w:p>
            <w:pPr>
              <w:spacing w:after="0"/>
              <w:rPr>
                <w:sz w:val="23"/>
                <w:szCs w:val="23"/>
                <w:color w:val="auto"/>
              </w:rPr>
            </w:pPr>
          </w:p>
        </w:tc>
      </w:tr>
      <w:tr>
        <w:trPr>
          <w:trHeight w:val="22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Costs and Expenses:</w:t>
            </w: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
        </w:trPr>
        <w:tc>
          <w:tcPr>
            <w:tcW w:w="40" w:type="dxa"/>
            <w:vAlign w:val="bottom"/>
          </w:tcPr>
          <w:p>
            <w:pPr>
              <w:spacing w:after="0"/>
              <w:rPr>
                <w:sz w:val="3"/>
                <w:szCs w:val="3"/>
                <w:color w:val="auto"/>
              </w:rPr>
            </w:pPr>
          </w:p>
        </w:tc>
        <w:tc>
          <w:tcPr>
            <w:tcW w:w="4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Cost of services provided</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7,434.4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7,085.2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Other operating expenses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491.0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467.3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5 %</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Gain on sale of Healthcare Technologies</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7,769.1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7,552.5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216.6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3 %</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40" w:type="dxa"/>
            <w:vAlign w:val="bottom"/>
          </w:tcPr>
          <w:p>
            <w:pPr>
              <w:spacing w:after="0"/>
              <w:rPr>
                <w:sz w:val="21"/>
                <w:szCs w:val="2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Interest and Other Financing Costs, net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167.2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166.8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r>
      <w:tr>
        <w:trPr>
          <w:trHeight w:val="27"/>
        </w:trPr>
        <w:tc>
          <w:tcPr>
            <w:tcW w:w="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40" w:type="dxa"/>
            <w:vAlign w:val="bottom"/>
          </w:tcPr>
          <w:p>
            <w:pPr>
              <w:spacing w:after="0"/>
              <w:rPr>
                <w:sz w:val="21"/>
                <w:szCs w:val="2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(Benefit) Provision for Income Taxes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184.1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320.2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7"/>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ind w:left="100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8"/>
                <w:szCs w:val="8"/>
                <w:b w:val="1"/>
                <w:bCs w:val="1"/>
                <w:color w:val="auto"/>
              </w:rPr>
              <w:t>(1)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29, 2019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30, 2018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5,077.3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5,156.0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Uniform</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1,292.8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910.1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42 %</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7,904.4</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40" w:type="dxa"/>
            <w:vAlign w:val="bottom"/>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top w:val="single" w:sz="8" w:color="auto"/>
              <w:bottom w:val="single" w:sz="8" w:color="auto"/>
            </w:tcBorders>
            <w:gridSpan w:val="8"/>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gridSpan w:val="5"/>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427"/>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ind w:left="100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Income by Segment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29, 2019</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30, 2018</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40" w:type="dxa"/>
            <w:vAlign w:val="bottom"/>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35" w:lineRule="exact"/>
        <w:rPr>
          <w:sz w:val="20"/>
          <w:szCs w:val="20"/>
          <w:color w:val="auto"/>
        </w:rPr>
      </w:pPr>
    </w:p>
    <w:p>
      <w:pPr>
        <w:ind w:right="260" w:firstLine="8"/>
        <w:spacing w:after="0" w:line="273" w:lineRule="auto"/>
        <w:tabs>
          <w:tab w:leader="none" w:pos="204"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61% and 65%, FSS International represented 23% and 23% and Uniform represented 16% and 12% for the six month periods ended March 29, 2019 and March 30, 2018, respectively. These percentages were impacted by the adoption of ASC 606 (see Note 7).</w:t>
      </w:r>
    </w:p>
    <w:p>
      <w:pPr>
        <w:sectPr>
          <w:pgSz w:w="11900" w:h="16838" w:orient="portrait"/>
          <w:cols w:equalWidth="0" w:num="1">
            <w:col w:w="11420"/>
          </w:cols>
          <w:pgMar w:left="240" w:top="179" w:right="239"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79"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Overview</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Revenue increased by approximately 2% and 5% during the three and six month periods of fiscal 2019, compared to the prior year periods, respectively. The increase was attributable to:</w:t>
      </w:r>
    </w:p>
    <w:p>
      <w:pPr>
        <w:spacing w:after="0" w:line="8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in our FSS International and Uniforms segments;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due to the AmeriPride acquisition (approximately 1% and 2%); and</w:t>
      </w:r>
    </w:p>
    <w:p>
      <w:pPr>
        <w:spacing w:after="0" w:line="144"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the new revenue recognition standard as certain fees previously recognized as a reduction to “Cost of services provided,” are now recognized in “Revenue" (approximately 2% for both periods); which more than offset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divestiture of HCT (approximately -3% and -2%);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-2% for both periods).</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the cost of services provided by segment and as a percent of revenue for the three and six month periods ended March 29, 2019 and March 30,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March 29, 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March 30, 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March 30, 2018</w:t>
            </w:r>
          </w:p>
        </w:tc>
        <w:tc>
          <w:tcPr>
            <w:tcW w:w="0" w:type="dxa"/>
            <w:vAlign w:val="bottom"/>
          </w:tcPr>
          <w:p>
            <w:pPr>
              <w:spacing w:after="0"/>
              <w:rPr>
                <w:sz w:val="1"/>
                <w:szCs w:val="1"/>
                <w:color w:val="auto"/>
              </w:rPr>
            </w:pPr>
          </w:p>
        </w:tc>
      </w:tr>
      <w:tr>
        <w:trPr>
          <w:trHeight w:val="139"/>
        </w:trPr>
        <w:tc>
          <w:tcPr>
            <w:tcW w:w="14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Cost of services</w:t>
            </w:r>
          </w:p>
        </w:tc>
        <w:tc>
          <w:tcPr>
            <w:tcW w:w="240" w:type="dxa"/>
            <w:vAlign w:val="bottom"/>
          </w:tcPr>
          <w:p>
            <w:pPr>
              <w:spacing w:after="0"/>
              <w:rPr>
                <w:sz w:val="12"/>
                <w:szCs w:val="12"/>
                <w:color w:val="auto"/>
              </w:rPr>
            </w:pPr>
          </w:p>
        </w:tc>
        <w:tc>
          <w:tcPr>
            <w:tcW w:w="7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2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of Revenue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2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of Revenue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of Revenue</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provided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FSS United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2,216.7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2,245.2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4,548.9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4,595.9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1440" w:type="dxa"/>
            <w:vAlign w:val="bottom"/>
            <w:gridSpan w:val="2"/>
          </w:tcPr>
          <w:p>
            <w:pPr>
              <w:ind w:left="40"/>
              <w:spacing w:after="0"/>
              <w:rPr>
                <w:sz w:val="20"/>
                <w:szCs w:val="20"/>
                <w:color w:val="auto"/>
              </w:rPr>
            </w:pPr>
            <w:r>
              <w:rPr>
                <w:rFonts w:ascii="Arial" w:cs="Arial" w:eastAsia="Arial" w:hAnsi="Arial"/>
                <w:sz w:val="18"/>
                <w:szCs w:val="18"/>
                <w:color w:val="auto"/>
                <w:w w:val="99"/>
              </w:rPr>
              <w:t>FSS International</w:t>
            </w:r>
          </w:p>
        </w:tc>
        <w:tc>
          <w:tcPr>
            <w:tcW w:w="24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877.8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889.6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1,798.2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1,738.5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545.5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428.2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1,087.3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750.8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3,640.0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3,563.0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7,434.4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7,085.2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percentages attributable to the components in cost of services provided for the three and six month periods ended March 29, 2019 and March 30,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Borders>
              <w:bottom w:val="single" w:sz="8" w:color="auto"/>
            </w:tcBorders>
            <w:gridSpan w:val="3"/>
          </w:tcPr>
          <w:p>
            <w:pPr>
              <w:jc w:val="right"/>
              <w:ind w:right="10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380" w:type="dxa"/>
            <w:vAlign w:val="bottom"/>
            <w:tcBorders>
              <w:bottom w:val="single" w:sz="8" w:color="auto"/>
            </w:tcBorders>
            <w:gridSpan w:val="3"/>
          </w:tcPr>
          <w:p>
            <w:pPr>
              <w:jc w:val="right"/>
              <w:ind w:right="10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 of services provided components</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30, 2018</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support service costs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Personnel costs</w:t>
            </w:r>
          </w:p>
        </w:tc>
        <w:tc>
          <w:tcPr>
            <w:tcW w:w="17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direct costs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Operating income decreased by approximately $12.2 million and increased by approximately $144.3 million during the three and six month periods of fiscal 2019, compared to the prior year periods, respectively. The decrease in operating income during the three month period of fiscal 2019 was attributable to:</w:t>
      </w:r>
    </w:p>
    <w:p>
      <w:pPr>
        <w:spacing w:after="0" w:line="43" w:lineRule="exact"/>
        <w:rPr>
          <w:sz w:val="20"/>
          <w:szCs w:val="20"/>
          <w:color w:val="auto"/>
        </w:rPr>
      </w:pPr>
    </w:p>
    <w:p>
      <w:pPr>
        <w:ind w:left="660" w:right="1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compensation expense for one-time employee reinvestments funded by benefits from U.S. tax reform (approximately $65.5 million); and</w:t>
      </w:r>
    </w:p>
    <w:p>
      <w:pPr>
        <w:spacing w:after="0" w:line="8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profit decline in the Business &amp; Industry sector primarily due to reinvestment costs for new and retained business and from the divestiture of HCT; partially offset by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severance and consulting costs related to streamlining initiatives (approximately $39.5 million);</w:t>
      </w:r>
    </w:p>
    <w:p>
      <w:pPr>
        <w:spacing w:after="0" w:line="144"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profit related to the acquisitions of Avendra and AmeriPride and lower merger and integration costs (approximately $26.1 million);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gain related to the change in fair value of certain gasoline and diesel agreements (approximately $6.1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during the six month period of fiscal 2019 was attributable to:</w:t>
      </w:r>
    </w:p>
    <w:p>
      <w:pPr>
        <w:spacing w:after="0" w:line="14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gain from the divestiture of the HCT business (approximately $156.3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in profit related to the acquisitions of Avendra and AmeriPride and lower merger and integration costs (approximately $36.9 million);</w:t>
      </w:r>
    </w:p>
    <w:p>
      <w:pPr>
        <w:spacing w:after="0" w:line="167" w:lineRule="exact"/>
        <w:rPr>
          <w:rFonts w:ascii="Arial" w:cs="Arial" w:eastAsia="Arial" w:hAnsi="Arial"/>
          <w:sz w:val="16"/>
          <w:szCs w:val="16"/>
          <w:color w:val="auto"/>
        </w:rPr>
      </w:pPr>
    </w:p>
    <w:p>
      <w:pPr>
        <w:ind w:left="660" w:right="3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relating to the recovery of our investment (possessory interest) at one of the National Park Service ("NPS") sites in the FSS United States segment (approximately $16.2 million); and</w:t>
      </w:r>
    </w:p>
    <w:p>
      <w:pPr>
        <w:sectPr>
          <w:pgSz w:w="11900" w:h="16838" w:orient="portrait"/>
          <w:cols w:equalWidth="0" w:num="1">
            <w:col w:w="11420"/>
          </w:cols>
          <w:pgMar w:left="240" w:top="179"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79"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severance and consulting costs related to streamlining initiatives (approximately $9.0 million); partially offset by</w:t>
      </w:r>
    </w:p>
    <w:p>
      <w:pPr>
        <w:spacing w:after="0" w:line="14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compensation expense for one-time employee reinvestments funded by benefits from U.S. tax reform (approximately $65.5 million);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profit decline in the Business &amp; Industry sector primarily due to reinvestment costs for new and retained business and from the divestiture of HCT.</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Interest and Other Financing Costs, net, decreased 9% and slightly increased during the three and six month periods of fiscal 2019, respectively, compared to the prior year periods. The decrease for the three month period of fiscal 2019 was primarily due to prior year charges of $5.3 million for financing commitment fees related to the AmeriPride acquisition and an increase in favorable returns on our interest rate swaps of $5.1 million, partially offset by higher borrowings from the financings in fiscal 2018 for the Avendra and AmeriPride acquisitions.</w:t>
      </w:r>
    </w:p>
    <w:p>
      <w:pPr>
        <w:spacing w:after="0" w:line="10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effective income tax rate for the three and six month periods of fiscal 2019 were 24.2% and 14.9%, respectively, compared to 34.5% and (73.0)% in the prior year periods, respectively. The decrease in the effective tax rate during the three month period of fiscal 2019 was primarily due to a $7.4 million Canadian withholding tax incurred during the prior year period on the post-acquisition integration of AmeriPride. The increase in the effective tax rate during the six month period of fiscal 2019 was driven by a reduction in the U.S. federal statutory rate from 35% to 21% and the re-measurement of our deferred tax assets and liabilities as a result of the “Tax Cuts and Jobs Act." A benefit of approximately $183.8 million was recorded to the (benefit) provision for income taxes for the six months ended March 30, 2018 in the Condensed Consolidated Statements of Income as a result of U.S. tax reform, the impact of certain permanently reinvested foreign earnings and certain other tax adjustments. The effective tax rate for the six months ended March 29, 2019 also includes a tax benefit of approximately $10.4 million, mainly as a result of U.S. tax reform (see Note 8 to the condensed consolidated financial statements), and a $17 million tax provision related to the sale of HCT (see Note 2 to the condensed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United States Segment</w:t>
      </w:r>
    </w:p>
    <w:p>
      <w:pPr>
        <w:spacing w:after="0" w:line="14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FSS United States reportable segment consists of five operating sectors which have similar economic characteristics and are aggregated into a single operating segment. The five operating sectors of the FSS United States reportable segment are Business &amp; Industry, Education, Healthcare, Sports, Leisure &amp; Corrections and Facilities &amp; Other.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of these sectors are summarized as follows (in millions):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2840" w:type="dxa"/>
            <w:vAlign w:val="bottom"/>
            <w:gridSpan w:val="4"/>
          </w:tcPr>
          <w:p>
            <w:pPr>
              <w:jc w:val="right"/>
              <w:ind w:right="853"/>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64"/>
        </w:trPr>
        <w:tc>
          <w:tcPr>
            <w:tcW w:w="27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29, 2019</w:t>
            </w: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March 30, 2018</w:t>
            </w:r>
          </w:p>
        </w:tc>
        <w:tc>
          <w:tcPr>
            <w:tcW w:w="124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29, 2019</w:t>
            </w: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March 30, 2018</w:t>
            </w:r>
          </w:p>
        </w:tc>
        <w:tc>
          <w:tcPr>
            <w:tcW w:w="124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w:t>
            </w:r>
          </w:p>
        </w:tc>
      </w:tr>
      <w:tr>
        <w:trPr>
          <w:trHeight w:val="250"/>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&amp; Industry</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387.9</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774.5</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6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903.0</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1,917.9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1,906.9</w:t>
            </w: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649.1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Sports, Leisure &amp; Corrections</w:t>
            </w:r>
          </w:p>
        </w:tc>
        <w:tc>
          <w:tcPr>
            <w:tcW w:w="16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504.7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486.1</w:t>
            </w:r>
          </w:p>
        </w:tc>
        <w:tc>
          <w:tcPr>
            <w:tcW w:w="124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1,051.4</w:t>
            </w:r>
          </w:p>
        </w:tc>
        <w:tc>
          <w:tcPr>
            <w:tcW w:w="12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 &amp; Other</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774.1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27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2,417.0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2,506.4</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5,077.3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5,156.0</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Healthcare, Education and Facilities &amp; Other sectors generally have high-single digit operating income margins and the Business &amp; Industry and Sports, Leisure &amp; Corrections sectors generally have mid-single digit operating income margins.</w:t>
      </w:r>
    </w:p>
    <w:p>
      <w:pPr>
        <w:spacing w:after="0" w:line="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FSS United States segment revenue decreased by approximately 4% and 2% during the three and six month periods of fiscal 2019 compared to the prior year periods, respectively. The decrease during the three and six month periods of fiscal 2019 was attributable to:</w:t>
      </w:r>
    </w:p>
    <w:p>
      <w:pPr>
        <w:spacing w:after="0" w:line="89"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Healthcare sector revenue resulting from the divestiture of HCT (approximately -33% and -25% of Healthcare sector); which more than offset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Sports, Leisure &amp; Corrections sector revenue resulting from base business growth and net new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Business &amp; Industry sector revenue resulting from net new business.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7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Operating income decreased by approximately $69.1 million and increased by approximately $114.7 million during the three and six month periods of fiscal 2019 compared to the prior year periods, respectively. The decrease in operating income during the three month period of fiscal 2019 was attributable to:</w:t>
      </w:r>
    </w:p>
    <w:p>
      <w:pPr>
        <w:spacing w:after="0" w:line="4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in compensation expense for one-time employee reinvestments funded by benefits from U.S. tax reform (approximately $51.8 million);</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profit decline from the divestiture of HCT (approximately $9.2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profit decline in our Business &amp; Industry sector primarily due to reinvestment costs for new and retained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settlement charges related to exiting a joint venture arrangement (approximately $4.5 million); which more than offset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severance charges related to streamlining initiatives (approximately $13.4 million);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profit related to the acquisition of Avendra and lower merger and integration costs (approximately $5.6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during the six month period of fiscal 2019 was attributable to:</w:t>
      </w:r>
    </w:p>
    <w:p>
      <w:pPr>
        <w:spacing w:after="0" w:line="14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gain from the divestiture of the HCT business (approximately $156.3 million);</w:t>
      </w:r>
    </w:p>
    <w:p>
      <w:pPr>
        <w:spacing w:after="0" w:line="144"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relating to the recovery of our investment (possessory interest) at one of the NPS sites within our Sports, Leisure &amp; Corrections sector (approximately $16.2 million);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severance charges related to streamlining initiatives (approximately $9.9 million); and</w:t>
      </w:r>
    </w:p>
    <w:p>
      <w:pPr>
        <w:spacing w:after="0" w:line="144"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profit related to the acquisition of Avendra and lower merger and integration costs (approximately $6.4 million); which more than offset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in compensation expense for one-time employee reinvestments funded by benefits from U.S. tax reform (approximately $51.8 million);</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profit decline from the divestiture of HCT (approximately $12.8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profit decline in our Business &amp; Industry sector primarily due to reinvestment costs for new and retained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settlement charges related to exiting a joint venture arrangement (approximately $4.5 million);</w:t>
      </w:r>
    </w:p>
    <w:p>
      <w:pPr>
        <w:spacing w:after="0" w:line="144"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duplicate rent charges to build out and ready our new headquarters while occupying our previous headquarters, impairment and closing costs incurred while exiting our previous headquarters and moving costs associated with the relocation to the new headquarters (approximately $4.4 million); and</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lower income from prior year's loss experience that were favorable under our casualty insurance program (approximately $3.5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International Segment</w:t>
      </w: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FSS International segment revenue increased by approximately 2% and 3% during the three and six month periods of fiscal 2019 compared to the prior year periods, respectively. The increase was attributable to:</w:t>
      </w:r>
    </w:p>
    <w:p>
      <w:pPr>
        <w:spacing w:after="0" w:line="8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growth across regions;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growth due to the consolidation of a joint venture (approximately 1.8% and 2.5%); partially offset by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-9% and -8%).</w:t>
      </w:r>
    </w:p>
    <w:p>
      <w:pPr>
        <w:spacing w:after="0" w:line="14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Operating income increased by approximately $28.0 million and decreased by approximately $4.5 million during the three and six month periods of fiscal 2019 compared to the prior year periods, respectively. The increase in operating income during the three month period of fiscal 2019 was attributable to:</w:t>
      </w:r>
    </w:p>
    <w:p>
      <w:pPr>
        <w:spacing w:after="0" w:line="4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severance costs related to streamlining initiatives (approximately $23.4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year charges related to a joint venture partner liquidation and related acquisition (approximately $5.6 million);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profit growth in South America; partially offset by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-$3.0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operating income during the six month period of fiscal 2019 was attributable to:</w:t>
      </w:r>
    </w:p>
    <w:p>
      <w:pPr>
        <w:spacing w:after="0" w:line="14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personnel costs and new business start-up costs;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closing costs related to the exit of a business (approximately $2.0 million); and</w:t>
      </w:r>
    </w:p>
    <w:p>
      <w:pPr>
        <w:sectPr>
          <w:pgSz w:w="11900" w:h="16838" w:orient="portrait"/>
          <w:cols w:equalWidth="0" w:num="1">
            <w:col w:w="11280"/>
          </w:cols>
          <w:pgMar w:left="240" w:top="179" w:right="379" w:bottom="1440" w:gutter="0" w:footer="0" w:header="0"/>
        </w:sect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80"/>
          </w:cols>
          <w:pgMar w:left="240" w:top="179" w:right="37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-$1.0 million); partially offset by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profit growth in South America;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year charges related to a joint venture partner liquidation and related acquisition (approximately $5.6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severance costs related to streamlining initiatives (approximately $5.5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 Segment</w:t>
      </w:r>
    </w:p>
    <w:p>
      <w:pPr>
        <w:spacing w:after="0" w:line="14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Uniform segment revenue increased by approximately 26% and 42% during the three and six month periods of fiscal 2019 compared to the prior year periods, respectively. The increase was primarily attributable to growth within our uniform rental business, the acquisition of AmeriPride in the second quarter of fiscal 2018 (approximately 5% and 18%) and from the adoption of the new revenue recognition standard as certain fees previously recognized as a reduction to “Cost of services provided” are now recognized in “Revenue” (approximately 18% and 21%).</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income increased by approximately $8.2 million and $16.4 million during the three and six month periods of fiscal 2019 compared to the prior year periods, respectively. The increase in operating income was attributable to:</w:t>
      </w:r>
    </w:p>
    <w:p>
      <w:pPr>
        <w:spacing w:after="0" w:line="8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profit related to the acquisition of AmeriPride;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profit within our legacy uniform rental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lower merger and integration related costs from the AmeriPride acquisition (approximately $8.9 million and $5.3 million); which more than offset</w:t>
      </w:r>
    </w:p>
    <w:p>
      <w:pPr>
        <w:spacing w:after="0" w:line="15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compensation expense for one-time employee reinvestments funded by benefits from U.S. tax reform (approximately $11.9 million for both periods); and</w:t>
      </w:r>
    </w:p>
    <w:p>
      <w:pPr>
        <w:spacing w:after="0" w:line="89"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income in the prior year compared to the current year under our casualty insurance program from prior year's loss experience that were favorable (approximately $3.4 million for the six month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Corporate expenses, those administrative expenses not allocated to the business segments, decreased by approximately $20.7 million and $17.7 million during the three and six month periods of fiscal 2019 compared to the prior year periods, respectively. The change was attributable to:</w:t>
      </w:r>
    </w:p>
    <w:p>
      <w:pPr>
        <w:spacing w:after="0" w:line="6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acquisition related costs from the Avendra and AmeriPride acquisitions (approximately $11.6 million and $25.2 million);</w:t>
      </w:r>
    </w:p>
    <w:p>
      <w:pPr>
        <w:spacing w:after="0" w:line="144"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change in fair value of certain gasoline and diesel agreements (gain of approximately $6.1 million for the three month period and a loss of approximately $4.7 million for the six month period);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share-based compensation expense (approximately $2.3 million for the three month period);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consulting costs (approximately $1.8 million and $3.5 million); and</w:t>
      </w:r>
    </w:p>
    <w:p>
      <w:pPr>
        <w:spacing w:after="0" w:line="144"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compensation expense for one-time employee reinvestments funded by benefits from U.S. tax reform (approximately $1.4 million for both periods).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 period of fiscal 2019, we also incurred approximately $6.1 million in banker fees related to the divestiture of Healthcare Technologies.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principal sources of liquidity are cash generated from operating activities, funds from borrowings and existing cash on hand. As of March 29, 2019, we had $195.4 million of cash and cash equivalents and approximately $893.5 million of availability under our senior secured revolving credit facility. A significant portion of our cash and cash equivalents is held in mature, liquid markets where we have operations. As of March 29, 2019, there was approximately $937.6 million of outstanding foreign currency borrowings.</w:t>
      </w:r>
    </w:p>
    <w:p>
      <w:pPr>
        <w:spacing w:after="0" w:line="106"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believe that our cash generated from operations, cash and cash equivalents and the unused portion of our committed credit availability under the senior secured revolving credit facility will be adequate to meet anticipated cash requirements to fund working capital, capital spending, debt service obligations, refinancings, dividends and other cash needs. As part of our ongoing liquidity assessments, we routinely monitor our cash flow (including the mix of domestic and international inflows and outflows) and the condition of the capital markets in order to be prepared to respond to changing conditions.</w:t>
      </w:r>
    </w:p>
    <w:p>
      <w:pPr>
        <w:spacing w:after="0" w:line="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February 5, 2019, the Company announced that it would invest $90 million in its workforce through targeted wage adjustments, one-time retirement contributions and one-time special recognition awards, as well as employee training programs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9"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and scholarships. The Company expects to fund the majority of these investments during fiscal 2019 of which $62.2 million was paid during the second quarter of fiscal 2019 in one-time special recognition awards.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activity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 2019</w:t>
            </w:r>
          </w:p>
        </w:tc>
        <w:tc>
          <w:tcPr>
            <w:tcW w:w="240" w:type="dxa"/>
            <w:vAlign w:val="bottom"/>
          </w:tcPr>
          <w:p>
            <w:pPr>
              <w:spacing w:after="0"/>
              <w:rPr>
                <w:sz w:val="22"/>
                <w:szCs w:val="22"/>
                <w:color w:val="auto"/>
              </w:rPr>
            </w:pPr>
          </w:p>
        </w:tc>
        <w:tc>
          <w:tcPr>
            <w:tcW w:w="146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30,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1"/>
                <w:szCs w:val="21"/>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(2,476.3)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2,398.8</w:t>
            </w:r>
          </w:p>
        </w:tc>
      </w:tr>
      <w:tr>
        <w:trPr>
          <w:trHeight w:val="27"/>
        </w:trPr>
        <w:tc>
          <w:tcPr>
            <w:tcW w:w="7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200"/>
        <w:spacing w:after="0" w:line="391" w:lineRule="auto"/>
        <w:rPr>
          <w:sz w:val="20"/>
          <w:szCs w:val="20"/>
          <w:color w:val="auto"/>
        </w:rPr>
      </w:pPr>
      <w:r>
        <w:rPr>
          <w:rFonts w:ascii="Arial" w:cs="Arial" w:eastAsia="Arial" w:hAnsi="Arial"/>
          <w:sz w:val="18"/>
          <w:szCs w:val="18"/>
          <w:color w:val="auto"/>
        </w:rPr>
        <w:t xml:space="preserve">Reference to the Condensed Consolidated Statements of Cash Flows will facilitate understanding of the discussion that follows. </w:t>
      </w:r>
      <w:r>
        <w:rPr>
          <w:rFonts w:ascii="Arial" w:cs="Arial" w:eastAsia="Arial" w:hAnsi="Arial"/>
          <w:sz w:val="18"/>
          <w:szCs w:val="18"/>
          <w:b w:val="1"/>
          <w:bCs w:val="1"/>
          <w:i w:val="1"/>
          <w:iCs w:val="1"/>
          <w:color w:val="auto"/>
        </w:rPr>
        <w:t>Cash Flows Provided by Operating Activities</w:t>
      </w:r>
    </w:p>
    <w:p>
      <w:pPr>
        <w:spacing w:after="0" w:line="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increase in cash flows provided by operating activities was primarily attributable to the change in operating assets and liabilities ($99.9 million). The change in operating assets and liabilities compared to the prior year period was primarily due to the following:</w:t>
      </w:r>
    </w:p>
    <w:p>
      <w:pPr>
        <w:spacing w:after="0" w:line="89" w:lineRule="exact"/>
        <w:rPr>
          <w:sz w:val="20"/>
          <w:szCs w:val="20"/>
          <w:color w:val="auto"/>
        </w:rPr>
      </w:pPr>
    </w:p>
    <w:p>
      <w:pPr>
        <w:ind w:left="660" w:right="22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Accrued expenses were less of a use of cash primarily due to the timing of one-time payments made during the six month period of fiscal 2018 for certain liabilities assumed related to the Avendra and AmeriPride acquisitions and from lower accrued payroll and related expenses;</w:t>
      </w:r>
    </w:p>
    <w:p>
      <w:pPr>
        <w:spacing w:after="0" w:line="4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Accounts payable were less of a use of cash compared to the prior year period due to the timing of disbursements;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Accounts receivable were a greater use of cash due to the timing of collections.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six month period of fiscal 2019, we paid approximately $62.2 million of one-time special recognition awards funded by benefits from U.S. tax reform. The Company also received gross proceeds of approximately $14.6 million related to our casualty insurance program from our loss experience being favorable related to a prior year during the six month period of fiscal 2019. We received approximately $18.9 million of comparable insurance proceeds during the prior year period. During the six month period of fiscal 2018, we incurred approximately $45.0 million of acquisition related costs. The "Other operating activities" caption in the current year also reflects an adjustment to net income related to a non-operating gain. As a result of the adoption of the new revenue recognition standard in the first quarter of fiscal 2019, certain payments made to our clients, previously included within "Purchases of property and equipment and other" in Cash Flows Provided by (Used in) Investing Activities, are now included within "Payments made to clients on contracts" in Cash Flows Provided by Operating Activities. These client payments were approximately $26.7 million during the six months ended March 29,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Investing Activities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increase in net cash flows provided by (used in) investing activities during the six month period of fiscal 2019 compared to the six month period of fiscal 2018 relates primarily to the proceeds from the sale of Healthcare Technologies in the first quarter of fiscal 2019 and lower levels of spending for acquisitions in the first half of fiscal 2019 compared to the spending for Avendra and AmeriPride in the first half fiscal 2018. The "Other investing activities" includes $16.2 million of proceeds relating to the recovery of our investment (possessory interest) at one of the NPS sites within our Sports, Leisure &amp; Corrections sector.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 period of fiscal 2019, cash provided by (used in) financing activities was impacted by the following:</w:t>
      </w:r>
    </w:p>
    <w:p>
      <w:pPr>
        <w:spacing w:after="0" w:line="14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($205.0 million); and</w:t>
      </w:r>
    </w:p>
    <w:p>
      <w:pPr>
        <w:spacing w:after="0" w:line="144"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repayment of borrowings on term loans and the revolving credit facility ($290.3 million, which includes $200.0 million of optional prepayments from the proceeds of the HCT divestiture).</w:t>
      </w:r>
    </w:p>
    <w:p>
      <w:pPr>
        <w:spacing w:after="0" w:line="8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six month period of fiscal 2018 included the payment of fees and expenses related to borrowings used to finance the Avendra and AmeriPride acquisitions (approximately $23.6 million).</w:t>
      </w:r>
    </w:p>
    <w:p>
      <w:pPr>
        <w:spacing w:after="0" w:line="8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During fiscal 2017, the Board of Directors authorized a new share repurchase program providing for purchases of up to $250 million of Aramark common stock through February 1, 2019. During the six month period of fiscal 2019, we completed a repurchase of 1.6 million shares of our common stock for $50.0 million. During the six month period of fiscal 2018, we completed a repurchase of 0.6 million shares of our common stock for $24.4 million.</w:t>
      </w:r>
    </w:p>
    <w:p>
      <w:pPr>
        <w:spacing w:after="0" w:line="6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"Other financing activities" also reflects a use of cash during the six month periods of fiscal 2019 and fiscal 2018, primarily related to taxes paid by the Company when the Company withholds shares upon an employee's exercise or vesting of equity awards to cover income taxes.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9"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4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March 29, 2019, we were in compliance with these covenants.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Aramark Services, Inc.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10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following is a reconciliation of net income attributable to Aramark Services, Inc. ("ASI") stockholder, which is a U.S. GAAP measure of Aramark Services, Inc.'s operating results, to Covenant Adjusted EBITDA as defined in our debt agreements. The terms and related calculations are defined in the Credit Agreement and the indentures governing our senior notes. Covenant Adjusted EBITDA is a measure of Aramark Services, Inc. and its restricted subsidiaries only and does not include the results of Aramark.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Three Months Ended</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Three Months Ended</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Three Months Ended</w:t>
            </w: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Three Months Ended</w:t>
            </w:r>
          </w:p>
        </w:tc>
        <w:tc>
          <w:tcPr>
            <w:tcW w:w="140" w:type="dxa"/>
            <w:vAlign w:val="bottom"/>
          </w:tcPr>
          <w:p>
            <w:pPr>
              <w:spacing w:after="0"/>
              <w:rPr>
                <w:sz w:val="14"/>
                <w:szCs w:val="14"/>
                <w:color w:val="auto"/>
              </w:rPr>
            </w:pPr>
          </w:p>
        </w:tc>
        <w:tc>
          <w:tcPr>
            <w:tcW w:w="1340" w:type="dxa"/>
            <w:vAlign w:val="bottom"/>
          </w:tcPr>
          <w:p>
            <w:pPr>
              <w:jc w:val="right"/>
              <w:ind w:right="54"/>
              <w:spacing w:after="0"/>
              <w:rPr>
                <w:sz w:val="20"/>
                <w:szCs w:val="20"/>
                <w:color w:val="auto"/>
              </w:rPr>
            </w:pPr>
            <w:r>
              <w:rPr>
                <w:rFonts w:ascii="Arial" w:cs="Arial" w:eastAsia="Arial" w:hAnsi="Arial"/>
                <w:sz w:val="13"/>
                <w:szCs w:val="13"/>
                <w:b w:val="1"/>
                <w:bCs w:val="1"/>
                <w:color w:val="auto"/>
                <w:w w:val="86"/>
              </w:rPr>
              <w:t>Twelve Months Ended</w:t>
            </w:r>
          </w:p>
        </w:tc>
        <w:tc>
          <w:tcPr>
            <w:tcW w:w="0" w:type="dxa"/>
            <w:vAlign w:val="bottom"/>
          </w:tcPr>
          <w:p>
            <w:pPr>
              <w:spacing w:after="0"/>
              <w:rPr>
                <w:sz w:val="1"/>
                <w:szCs w:val="1"/>
                <w:color w:val="auto"/>
              </w:rPr>
            </w:pPr>
          </w:p>
        </w:tc>
      </w:tr>
      <w:tr>
        <w:trPr>
          <w:trHeight w:val="280"/>
        </w:trPr>
        <w:tc>
          <w:tcPr>
            <w:tcW w:w="3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March 29, 2019</w:t>
            </w: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December 28, 2018</w:t>
            </w: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September 28, 2018</w:t>
            </w: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June 29, 2018</w:t>
            </w:r>
          </w:p>
        </w:tc>
        <w:tc>
          <w:tcPr>
            <w:tcW w:w="140" w:type="dxa"/>
            <w:vAlign w:val="bottom"/>
          </w:tcPr>
          <w:p>
            <w:pPr>
              <w:spacing w:after="0"/>
              <w:rPr>
                <w:sz w:val="24"/>
                <w:szCs w:val="24"/>
                <w:color w:val="auto"/>
              </w:rPr>
            </w:pPr>
          </w:p>
        </w:tc>
        <w:tc>
          <w:tcPr>
            <w:tcW w:w="1340" w:type="dxa"/>
            <w:vAlign w:val="bottom"/>
          </w:tcPr>
          <w:p>
            <w:pPr>
              <w:jc w:val="right"/>
              <w:ind w:right="234"/>
              <w:spacing w:after="0"/>
              <w:rPr>
                <w:sz w:val="20"/>
                <w:szCs w:val="20"/>
                <w:color w:val="auto"/>
              </w:rPr>
            </w:pPr>
            <w:r>
              <w:rPr>
                <w:rFonts w:ascii="Arial" w:cs="Arial" w:eastAsia="Arial" w:hAnsi="Arial"/>
                <w:sz w:val="13"/>
                <w:szCs w:val="13"/>
                <w:b w:val="1"/>
                <w:bCs w:val="1"/>
                <w:color w:val="auto"/>
              </w:rPr>
              <w:t>March 29, 2019</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ASI stockholder</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250.7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62"/>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18"/>
                <w:szCs w:val="18"/>
                <w:color w:val="auto"/>
                <w:vertAlign w:val="superscript"/>
              </w:rPr>
              <w:t>(1)</w:t>
            </w:r>
          </w:p>
        </w:tc>
        <w:tc>
          <w:tcPr>
            <w:tcW w:w="140" w:type="dxa"/>
            <w:vAlign w:val="bottom"/>
          </w:tcPr>
          <w:p>
            <w:pPr>
              <w:spacing w:after="0"/>
              <w:rPr>
                <w:sz w:val="22"/>
                <w:szCs w:val="22"/>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181"/>
        </w:trPr>
        <w:tc>
          <w:tcPr>
            <w:tcW w:w="40" w:type="dxa"/>
            <w:vAlign w:val="bottom"/>
            <w:shd w:val="clear" w:color="auto" w:fill="CCEEFF"/>
          </w:tcPr>
          <w:p>
            <w:pPr>
              <w:spacing w:after="0"/>
              <w:rPr>
                <w:sz w:val="15"/>
                <w:szCs w:val="15"/>
                <w:color w:val="auto"/>
              </w:rPr>
            </w:pPr>
          </w:p>
        </w:tc>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Unusual or non-recurring (gains) and losses</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75"/>
                <w:shd w:val="clear" w:color="auto" w:fill="CCEEFF"/>
              </w:rPr>
              <w:t>(2)</w:t>
            </w: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3160" w:type="dxa"/>
            <w:vAlign w:val="bottom"/>
            <w:tcBorders>
              <w:bottom w:val="single" w:sz="8" w:color="CCEEFF"/>
            </w:tcBorders>
            <w:vMerge w:val="continue"/>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3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440" w:type="dxa"/>
            <w:vAlign w:val="bottom"/>
            <w:tcBorders>
              <w:bottom w:val="single" w:sz="8" w:color="CCEEFF"/>
            </w:tcBorders>
            <w:gridSpan w:val="2"/>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gridSpan w:val="2"/>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Pro forma EBITDA for equity method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620" w:type="dxa"/>
            <w:vAlign w:val="bottom"/>
            <w:gridSpan w:val="2"/>
          </w:tcPr>
          <w:p>
            <w:pPr>
              <w:ind w:left="220"/>
              <w:spacing w:after="0"/>
              <w:rPr>
                <w:sz w:val="20"/>
                <w:szCs w:val="20"/>
                <w:color w:val="auto"/>
              </w:rPr>
            </w:pPr>
            <w:r>
              <w:rPr>
                <w:rFonts w:ascii="Arial" w:cs="Arial" w:eastAsia="Arial" w:hAnsi="Arial"/>
                <w:sz w:val="18"/>
                <w:szCs w:val="18"/>
                <w:color w:val="auto"/>
              </w:rPr>
              <w:t>investees</w:t>
            </w:r>
            <w:r>
              <w:rPr>
                <w:rFonts w:ascii="Arial" w:cs="Arial" w:eastAsia="Arial" w:hAnsi="Arial"/>
                <w:sz w:val="18"/>
                <w:szCs w:val="18"/>
                <w:color w:val="auto"/>
                <w:vertAlign w:val="superscript"/>
              </w:rPr>
              <w:t>(3)</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8"/>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 forma EBITDA for certain transactions</w:t>
            </w:r>
            <w:r>
              <w:rPr>
                <w:rFonts w:ascii="Arial" w:cs="Arial" w:eastAsia="Arial" w:hAnsi="Arial"/>
                <w:sz w:val="18"/>
                <w:szCs w:val="18"/>
                <w:color w:val="auto"/>
                <w:vertAlign w:val="superscript"/>
              </w:rPr>
              <w:t>(4)</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(5)</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75"/>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Covenant Adjusted 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00" w:right="20" w:hanging="492"/>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share-based compensation expense resulting from the application of accounting for stock options, restricted stock units, performance stock, performance stock units, and deferred stock unit awards (see Note 10 to the condensed consolidated financial statements).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79"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gain from the divestiture of Healthcare Technologies.</w:t>
      </w:r>
    </w:p>
    <w:p>
      <w:pPr>
        <w:spacing w:after="0" w:line="144" w:lineRule="exact"/>
        <w:rPr>
          <w:rFonts w:ascii="Arial" w:cs="Arial" w:eastAsia="Arial" w:hAnsi="Arial"/>
          <w:sz w:val="18"/>
          <w:szCs w:val="18"/>
          <w:color w:val="auto"/>
        </w:rPr>
      </w:pPr>
    </w:p>
    <w:p>
      <w:pPr>
        <w:ind w:left="500" w:right="360" w:hanging="49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our estimated share of EBITDA, primarily from our AIM Services Co., Ltd. equity method investment, not already reflected in our Net income attributable to ASI stockholder. EBITDA for this equity method investee is calculated in a manner consistent with consolidated Covenant Adjusted EBITDA but does not represent cash distributions received from this investee.</w:t>
      </w:r>
    </w:p>
    <w:p>
      <w:pPr>
        <w:spacing w:after="0" w:line="100"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annualizing of net EBITDA from acquisitions and divestitures made during the period.</w:t>
      </w:r>
    </w:p>
    <w:p>
      <w:pPr>
        <w:spacing w:after="0" w:line="144" w:lineRule="exact"/>
        <w:rPr>
          <w:rFonts w:ascii="Arial" w:cs="Arial" w:eastAsia="Arial" w:hAnsi="Arial"/>
          <w:sz w:val="18"/>
          <w:szCs w:val="18"/>
          <w:color w:val="auto"/>
        </w:rPr>
      </w:pPr>
    </w:p>
    <w:p>
      <w:pPr>
        <w:ind w:left="500" w:right="20" w:hanging="492"/>
        <w:spacing w:after="0" w:line="290"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Other for the twelve months ended March 29, 2019 includes organizational streamlining initiatives ($19.0 million), the impact of the change in fair value related to certain gasoline and diesel agreements ($4.5 million loss), expenses related to merger and integration related charges ($41.3 million), compensation expense for one-time employee reinvestments funded by benefits from U.S. tax reform ($65.5 million), adjustments to remove the impact attributable to the adoption of certain new accounting standards, including Accounting Standards Codification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in accordance with the Credit Agreement and indentures ($10.4 million), duplicate rent charges, moving costs, opening costs to build</w:t>
      </w:r>
      <w:r>
        <w:rPr>
          <w:rFonts w:ascii="Arial" w:cs="Arial" w:eastAsia="Arial" w:hAnsi="Arial"/>
          <w:sz w:val="16"/>
          <w:szCs w:val="16"/>
          <w:i w:val="1"/>
          <w:iCs w:val="1"/>
          <w:color w:val="auto"/>
        </w:rPr>
        <w:t xml:space="preserve"> </w:t>
      </w:r>
      <w:r>
        <w:rPr>
          <w:rFonts w:ascii="Arial" w:cs="Arial" w:eastAsia="Arial" w:hAnsi="Arial"/>
          <w:sz w:val="16"/>
          <w:szCs w:val="16"/>
          <w:color w:val="auto"/>
        </w:rPr>
        <w:t>out and ready the Company's new headquarters while occupying its existing headquarters and closing costs ($13.7 million), banker fees and other charges related to the sale of Healthcare Technologies ($9.9 million), certain environmental charges ($5.0 million), settlement charges related to exiting a joint venture arrangement ($4.5 million), the impact of hyperinflation in Argentina ($3.8 million) and other miscellaneous expenses.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covenant requirements and actual ratios for the twelve months ended March 29, 2019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Covenant</w:t>
            </w:r>
          </w:p>
        </w:tc>
        <w:tc>
          <w:tcPr>
            <w:tcW w:w="1700" w:type="dxa"/>
            <w:vAlign w:val="bottom"/>
          </w:tcPr>
          <w:p>
            <w:pPr>
              <w:jc w:val="right"/>
              <w:ind w:right="579"/>
              <w:spacing w:after="0"/>
              <w:rPr>
                <w:sz w:val="20"/>
                <w:szCs w:val="20"/>
                <w:color w:val="auto"/>
              </w:rPr>
            </w:pPr>
            <w:r>
              <w:rPr>
                <w:rFonts w:ascii="Arial" w:cs="Arial" w:eastAsia="Arial" w:hAnsi="Arial"/>
                <w:sz w:val="14"/>
                <w:szCs w:val="14"/>
                <w:b w:val="1"/>
                <w:bCs w:val="1"/>
                <w:color w:val="auto"/>
              </w:rPr>
              <w:t>Actual</w:t>
            </w: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Requirements</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Ratios</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Consolidated Secured Debt Ratio</w:t>
            </w:r>
            <w:r>
              <w:rPr>
                <w:rFonts w:ascii="Arial" w:cs="Arial" w:eastAsia="Arial" w:hAnsi="Arial"/>
                <w:sz w:val="25"/>
                <w:szCs w:val="25"/>
                <w:color w:val="auto"/>
                <w:vertAlign w:val="superscript"/>
              </w:rPr>
              <w:t>(1)</w:t>
            </w:r>
          </w:p>
        </w:tc>
        <w:tc>
          <w:tcPr>
            <w:tcW w:w="18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5.125x</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341"/>
        </w:trPr>
        <w:tc>
          <w:tcPr>
            <w:tcW w:w="7900" w:type="dxa"/>
            <w:vAlign w:val="bottom"/>
          </w:tcPr>
          <w:p>
            <w:pPr>
              <w:ind w:left="40"/>
              <w:spacing w:after="0"/>
              <w:rPr>
                <w:sz w:val="20"/>
                <w:szCs w:val="20"/>
                <w:color w:val="auto"/>
              </w:rPr>
            </w:pPr>
            <w:r>
              <w:rPr>
                <w:rFonts w:ascii="Arial" w:cs="Arial" w:eastAsia="Arial" w:hAnsi="Arial"/>
                <w:sz w:val="18"/>
                <w:szCs w:val="18"/>
                <w:color w:val="auto"/>
              </w:rPr>
              <w:t>Interest Coverage Ratio (Fixed Charge Coverage Ratio)</w:t>
            </w:r>
            <w:r>
              <w:rPr>
                <w:rFonts w:ascii="Arial" w:cs="Arial" w:eastAsia="Arial" w:hAnsi="Arial"/>
                <w:sz w:val="25"/>
                <w:szCs w:val="25"/>
                <w:color w:val="auto"/>
                <w:vertAlign w:val="superscript"/>
              </w:rPr>
              <w:t>(2)</w:t>
            </w:r>
          </w:p>
        </w:tc>
        <w:tc>
          <w:tcPr>
            <w:tcW w:w="1820" w:type="dxa"/>
            <w:vAlign w:val="bottom"/>
            <w:gridSpan w:val="2"/>
          </w:tcPr>
          <w:p>
            <w:pPr>
              <w:ind w:left="1180"/>
              <w:spacing w:after="0"/>
              <w:rPr>
                <w:sz w:val="20"/>
                <w:szCs w:val="20"/>
                <w:color w:val="auto"/>
              </w:rPr>
            </w:pPr>
            <w:r>
              <w:rPr>
                <w:rFonts w:ascii="Arial" w:cs="Arial" w:eastAsia="Arial" w:hAnsi="Arial"/>
                <w:sz w:val="18"/>
                <w:szCs w:val="18"/>
                <w:color w:val="auto"/>
              </w:rPr>
              <w:t>2.000x</w:t>
            </w:r>
          </w:p>
        </w:tc>
        <w:tc>
          <w:tcPr>
            <w:tcW w:w="1700" w:type="dxa"/>
            <w:vAlign w:val="bottom"/>
          </w:tcPr>
          <w:p>
            <w:pPr>
              <w:jc w:val="right"/>
              <w:spacing w:after="0"/>
              <w:rPr>
                <w:sz w:val="20"/>
                <w:szCs w:val="20"/>
                <w:color w:val="auto"/>
              </w:rPr>
            </w:pPr>
            <w:r>
              <w:rPr>
                <w:rFonts w:ascii="Arial" w:cs="Arial" w:eastAsia="Arial" w:hAnsi="Arial"/>
                <w:sz w:val="18"/>
                <w:szCs w:val="18"/>
                <w:color w:val="auto"/>
              </w:rPr>
              <w:t>4.85</w:t>
            </w:r>
          </w:p>
        </w:tc>
      </w:tr>
    </w:tbl>
    <w:p>
      <w:pPr>
        <w:spacing w:after="0" w:line="49" w:lineRule="exact"/>
        <w:rPr>
          <w:sz w:val="20"/>
          <w:szCs w:val="20"/>
          <w:color w:val="auto"/>
        </w:rPr>
      </w:pPr>
    </w:p>
    <w:p>
      <w:pPr>
        <w:ind w:left="500" w:right="60" w:hanging="492"/>
        <w:spacing w:after="0" w:line="290"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capital leases, debt in respect of sale-leaseback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our Credit Agreement, which, if ASI's lenders under the Credit Agreement (other than the lenders in respect of ASI's U.S. Term Loan B, which lenders do not benefit from the maximum Consolidated Secured Debt Ratio covenant) failed to waive any such default, would also constitute a default under the indentures governing our senior notes.</w:t>
      </w:r>
    </w:p>
    <w:p>
      <w:pPr>
        <w:spacing w:after="0" w:line="85" w:lineRule="exact"/>
        <w:rPr>
          <w:rFonts w:ascii="Arial" w:cs="Arial" w:eastAsia="Arial" w:hAnsi="Arial"/>
          <w:sz w:val="16"/>
          <w:szCs w:val="16"/>
          <w:color w:val="auto"/>
        </w:rPr>
      </w:pPr>
    </w:p>
    <w:p>
      <w:pPr>
        <w:ind w:left="500" w:hanging="492"/>
        <w:spacing w:after="0" w:line="270"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incur additional indebtedness, other than the incremental capacity provided for under the Credit Agreement and pursuant to specified exceptions, and make certain restricted payments, other than pursuant to certain exceptions. The minimum Interest Coverage Ratio is 2.000x for the term of the Credit Agreement. Consolidated interest expense is defined in the Credit Agreement as consolidated interest expense excluding interest income, adjusted for acquisitions and dispositions, further adjusted for certain non-cash or nonrecurring interest expense and our estimated share of interest expense from one equity method investee.The indentures governing our senior notes include a similar requirement which is referred to as a Fixed Charge Coverage Ratio.</w:t>
      </w:r>
    </w:p>
    <w:p>
      <w:pPr>
        <w:spacing w:after="0" w:line="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and its subsidiaries and affiliates may from time to time, in their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of fiscal 2019, we extended the maturity dates of the Revolving Credit Facility, Yen Term Loan due 2022, Canadian Term Loan due 2022, Canadian Term Loan due 2023 and Euro Term Loan due 2022 to October 1,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significant accounting policies are described in the notes to the consolidated financial statements included in our Form 10-K filed with the SEC on November 21, 2018. As described in such notes, we recognize revenue in the period in which the performance obligation is satisfied. During the first quarter of fiscal 2019, the Company adopted the new accounting standard related to revenue recognition. See Notes 1 and 7 to the condensed consolidated financial statement for more information on the impact of adoption. For a more complete discussion of the critical accounting policies and estimates that we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79"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have identified in the preparation of our condensed consolidated financial statements, please refer to our Management's Discussion and Analysis of Financial Condition and Results of Operations included in our Form 10-K filed with the SEC on November 21, 2018.</w:t>
      </w:r>
    </w:p>
    <w:p>
      <w:pPr>
        <w:spacing w:after="0" w:line="8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Updates</w:t>
      </w:r>
    </w:p>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Note 1 to the condensed consolidated financial statements for a full description of recent accounting standard updates, including the expected dates of adoption.</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4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March 29, 2019 has not materially changed from September 28, 2018 (see Item 7A "Quantitative and Qualitative Disclosure About Market Risk" in our Form 10-K for the fiscal year ended September 28, 2018 filed with the SEC on November 21, 2018). See Note 6 to the condensed consolidated financial statements for a discussion of the Company's derivative instruments and Note 14 for the disclosure of the fair value and related carrying value of the Company's debt obligations as of March 29, 2019.</w:t>
      </w:r>
    </w:p>
    <w:p>
      <w:pPr>
        <w:spacing w:after="0" w:line="24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that term is defined in Rules 13a-15(e) and 15d-15(e) under the Securities Exchange Act of 1934, as amended) as of the end of the period covered by this report. Based on that evaluation, management, with the participation of the Chief Executive Officer and Chief Financial Officer, concluded that the Company's disclosure controls and procedures, as of the end of the period covered by this report, are functioning effectively to provide reasonable assurance that the information required to be disclosed by the Company in reports filed under the Securities Exchange Act of 1934 is recorded, processed, summarized and reported within the time periods specified in the SEC's rules and forms and is accumulated and communicated to the Company's management, including its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the Company's internal control over financial reporting occurred during the Company's second quarter of fiscal 2019 that has materially affected, or is reasonably likely to materially affect, the Company's internal control over financial reporting.</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79"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March 29, 2019.</w:t>
      </w:r>
    </w:p>
    <w:p>
      <w:pPr>
        <w:spacing w:after="0" w:line="10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From time to time, the Company and its subsidiaries are party to various legal actions, proceedings and investigations involving claims incidental to the conduct of their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proceedings or investigations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22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the risk factors disclosed in Part I, Item 1A of the Form 10-K for the fiscal year ended September 28, 2018 and filed with the SEC on November 21, 2018.</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Company's share repurchase activity during the second fiscal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600"/>
              <w:spacing w:after="0"/>
              <w:rPr>
                <w:sz w:val="20"/>
                <w:szCs w:val="20"/>
                <w:color w:val="auto"/>
              </w:rPr>
            </w:pPr>
            <w:r>
              <w:rPr>
                <w:rFonts w:ascii="Arial" w:cs="Arial" w:eastAsia="Arial" w:hAnsi="Arial"/>
                <w:sz w:val="16"/>
                <w:szCs w:val="16"/>
                <w:b w:val="1"/>
                <w:bCs w:val="1"/>
                <w:color w:val="auto"/>
              </w:rPr>
              <w:t>(a)</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(b)</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w:t>
            </w:r>
          </w:p>
        </w:tc>
        <w:tc>
          <w:tcPr>
            <w:tcW w:w="120" w:type="dxa"/>
            <w:vAlign w:val="bottom"/>
          </w:tcPr>
          <w:p>
            <w:pPr>
              <w:spacing w:after="0"/>
              <w:rPr>
                <w:sz w:val="18"/>
                <w:szCs w:val="18"/>
                <w:color w:val="auto"/>
              </w:rPr>
            </w:pPr>
          </w:p>
        </w:tc>
        <w:tc>
          <w:tcPr>
            <w:tcW w:w="226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(d)</w:t>
            </w:r>
          </w:p>
        </w:tc>
      </w:tr>
      <w:tr>
        <w:trPr>
          <w:trHeight w:val="249"/>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21"/>
                <w:szCs w:val="21"/>
                <w:color w:val="auto"/>
              </w:rPr>
            </w:pPr>
          </w:p>
        </w:tc>
        <w:tc>
          <w:tcPr>
            <w:tcW w:w="226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 Price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22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7"/>
              </w:rPr>
              <w:t>Shares (or Units)</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Paid per Share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Announced Plans or</w:t>
            </w:r>
          </w:p>
        </w:tc>
        <w:tc>
          <w:tcPr>
            <w:tcW w:w="2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Be Purchased Under the Plans or</w:t>
            </w:r>
          </w:p>
        </w:tc>
      </w:tr>
      <w:tr>
        <w:trPr>
          <w:trHeight w:val="243"/>
        </w:trPr>
        <w:tc>
          <w:tcPr>
            <w:tcW w:w="4000" w:type="dxa"/>
            <w:vAlign w:val="bottom"/>
            <w:tcBorders>
              <w:bottom w:val="single" w:sz="8" w:color="auto"/>
            </w:tcBorders>
          </w:tcPr>
          <w:p>
            <w:pPr>
              <w:ind w:left="178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6"/>
              </w:rPr>
              <w:t>(or Unit)</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Programs</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Programs</w:t>
            </w:r>
            <w:r>
              <w:rPr>
                <w:rFonts w:ascii="Arial" w:cs="Arial" w:eastAsia="Arial" w:hAnsi="Arial"/>
                <w:sz w:val="21"/>
                <w:szCs w:val="21"/>
                <w:b w:val="1"/>
                <w:bCs w:val="1"/>
                <w:color w:val="auto"/>
                <w:w w:val="89"/>
                <w:vertAlign w:val="superscript"/>
              </w:rPr>
              <w:t>(1)</w:t>
            </w:r>
          </w:p>
        </w:tc>
      </w:tr>
      <w:tr>
        <w:trPr>
          <w:trHeight w:val="21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Month 1</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29, 2018 - January 25, 2019</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N/A</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75,600,000</w:t>
            </w:r>
          </w:p>
        </w:tc>
      </w:tr>
      <w:tr>
        <w:trPr>
          <w:trHeight w:val="220"/>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Month 2</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9"/>
        </w:trPr>
        <w:tc>
          <w:tcPr>
            <w:tcW w:w="4120" w:type="dxa"/>
            <w:vAlign w:val="bottom"/>
            <w:gridSpan w:val="2"/>
          </w:tcPr>
          <w:p>
            <w:pPr>
              <w:ind w:left="40"/>
              <w:spacing w:after="0" w:line="239" w:lineRule="exact"/>
              <w:rPr>
                <w:sz w:val="20"/>
                <w:szCs w:val="20"/>
                <w:color w:val="auto"/>
              </w:rPr>
            </w:pPr>
            <w:r>
              <w:rPr>
                <w:rFonts w:ascii="Arial" w:cs="Arial" w:eastAsia="Arial" w:hAnsi="Arial"/>
                <w:sz w:val="16"/>
                <w:szCs w:val="16"/>
                <w:color w:val="auto"/>
              </w:rPr>
              <w:t>January 26, 2019 - February 22, 2019</w:t>
            </w:r>
            <w:r>
              <w:rPr>
                <w:rFonts w:ascii="Arial" w:cs="Arial" w:eastAsia="Arial" w:hAnsi="Arial"/>
                <w:sz w:val="21"/>
                <w:szCs w:val="21"/>
                <w:color w:val="auto"/>
                <w:vertAlign w:val="superscript"/>
              </w:rPr>
              <w:t>(2)</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270,754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30.59</w:t>
            </w: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270,754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N/A</w:t>
            </w:r>
          </w:p>
        </w:tc>
      </w:tr>
      <w:tr>
        <w:trPr>
          <w:trHeight w:val="22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Month 3</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3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23, 2019 - March 29, 2019</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N/A</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N/A</w:t>
            </w:r>
          </w:p>
        </w:tc>
      </w:tr>
      <w:tr>
        <w:trPr>
          <w:trHeight w:val="244"/>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270,754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30.59</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270,754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February 7, 2017, we announced a share repurchase program allowing us to repurchase up to $250.0 million of our common stock, which expired February 1, 2019.</w:t>
      </w:r>
    </w:p>
    <w:p>
      <w:pPr>
        <w:spacing w:after="0" w:line="89" w:lineRule="exact"/>
        <w:rPr>
          <w:rFonts w:ascii="Arial" w:cs="Arial" w:eastAsia="Arial" w:hAnsi="Arial"/>
          <w:sz w:val="18"/>
          <w:szCs w:val="18"/>
          <w:color w:val="auto"/>
        </w:rPr>
      </w:pPr>
    </w:p>
    <w:p>
      <w:pPr>
        <w:ind w:left="340" w:right="100" w:hanging="332"/>
        <w:spacing w:after="0" w:line="31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final settlement on an accelerated share repurchase agreement initially entered into December 2018. In the aggregate, 1,634,682 shares of common stock were purchased under such agreement at an average price of $30.587 per share and delivered to the issuer on two dates, December 14, 2018 and February 15, 2019. There were no other issuer repurchases during the period beginning December 29, 2018 through February 1, 2019.</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79"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3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9"/>
          </w:cols>
          <w:pgMar w:left="240" w:top="179"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7, 2019.</w:t>
      </w:r>
    </w:p>
    <w:p>
      <w:pPr>
        <w:spacing w:after="0" w:line="251"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Aramark</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/s/ STEPHEN P. BRAMLAGE, JR.</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00" w:type="dxa"/>
            <w:vAlign w:val="bottom"/>
            <w:vMerge w:val="continue"/>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2"/>
              </w:rPr>
              <w:t>Stephen P. Bramlage, Jr.</w:t>
            </w:r>
          </w:p>
        </w:tc>
        <w:tc>
          <w:tcPr>
            <w:tcW w:w="0" w:type="dxa"/>
            <w:vAlign w:val="bottom"/>
          </w:tcPr>
          <w:p>
            <w:pPr>
              <w:spacing w:after="0"/>
              <w:rPr>
                <w:sz w:val="1"/>
                <w:szCs w:val="1"/>
                <w:color w:val="auto"/>
              </w:rPr>
            </w:pPr>
          </w:p>
        </w:tc>
      </w:tr>
      <w:tr>
        <w:trPr>
          <w:trHeight w:val="219"/>
        </w:trPr>
        <w:tc>
          <w:tcPr>
            <w:tcW w:w="10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4"/>
              </w:rPr>
              <w:t>Executive Vice President and Chief Financial Officer (Principal Financial</w:t>
            </w: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4"/>
              </w:rPr>
              <w:t>Officer, Principal Accounting Officer and Authorized Signatory)</w:t>
            </w: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18" w:right="239" w:bottom="1440" w:gutter="0" w:footer="0" w:header="0"/>
        </w:sectPr>
      </w:pPr>
    </w:p>
    <w:bookmarkStart w:id="47" w:name="page48"/>
    <w:bookmarkEnd w:id="47"/>
    <w:p>
      <w:pPr>
        <w:jc w:val="center"/>
        <w:ind w:right="18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60" w:lineRule="exact"/>
        <w:rPr>
          <w:sz w:val="20"/>
          <w:szCs w:val="20"/>
          <w:color w:val="auto"/>
        </w:rPr>
      </w:pPr>
    </w:p>
    <w:p>
      <w:pPr>
        <w:spacing w:after="0"/>
        <w:tabs>
          <w:tab w:leader="none" w:pos="554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19685</wp:posOffset>
            </wp:positionV>
            <wp:extent cx="7160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37" w:lineRule="exact"/>
        <w:rPr>
          <w:sz w:val="20"/>
          <w:szCs w:val="20"/>
          <w:color w:val="auto"/>
        </w:rPr>
      </w:pPr>
    </w:p>
    <w:p>
      <w:pPr>
        <w:ind w:left="300"/>
        <w:spacing w:after="0"/>
        <w:tabs>
          <w:tab w:leader="none" w:pos="760" w:val="left"/>
        </w:tabs>
        <w:rPr>
          <w:rFonts w:ascii="Arial" w:cs="Arial" w:eastAsia="Arial" w:hAnsi="Arial"/>
          <w:sz w:val="16"/>
          <w:szCs w:val="16"/>
          <w:u w:val="single" w:color="auto"/>
          <w:color w:val="0000FF"/>
        </w:rPr>
      </w:pPr>
      <w:hyperlink w:anchor="page49">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49">
        <w:r>
          <w:rPr>
            <w:rFonts w:ascii="Arial" w:cs="Arial" w:eastAsia="Arial" w:hAnsi="Arial"/>
            <w:sz w:val="16"/>
            <w:szCs w:val="16"/>
            <w:u w:val="single" w:color="auto"/>
            <w:color w:val="0000FF"/>
          </w:rPr>
          <w:t>Certification of Eric Foss, Chief Executive Officer, pursuant to Section 302 of the Sarbanes-Oxley Act of 2002.</w:t>
        </w:r>
      </w:hyperlink>
    </w:p>
    <w:p>
      <w:pPr>
        <w:spacing w:after="0" w:line="63" w:lineRule="exact"/>
        <w:rPr>
          <w:sz w:val="20"/>
          <w:szCs w:val="20"/>
          <w:color w:val="auto"/>
        </w:rPr>
      </w:pPr>
    </w:p>
    <w:p>
      <w:pPr>
        <w:ind w:left="300"/>
        <w:spacing w:after="0"/>
        <w:tabs>
          <w:tab w:leader="none" w:pos="760" w:val="left"/>
        </w:tabs>
        <w:rPr>
          <w:rFonts w:ascii="Arial" w:cs="Arial" w:eastAsia="Arial" w:hAnsi="Arial"/>
          <w:sz w:val="16"/>
          <w:szCs w:val="16"/>
          <w:u w:val="single" w:color="auto"/>
          <w:color w:val="0000FF"/>
        </w:rPr>
      </w:pPr>
      <w:hyperlink w:anchor="page50">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50">
        <w:r>
          <w:rPr>
            <w:rFonts w:ascii="Arial" w:cs="Arial" w:eastAsia="Arial" w:hAnsi="Arial"/>
            <w:sz w:val="16"/>
            <w:szCs w:val="16"/>
            <w:u w:val="single" w:color="auto"/>
            <w:color w:val="0000FF"/>
          </w:rPr>
          <w:t>Certification of Stephen P. Bramlage Jr., Chief Financial Officer, pursuant to Section 302 of the Sarbanes-Oxley Act of 2002.</w:t>
        </w:r>
      </w:hyperlink>
    </w:p>
    <w:p>
      <w:pPr>
        <w:spacing w:after="0" w:line="63" w:lineRule="exact"/>
        <w:rPr>
          <w:sz w:val="20"/>
          <w:szCs w:val="20"/>
          <w:color w:val="auto"/>
        </w:rPr>
      </w:pPr>
    </w:p>
    <w:p>
      <w:pPr>
        <w:ind w:left="780" w:right="400" w:hanging="489"/>
        <w:spacing w:after="0" w:line="277" w:lineRule="auto"/>
        <w:tabs>
          <w:tab w:leader="none" w:pos="760" w:val="left"/>
        </w:tabs>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51">
        <w:r>
          <w:rPr>
            <w:rFonts w:ascii="Arial" w:cs="Arial" w:eastAsia="Arial" w:hAnsi="Arial"/>
            <w:sz w:val="18"/>
            <w:szCs w:val="18"/>
            <w:u w:val="single" w:color="auto"/>
            <w:color w:val="0000FF"/>
          </w:rPr>
          <w:t>Certification of Eric Foss, Chief Executive Officer, and Stephen P. Bramlage Jr., Chief Financial Officer, pursuant to Section 906 of the</w:t>
        </w:r>
      </w:hyperlink>
      <w:r>
        <w:rPr>
          <w:rFonts w:ascii="Arial" w:cs="Arial" w:eastAsia="Arial" w:hAnsi="Arial"/>
          <w:sz w:val="18"/>
          <w:szCs w:val="18"/>
          <w:u w:val="single" w:color="auto"/>
          <w:color w:val="0000FF"/>
        </w:rPr>
        <w:t xml:space="preserve"> </w:t>
      </w:r>
      <w:hyperlink w:anchor="page51">
        <w:r>
          <w:rPr>
            <w:rFonts w:ascii="Arial" w:cs="Arial" w:eastAsia="Arial" w:hAnsi="Arial"/>
            <w:sz w:val="18"/>
            <w:szCs w:val="18"/>
            <w:u w:val="single" w:color="auto"/>
            <w:color w:val="0000FF"/>
          </w:rPr>
          <w:t>Sarbanes-Oxley Act of 2002.</w:t>
        </w:r>
      </w:hyperlink>
    </w:p>
    <w:p>
      <w:pPr>
        <w:spacing w:after="0" w:line="8" w:lineRule="exact"/>
        <w:rPr>
          <w:rFonts w:ascii="Arial" w:cs="Arial" w:eastAsia="Arial" w:hAnsi="Arial"/>
          <w:sz w:val="18"/>
          <w:szCs w:val="18"/>
          <w:u w:val="single" w:color="auto"/>
          <w:color w:val="0000FF"/>
        </w:rPr>
      </w:pPr>
    </w:p>
    <w:p>
      <w:pPr>
        <w:ind w:left="780" w:hanging="436"/>
        <w:spacing w:after="0" w:line="293" w:lineRule="auto"/>
        <w:tabs>
          <w:tab w:leader="none" w:pos="780" w:val="left"/>
        </w:tabs>
        <w:numPr>
          <w:ilvl w:val="0"/>
          <w:numId w:val="29"/>
        </w:numPr>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The following financial information from Aramark's Quarterly Report on Form 10-Q for the period ended March 29, 2019 formatted in</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XBRL: (i) Condensed Consolidated Balance Sheets as of March 29, 2019 and September 28, 2018; (ii) Condensed Consolidated Statements</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of Income for the three and six months ended March 29, 2019 and March 30, 2018; (iii) Condensed Consolidated Statements of</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Comprehensive Income for the three and six months ended March 29, 2019 and March 30, 2018; (iv) Condensed Consolidated Statements of</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Cash Flows for the six months ended March 29, 2019 and March 30, 2018; (v) Condensed Consolidated Statements of Stockholders' Equity</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for the six months ended March 29, 2019 and March 30, 2018; and (vi) Notes to condensed consolidated financial statements.</w:t>
        </w:r>
      </w:hyperlink>
    </w:p>
    <w:p>
      <w:pPr>
        <w:spacing w:after="0" w:line="84" w:lineRule="exact"/>
        <w:rPr>
          <w:rFonts w:ascii="Arial" w:cs="Arial" w:eastAsia="Arial" w:hAnsi="Arial"/>
          <w:sz w:val="16"/>
          <w:szCs w:val="16"/>
          <w:u w:val="single" w:color="auto"/>
          <w:color w:val="0000EE"/>
        </w:rPr>
      </w:pPr>
    </w:p>
    <w:p>
      <w:pPr>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31" w:lineRule="exact"/>
        <w:rPr>
          <w:rFonts w:ascii="Arial" w:cs="Arial" w:eastAsia="Arial" w:hAnsi="Arial"/>
          <w:sz w:val="16"/>
          <w:szCs w:val="16"/>
          <w:u w:val="single" w:color="auto"/>
          <w:color w:val="0000EE"/>
        </w:rPr>
      </w:pPr>
    </w:p>
    <w:p>
      <w:pPr>
        <w:jc w:val="center"/>
        <w:ind w:right="18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580" w:top="418" w:right="3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Eric J. Foss, Chairman, President and Chief Executive Officer, certify that:</w:t>
      </w:r>
    </w:p>
    <w:p>
      <w:pPr>
        <w:spacing w:after="0" w:line="90"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March 29, 2019;</w:t>
      </w:r>
    </w:p>
    <w:p>
      <w:pPr>
        <w:spacing w:after="0" w:line="90" w:lineRule="exact"/>
        <w:rPr>
          <w:rFonts w:ascii="Arial" w:cs="Arial" w:eastAsia="Arial" w:hAnsi="Arial"/>
          <w:sz w:val="18"/>
          <w:szCs w:val="18"/>
          <w:color w:val="auto"/>
        </w:rPr>
      </w:pPr>
    </w:p>
    <w:p>
      <w:pPr>
        <w:ind w:left="340" w:right="120" w:hanging="332"/>
        <w:spacing w:after="0" w:line="334"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E</w:t>
      </w:r>
      <w:r>
        <w:rPr>
          <w:rFonts w:ascii="Arial" w:cs="Arial" w:eastAsia="Arial" w:hAnsi="Arial"/>
          <w:sz w:val="16"/>
          <w:szCs w:val="16"/>
          <w:color w:val="auto"/>
        </w:rPr>
        <w:t>RIC</w:t>
      </w:r>
      <w:r>
        <w:rPr>
          <w:rFonts w:ascii="Arial" w:cs="Arial" w:eastAsia="Arial" w:hAnsi="Arial"/>
          <w:sz w:val="18"/>
          <w:szCs w:val="18"/>
          <w:color w:val="auto"/>
        </w:rPr>
        <w:t xml:space="preserve"> J. F</w:t>
      </w:r>
      <w:r>
        <w:rPr>
          <w:rFonts w:ascii="Arial" w:cs="Arial" w:eastAsia="Arial" w:hAnsi="Arial"/>
          <w:sz w:val="16"/>
          <w:szCs w:val="16"/>
          <w:color w:val="auto"/>
        </w:rPr>
        <w:t>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Eric J. Foss</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Chairman, President and Chief Executive Officer</w:t>
      </w:r>
    </w:p>
    <w:p>
      <w:pPr>
        <w:sectPr>
          <w:pgSz w:w="11900" w:h="16838" w:orient="portrait"/>
          <w:cols w:equalWidth="0" w:num="1">
            <w:col w:w="11420"/>
          </w:cols>
          <w:pgMar w:left="240" w:top="74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Stephen P. Bramlage, Jr.,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March 29, 2019;</w:t>
      </w:r>
    </w:p>
    <w:p>
      <w:pPr>
        <w:spacing w:after="0" w:line="90" w:lineRule="exact"/>
        <w:rPr>
          <w:rFonts w:ascii="Arial" w:cs="Arial" w:eastAsia="Arial" w:hAnsi="Arial"/>
          <w:sz w:val="18"/>
          <w:szCs w:val="18"/>
          <w:color w:val="auto"/>
        </w:rPr>
      </w:pPr>
    </w:p>
    <w:p>
      <w:pPr>
        <w:ind w:left="340" w:right="120" w:hanging="332"/>
        <w:spacing w:after="0" w:line="334"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S</w:t>
      </w:r>
      <w:r>
        <w:rPr>
          <w:rFonts w:ascii="Arial" w:cs="Arial" w:eastAsia="Arial" w:hAnsi="Arial"/>
          <w:sz w:val="16"/>
          <w:szCs w:val="16"/>
          <w:color w:val="auto"/>
        </w:rPr>
        <w:t>TEPHEN</w:t>
      </w:r>
      <w:r>
        <w:rPr>
          <w:rFonts w:ascii="Arial" w:cs="Arial" w:eastAsia="Arial" w:hAnsi="Arial"/>
          <w:sz w:val="18"/>
          <w:szCs w:val="18"/>
          <w:color w:val="auto"/>
        </w:rPr>
        <w:t xml:space="preserve"> P. B</w:t>
      </w:r>
      <w:r>
        <w:rPr>
          <w:rFonts w:ascii="Arial" w:cs="Arial" w:eastAsia="Arial" w:hAnsi="Arial"/>
          <w:sz w:val="16"/>
          <w:szCs w:val="16"/>
          <w:color w:val="auto"/>
        </w:rPr>
        <w:t>RAMLAGE</w:t>
      </w:r>
      <w:r>
        <w:rPr>
          <w:rFonts w:ascii="Arial" w:cs="Arial" w:eastAsia="Arial" w:hAnsi="Arial"/>
          <w:sz w:val="18"/>
          <w:szCs w:val="18"/>
          <w:color w:val="auto"/>
        </w:rPr>
        <w:t>, J</w:t>
      </w:r>
      <w:r>
        <w:rPr>
          <w:rFonts w:ascii="Arial" w:cs="Arial" w:eastAsia="Arial" w:hAnsi="Arial"/>
          <w:sz w:val="16"/>
          <w:szCs w:val="16"/>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Stephen P. Bramlage, Jr.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Executive Vice President and</w:t>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7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connection with the Quarterly Report of Aramark (the “Company”) on Form 10-Q for the fiscal quarter ended March 29, 2019, as filed with the Securities and Exchange Commission on the date hereof (the “Report”), we, Eric J. Foss, Chairman, President and Chief Executive Officer of the Company, and Stephen P. Bramlage, Jr., Executive Vice President and Chief Financial Officer of the Company, each certify, pursuant to 18 U.S.C. Section 1350, as adopted pursuant to Section 906 of the Sarbanes-Oxley Act of 2002, that, based on each of our knowledge:</w:t>
      </w:r>
    </w:p>
    <w:p>
      <w:pPr>
        <w:spacing w:after="0" w:line="33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87" w:lineRule="exact"/>
        <w:rPr>
          <w:rFonts w:ascii="Arial" w:cs="Arial" w:eastAsia="Arial" w:hAnsi="Arial"/>
          <w:sz w:val="18"/>
          <w:szCs w:val="18"/>
          <w:color w:val="auto"/>
        </w:rPr>
      </w:pPr>
    </w:p>
    <w:p>
      <w:pPr>
        <w:ind w:right="320" w:firstLine="332"/>
        <w:spacing w:after="0" w:line="716"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7, 2019</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E</w:t>
      </w:r>
      <w:r>
        <w:rPr>
          <w:rFonts w:ascii="Arial" w:cs="Arial" w:eastAsia="Arial" w:hAnsi="Arial"/>
          <w:sz w:val="16"/>
          <w:szCs w:val="16"/>
          <w:color w:val="auto"/>
        </w:rPr>
        <w:t>RIC</w:t>
      </w:r>
      <w:r>
        <w:rPr>
          <w:rFonts w:ascii="Arial" w:cs="Arial" w:eastAsia="Arial" w:hAnsi="Arial"/>
          <w:sz w:val="18"/>
          <w:szCs w:val="18"/>
          <w:color w:val="auto"/>
        </w:rPr>
        <w:t xml:space="preserve"> J. F</w:t>
      </w:r>
      <w:r>
        <w:rPr>
          <w:rFonts w:ascii="Arial" w:cs="Arial" w:eastAsia="Arial" w:hAnsi="Arial"/>
          <w:sz w:val="16"/>
          <w:szCs w:val="16"/>
          <w:color w:val="auto"/>
        </w:rPr>
        <w:t>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Eric J. Foss</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S</w:t>
      </w:r>
      <w:r>
        <w:rPr>
          <w:rFonts w:ascii="Arial" w:cs="Arial" w:eastAsia="Arial" w:hAnsi="Arial"/>
          <w:sz w:val="16"/>
          <w:szCs w:val="16"/>
          <w:color w:val="auto"/>
        </w:rPr>
        <w:t>TEPHEN</w:t>
      </w:r>
      <w:r>
        <w:rPr>
          <w:rFonts w:ascii="Arial" w:cs="Arial" w:eastAsia="Arial" w:hAnsi="Arial"/>
          <w:sz w:val="18"/>
          <w:szCs w:val="18"/>
          <w:color w:val="auto"/>
        </w:rPr>
        <w:t xml:space="preserve"> P. B</w:t>
      </w:r>
      <w:r>
        <w:rPr>
          <w:rFonts w:ascii="Arial" w:cs="Arial" w:eastAsia="Arial" w:hAnsi="Arial"/>
          <w:sz w:val="16"/>
          <w:szCs w:val="16"/>
          <w:color w:val="auto"/>
        </w:rPr>
        <w:t>RAMLAGE</w:t>
      </w:r>
      <w:r>
        <w:rPr>
          <w:rFonts w:ascii="Arial" w:cs="Arial" w:eastAsia="Arial" w:hAnsi="Arial"/>
          <w:sz w:val="18"/>
          <w:szCs w:val="18"/>
          <w:color w:val="auto"/>
        </w:rPr>
        <w:t>, J</w:t>
      </w:r>
      <w:r>
        <w:rPr>
          <w:rFonts w:ascii="Arial" w:cs="Arial" w:eastAsia="Arial" w:hAnsi="Arial"/>
          <w:sz w:val="16"/>
          <w:szCs w:val="16"/>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Stephen P. Bramlage, Jr.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amp;"/>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2"/>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0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2019-12-28T12:41:25Z</dcterms:created>
  <dcterms:modified xsi:type="dcterms:W3CDTF">2019-12-28T12:41:25Z</dcterms:modified>
</cp:coreProperties>
</file>