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60" w:after="60"/>
        <w:jc w:val="left"/>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 xml:space="preserve">SECURITIES AND EXCHANGE COMMISSION </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FORM 10-Q </w:t>
      </w:r>
    </w:p>
    <w:p>
      <w:pPr>
        <w:pStyle w:val="TextBody"/>
        <w:bidi w:val="0"/>
        <w:spacing w:lineRule="auto" w:line="288" w:before="60" w:after="60"/>
        <w:jc w:val="center"/>
        <w:rPr/>
      </w:pPr>
      <w:r>
        <w:rPr>
          <w:rFonts w:ascii="Wingdings;sans-serif" w:hAnsi="Wingdings;sans-serif"/>
          <w:b w:val="false"/>
          <w:color w:val="000000"/>
          <w:sz w:val="20"/>
        </w:rPr>
        <w:t xml:space="preserve">x </w:t>
      </w:r>
      <w:r>
        <w:rPr>
          <w:rFonts w:ascii="Times New Roman;sans-serif" w:hAnsi="Times New Roman;sans-serif"/>
          <w:b/>
          <w:color w:val="000000"/>
          <w:sz w:val="24"/>
        </w:rPr>
        <w:t>QUARTERLY REPORT PURSUANT TO SECTION 13 or 15(d) OF</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THE SECURITIES EXCHANGE ACT OF 1934</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28, 2025</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or</w:t>
      </w:r>
    </w:p>
    <w:p>
      <w:pPr>
        <w:pStyle w:val="TextBody"/>
        <w:bidi w:val="0"/>
        <w:spacing w:lineRule="auto" w:line="288" w:before="60" w:after="60"/>
        <w:jc w:val="center"/>
        <w:rPr/>
      </w:pPr>
      <w:r>
        <w:rPr>
          <w:color w:val="000000"/>
        </w:rPr>
        <w:t xml:space="preserve">☐ </w:t>
      </w:r>
      <w:r>
        <w:rPr>
          <w:rFonts w:ascii="Times New Roman;sans-serif" w:hAnsi="Times New Roman;sans-serif"/>
          <w:b/>
          <w:color w:val="000000"/>
          <w:sz w:val="24"/>
        </w:rPr>
        <w:t xml:space="preserve">TRANSITION REPORT PURSUANT TO SECTION 13 OR 15(d) OF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THE SECURITIES EXCHANGE ACT OF 1934</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For the transition period from _______ to _______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001-36223 </w:t>
      </w:r>
    </w:p>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w:t>
      </w:r>
    </w:p>
    <w:p>
      <w:pPr>
        <w:pStyle w:val="TextBody"/>
        <w:bidi w:val="0"/>
        <w:spacing w:before="60" w:after="60"/>
        <w:jc w:val="center"/>
        <w:rPr/>
      </w:pPr>
      <w:r>
        <w:rPr/>
        <w:drawing>
          <wp:inline distT="0" distB="0" distL="0" distR="0">
            <wp:extent cx="2743200" cy="695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695325"/>
                    </a:xfrm>
                    <a:prstGeom prst="rect">
                      <a:avLst/>
                    </a:prstGeom>
                  </pic:spPr>
                </pic:pic>
              </a:graphicData>
            </a:graphic>
          </wp:inline>
        </w:drawing>
      </w:r>
      <w:bookmarkStart w:id="0" w:name="i-1"/>
      <w:bookmarkEnd w:id="0"/>
    </w:p>
    <w:tbl>
      <w:tblPr>
        <w:tblW w:w="4617" w:type="dxa"/>
        <w:jc w:val="center"/>
        <w:tblInd w:w="0" w:type="dxa"/>
        <w:tblLayout w:type="fixed"/>
        <w:tblCellMar>
          <w:top w:w="28" w:type="dxa"/>
          <w:left w:w="28" w:type="dxa"/>
          <w:bottom w:w="28" w:type="dxa"/>
          <w:right w:w="28" w:type="dxa"/>
        </w:tblCellMar>
      </w:tblPr>
      <w:tblGrid>
        <w:gridCol w:w="518"/>
        <w:gridCol w:w="456"/>
        <w:gridCol w:w="456"/>
        <w:gridCol w:w="477"/>
        <w:gridCol w:w="477"/>
        <w:gridCol w:w="478"/>
        <w:gridCol w:w="513"/>
        <w:gridCol w:w="513"/>
        <w:gridCol w:w="729"/>
      </w:tblGrid>
      <w:tr>
        <w:trPr/>
        <w:tc>
          <w:tcPr>
            <w:tcW w:w="51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r>
      <w:tr>
        <w:trPr/>
        <w:tc>
          <w:tcPr>
            <w:tcW w:w="1430"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r>
      <w:tr>
        <w:trPr/>
        <w:tc>
          <w:tcPr>
            <w:tcW w:w="46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36"/>
              </w:rPr>
            </w:pPr>
            <w:r>
              <w:rPr>
                <w:rFonts w:ascii="Times New Roman;sans-serif" w:hAnsi="Times New Roman;sans-serif"/>
                <w:b/>
                <w:color w:val="000000"/>
                <w:sz w:val="36"/>
              </w:rPr>
              <w:t>Aramark</w:t>
            </w:r>
          </w:p>
        </w:tc>
      </w:tr>
      <w:tr>
        <w:trPr/>
        <w:tc>
          <w:tcPr>
            <w:tcW w:w="46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 as specified in its charter)</w:t>
            </w:r>
          </w:p>
        </w:tc>
      </w:tr>
      <w:tr>
        <w:trPr/>
        <w:tc>
          <w:tcPr>
            <w:tcW w:w="28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20-8236097</w:t>
            </w:r>
          </w:p>
        </w:tc>
      </w:tr>
      <w:tr>
        <w:trPr/>
        <w:tc>
          <w:tcPr>
            <w:tcW w:w="2862"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w:t>
            </w:r>
          </w:p>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incorporation or organization)</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w:t>
            </w:r>
          </w:p>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Identification Number)</w:t>
            </w:r>
          </w:p>
        </w:tc>
      </w:tr>
      <w:tr>
        <w:trPr/>
        <w:tc>
          <w:tcPr>
            <w:tcW w:w="1430"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r>
      <w:tr>
        <w:trPr/>
        <w:tc>
          <w:tcPr>
            <w:tcW w:w="2862"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2400 Market Street</w:t>
            </w:r>
          </w:p>
        </w:tc>
        <w:tc>
          <w:tcPr>
            <w:tcW w:w="17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19103</w:t>
            </w:r>
          </w:p>
        </w:tc>
      </w:tr>
      <w:tr>
        <w:trPr/>
        <w:tc>
          <w:tcPr>
            <w:tcW w:w="143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Philadelphia,</w:t>
            </w:r>
          </w:p>
        </w:tc>
        <w:tc>
          <w:tcPr>
            <w:tcW w:w="14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Pennsylvania</w:t>
            </w:r>
          </w:p>
        </w:tc>
        <w:tc>
          <w:tcPr>
            <w:tcW w:w="175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(215) 238-3000 </w:t>
      </w:r>
    </w:p>
    <w:p>
      <w:pPr>
        <w:pStyle w:val="TextBody"/>
        <w:bidi w:val="0"/>
        <w:spacing w:lineRule="auto" w:line="288" w:before="6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(Registrant's telephone number, including area code)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w:t>
      </w:r>
    </w:p>
    <w:p>
      <w:pPr>
        <w:pStyle w:val="TextBody"/>
        <w:bidi w:val="0"/>
        <w:spacing w:before="0" w:after="0"/>
        <w:jc w:val="left"/>
        <w:rPr/>
      </w:pPr>
      <w:r>
        <w:rPr/>
      </w:r>
    </w:p>
    <w:p>
      <w:pPr>
        <w:pStyle w:val="TextBody"/>
        <w:bidi w:val="0"/>
        <w:spacing w:lineRule="auto" w:line="288" w:before="0" w:after="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773" w:type="dxa"/>
        <w:jc w:val="left"/>
        <w:tblInd w:w="0" w:type="dxa"/>
        <w:tblLayout w:type="fixed"/>
        <w:tblCellMar>
          <w:top w:w="28" w:type="dxa"/>
          <w:left w:w="28" w:type="dxa"/>
          <w:bottom w:w="28" w:type="dxa"/>
          <w:right w:w="28" w:type="dxa"/>
        </w:tblCellMar>
      </w:tblPr>
      <w:tblGrid>
        <w:gridCol w:w="452"/>
        <w:gridCol w:w="396"/>
        <w:gridCol w:w="396"/>
        <w:gridCol w:w="625"/>
        <w:gridCol w:w="625"/>
        <w:gridCol w:w="625"/>
        <w:gridCol w:w="564"/>
        <w:gridCol w:w="564"/>
        <w:gridCol w:w="566"/>
        <w:gridCol w:w="1157"/>
        <w:gridCol w:w="1157"/>
        <w:gridCol w:w="1646"/>
      </w:tblGrid>
      <w:tr>
        <w:trPr/>
        <w:tc>
          <w:tcPr>
            <w:tcW w:w="452"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960"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Symbol(s)</w:t>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124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Common Stock,</w:t>
            </w:r>
          </w:p>
        </w:tc>
        <w:tc>
          <w:tcPr>
            <w:tcW w:w="18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par value $0.01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ARMK</w:t>
            </w:r>
          </w:p>
        </w:tc>
        <w:tc>
          <w:tcPr>
            <w:tcW w:w="39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New York Stock Exchange</w:t>
            </w:r>
          </w:p>
        </w:tc>
      </w:tr>
      <w:tr>
        <w:trPr/>
        <w:tc>
          <w:tcPr>
            <w:tcW w:w="1244"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9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60" w:after="60"/>
        <w:jc w:val="left"/>
        <w:rPr/>
      </w:pPr>
      <w:r>
        <w:rPr>
          <w:rFonts w:ascii="Times New Roman;sans-serif" w:hAnsi="Times New Roman;sans-serif"/>
          <w:b w:val="false"/>
          <w:color w:val="000000"/>
          <w:sz w:val="20"/>
        </w:rPr>
        <w:t>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No  </w:t>
      </w:r>
      <w:r>
        <w:rPr>
          <w:color w:val="000000"/>
        </w:rPr>
        <w: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lineRule="auto" w:line="288" w:before="60" w:after="60"/>
        <w:jc w:val="left"/>
        <w:rPr/>
      </w:pPr>
      <w:r>
        <w:rPr>
          <w:rFonts w:ascii="Times New Roman;sans-serif" w:hAnsi="Times New Roman;sans-serif"/>
          <w:b w:val="false"/>
          <w:color w:val="000000"/>
          <w:sz w:val="20"/>
        </w:rPr>
        <w:t>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No  </w:t>
      </w:r>
      <w:r>
        <w:rPr>
          <w:color w:val="000000"/>
        </w:rPr>
        <w: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560"/>
        <w:gridCol w:w="492"/>
        <w:gridCol w:w="495"/>
        <w:gridCol w:w="109"/>
        <w:gridCol w:w="109"/>
        <w:gridCol w:w="109"/>
        <w:gridCol w:w="480"/>
        <w:gridCol w:w="480"/>
        <w:gridCol w:w="481"/>
        <w:gridCol w:w="109"/>
        <w:gridCol w:w="109"/>
        <w:gridCol w:w="109"/>
        <w:gridCol w:w="537"/>
        <w:gridCol w:w="537"/>
        <w:gridCol w:w="538"/>
        <w:gridCol w:w="109"/>
        <w:gridCol w:w="109"/>
        <w:gridCol w:w="109"/>
        <w:gridCol w:w="770"/>
        <w:gridCol w:w="770"/>
        <w:gridCol w:w="771"/>
        <w:gridCol w:w="109"/>
        <w:gridCol w:w="109"/>
        <w:gridCol w:w="109"/>
        <w:gridCol w:w="536"/>
        <w:gridCol w:w="536"/>
        <w:gridCol w:w="538"/>
        <w:gridCol w:w="109"/>
        <w:gridCol w:w="109"/>
        <w:gridCol w:w="158"/>
      </w:tblGrid>
      <w:tr>
        <w:trPr/>
        <w:tc>
          <w:tcPr>
            <w:tcW w:w="56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16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ind w:left="0" w:right="0" w:firstLine="450"/>
        <w:jc w:val="left"/>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lineRule="auto" w:line="288" w:before="100" w:after="60"/>
        <w:ind w:left="0" w:right="0" w:firstLine="450"/>
        <w:jc w:val="left"/>
        <w:rPr/>
      </w:pPr>
      <w:r>
        <w:rPr>
          <w:rFonts w:ascii="Times New Roman;sans-serif" w:hAnsi="Times New Roman;sans-serif"/>
          <w:b w:val="false"/>
          <w:color w:val="000000"/>
          <w:sz w:val="20"/>
        </w:rPr>
        <w:t>Indicate by check mark whether the registrant is a shell company (as defined in Rule 12b-2 of the Exchange Act).    Yes ☐  No  </w:t>
      </w:r>
      <w:r>
        <w:rPr>
          <w:rFonts w:ascii="Wingdings;sans-serif" w:hAnsi="Wingdings;sans-serif"/>
          <w:b w:val="false"/>
          <w:color w:val="000000"/>
          <w:sz w:val="20"/>
        </w:rPr>
        <w:t>x</w:t>
      </w:r>
      <w:r>
        <w:rPr>
          <w:color w:val="000000"/>
        </w:rPr>
        <w:t xml:space="preserve"> </w:t>
      </w:r>
    </w:p>
    <w:p>
      <w:pPr>
        <w:pStyle w:val="TextBody"/>
        <w:bidi w:val="0"/>
        <w:spacing w:lineRule="auto" w:line="288" w:before="100" w:after="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April 25, 2025, the number of shares of the registrant's common stock outstanding is 262,070,761.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13360"/>
                <wp:effectExtent l="0" t="0" r="0" b="0"/>
                <wp:wrapNone/>
                <wp:docPr id="2" name="Frame1"/>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left"/>
                        <w:rPr/>
                      </w:pPr>
                      <w:r>
                        <w:rPr/>
                      </w:r>
                    </w:p>
                  </w:txbxContent>
                </v:textbox>
                <w10:wrap type="none"/>
              </v:rect>
            </w:pict>
          </mc:Fallback>
        </mc:AlternateContent>
      </w:r>
    </w:p>
    <w:p>
      <w:pPr>
        <w:pStyle w:val="TextBody"/>
        <w:bidi w:val="0"/>
        <w:spacing w:before="60" w:after="60"/>
        <w:jc w:val="left"/>
        <w:rPr/>
      </w:pPr>
      <w:r>
        <w:rPr/>
      </w:r>
    </w:p>
    <w:p>
      <w:pPr>
        <w:pStyle w:val="TextBody"/>
        <w:bidi w:val="0"/>
        <w:spacing w:lineRule="auto" w:line="288" w:before="60" w:after="60"/>
        <w:jc w:val="center"/>
        <w:rPr>
          <w:color w:val="000000"/>
        </w:rPr>
      </w:pPr>
      <w:r>
        <w:rPr>
          <w:color w:val="000000"/>
        </w:rPr>
        <w:t>    </w:t>
      </w:r>
    </w:p>
    <w:tbl>
      <w:tblPr>
        <w:tblW w:w="9879" w:type="dxa"/>
        <w:jc w:val="center"/>
        <w:tblInd w:w="0" w:type="dxa"/>
        <w:tblLayout w:type="fixed"/>
        <w:tblCellMar>
          <w:top w:w="28" w:type="dxa"/>
          <w:left w:w="28" w:type="dxa"/>
          <w:bottom w:w="28" w:type="dxa"/>
          <w:right w:w="28" w:type="dxa"/>
        </w:tblCellMar>
      </w:tblPr>
      <w:tblGrid>
        <w:gridCol w:w="329"/>
        <w:gridCol w:w="288"/>
        <w:gridCol w:w="288"/>
        <w:gridCol w:w="288"/>
        <w:gridCol w:w="288"/>
        <w:gridCol w:w="288"/>
        <w:gridCol w:w="2443"/>
        <w:gridCol w:w="2443"/>
        <w:gridCol w:w="2449"/>
        <w:gridCol w:w="222"/>
        <w:gridCol w:w="222"/>
        <w:gridCol w:w="331"/>
      </w:tblGrid>
      <w:tr>
        <w:trPr/>
        <w:tc>
          <w:tcPr>
            <w:tcW w:w="32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987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TABLE OF CONTENTS</w:t>
            </w:r>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9104"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34e28d6f97b94b71adbb4ccfd6dde946_13">
              <w:r>
                <w:rPr>
                  <w:rStyle w:val="InternetLink"/>
                  <w:rFonts w:ascii="Times New Roman;sans-serif" w:hAnsi="Times New Roman;sans-serif"/>
                  <w:b w:val="false"/>
                  <w:color w:val="0000FF"/>
                  <w:sz w:val="20"/>
                  <w:u w:val="single"/>
                </w:rPr>
                <w:t>PART I - Financial Information</w:t>
              </w:r>
            </w:hyperlink>
          </w:p>
        </w:tc>
        <w:tc>
          <w:tcPr>
            <w:tcW w:w="7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e28d6f97b94b71adbb4ccfd6dde946_16">
              <w:r>
                <w:rPr>
                  <w:rStyle w:val="InternetLink"/>
                  <w:rFonts w:ascii="Times New Roman;sans-serif" w:hAnsi="Times New Roman;sans-serif"/>
                  <w:b w:val="false"/>
                  <w:color w:val="0000FF"/>
                  <w:sz w:val="20"/>
                  <w:u w:val="single"/>
                </w:rPr>
                <w:t>Item 1.</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240" w:after="283"/>
              <w:jc w:val="left"/>
              <w:rPr/>
            </w:pPr>
            <w:hyperlink w:anchor="i34e28d6f97b94b71adbb4ccfd6dde946_16">
              <w:r>
                <w:rPr>
                  <w:rStyle w:val="InternetLink"/>
                  <w:rFonts w:ascii="Times New Roman;sans-serif" w:hAnsi="Times New Roman;sans-serif"/>
                  <w:b w:val="false"/>
                  <w:color w:val="0000FF"/>
                  <w:sz w:val="20"/>
                  <w:u w:val="single"/>
                </w:rPr>
                <w:t>Financial Statements (Unaudited)</w:t>
              </w:r>
            </w:hyperlink>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e28d6f97b94b71adbb4ccfd6dde946_16">
              <w:r>
                <w:rPr>
                  <w:rStyle w:val="InternetLink"/>
                  <w:rFonts w:ascii="Times New Roman;sans-serif" w:hAnsi="Times New Roman;sans-serif"/>
                  <w:b w:val="false"/>
                  <w:color w:val="0000FF"/>
                  <w:sz w:val="20"/>
                  <w:u w:val="single"/>
                </w:rPr>
                <w:t>1</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e28d6f97b94b71adbb4ccfd6dde946_19">
              <w:r>
                <w:rPr>
                  <w:rStyle w:val="InternetLink"/>
                  <w:rFonts w:ascii="Times New Roman;sans-serif" w:hAnsi="Times New Roman;sans-serif"/>
                  <w:b w:val="false"/>
                  <w:color w:val="0000FF"/>
                  <w:sz w:val="20"/>
                  <w:u w:val="single"/>
                </w:rPr>
                <w:t>Condensed Consolidated Balance Sheets</w:t>
              </w:r>
            </w:hyperlink>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e28d6f97b94b71adbb4ccfd6dde946_19">
              <w:r>
                <w:rPr>
                  <w:rStyle w:val="InternetLink"/>
                  <w:rFonts w:ascii="Times New Roman;sans-serif" w:hAnsi="Times New Roman;sans-serif"/>
                  <w:b w:val="false"/>
                  <w:color w:val="0000FF"/>
                  <w:sz w:val="20"/>
                  <w:u w:val="single"/>
                </w:rPr>
                <w:t>1</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e28d6f97b94b71adbb4ccfd6dde946_22">
              <w:r>
                <w:rPr>
                  <w:rStyle w:val="InternetLink"/>
                  <w:rFonts w:ascii="Times New Roman;sans-serif" w:hAnsi="Times New Roman;sans-serif"/>
                  <w:b w:val="false"/>
                  <w:color w:val="0000FF"/>
                  <w:sz w:val="20"/>
                  <w:u w:val="single"/>
                </w:rPr>
                <w:t>Condensed Consolidated Statements of Income</w:t>
              </w:r>
            </w:hyperlink>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e28d6f97b94b71adbb4ccfd6dde946_22">
              <w:r>
                <w:rPr>
                  <w:rStyle w:val="InternetLink"/>
                  <w:rFonts w:ascii="Times New Roman;sans-serif" w:hAnsi="Times New Roman;sans-serif"/>
                  <w:b w:val="false"/>
                  <w:color w:val="0000FF"/>
                  <w:sz w:val="20"/>
                  <w:u w:val="single"/>
                </w:rPr>
                <w:t>2</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e28d6f97b94b71adbb4ccfd6dde946_25">
              <w:r>
                <w:rPr>
                  <w:rStyle w:val="InternetLink"/>
                  <w:rFonts w:ascii="Times New Roman;sans-serif" w:hAnsi="Times New Roman;sans-serif"/>
                  <w:b w:val="false"/>
                  <w:color w:val="0000FF"/>
                  <w:sz w:val="20"/>
                  <w:u w:val="single"/>
                </w:rPr>
                <w:t>Condensed Consolidated Statements of Comprehensive Income</w:t>
              </w:r>
            </w:hyperlink>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e28d6f97b94b71adbb4ccfd6dde946_25">
              <w:r>
                <w:rPr>
                  <w:rStyle w:val="InternetLink"/>
                  <w:rFonts w:ascii="Times New Roman;sans-serif" w:hAnsi="Times New Roman;sans-serif"/>
                  <w:b w:val="false"/>
                  <w:color w:val="0000FF"/>
                  <w:sz w:val="20"/>
                  <w:u w:val="single"/>
                </w:rPr>
                <w:t>3</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e28d6f97b94b71adbb4ccfd6dde946_28">
              <w:r>
                <w:rPr>
                  <w:rStyle w:val="InternetLink"/>
                  <w:rFonts w:ascii="Times New Roman;sans-serif" w:hAnsi="Times New Roman;sans-serif"/>
                  <w:b w:val="false"/>
                  <w:color w:val="0000FF"/>
                  <w:sz w:val="20"/>
                  <w:u w:val="single"/>
                </w:rPr>
                <w:t>Condensed Consolidated Statements of Cash Flows</w:t>
              </w:r>
            </w:hyperlink>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e28d6f97b94b71adbb4ccfd6dde946_28">
              <w:r>
                <w:rPr>
                  <w:rStyle w:val="InternetLink"/>
                  <w:rFonts w:ascii="Times New Roman;sans-serif" w:hAnsi="Times New Roman;sans-serif"/>
                  <w:b w:val="false"/>
                  <w:color w:val="0000FF"/>
                  <w:sz w:val="20"/>
                  <w:u w:val="single"/>
                </w:rPr>
                <w:t>4</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e28d6f97b94b71adbb4ccfd6dde946_31">
              <w:r>
                <w:rPr>
                  <w:rStyle w:val="InternetLink"/>
                  <w:rFonts w:ascii="Times New Roman;sans-serif" w:hAnsi="Times New Roman;sans-serif"/>
                  <w:b w:val="false"/>
                  <w:color w:val="0000FF"/>
                  <w:sz w:val="20"/>
                  <w:u w:val="single"/>
                </w:rPr>
                <w:t>Condensed Consolidated Statements of Stockholders' Equity</w:t>
              </w:r>
            </w:hyperlink>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e28d6f97b94b71adbb4ccfd6dde946_31">
              <w:r>
                <w:rPr>
                  <w:rStyle w:val="InternetLink"/>
                  <w:rFonts w:ascii="Times New Roman;sans-serif" w:hAnsi="Times New Roman;sans-serif"/>
                  <w:b w:val="false"/>
                  <w:color w:val="0000FF"/>
                  <w:sz w:val="20"/>
                  <w:u w:val="single"/>
                </w:rPr>
                <w:t>6</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e28d6f97b94b71adbb4ccfd6dde946_34">
              <w:r>
                <w:rPr>
                  <w:rStyle w:val="InternetLink"/>
                  <w:rFonts w:ascii="Times New Roman;sans-serif" w:hAnsi="Times New Roman;sans-serif"/>
                  <w:b w:val="false"/>
                  <w:color w:val="0000FF"/>
                  <w:sz w:val="20"/>
                  <w:u w:val="single"/>
                </w:rPr>
                <w:t>Notes to Condensed Consolidated Financial Statements</w:t>
              </w:r>
            </w:hyperlink>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e28d6f97b94b71adbb4ccfd6dde946_34">
              <w:r>
                <w:rPr>
                  <w:rStyle w:val="InternetLink"/>
                  <w:rFonts w:ascii="Times New Roman;sans-serif" w:hAnsi="Times New Roman;sans-serif"/>
                  <w:b w:val="false"/>
                  <w:color w:val="0000FF"/>
                  <w:sz w:val="20"/>
                  <w:u w:val="single"/>
                </w:rPr>
                <w:t>8</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e28d6f97b94b71adbb4ccfd6dde946_73">
              <w:r>
                <w:rPr>
                  <w:rStyle w:val="InternetLink"/>
                  <w:rFonts w:ascii="Times New Roman;sans-serif" w:hAnsi="Times New Roman;sans-serif"/>
                  <w:b w:val="false"/>
                  <w:color w:val="0000FF"/>
                  <w:sz w:val="20"/>
                  <w:u w:val="single"/>
                </w:rPr>
                <w:t>Item 2.</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e28d6f97b94b71adbb4ccfd6dde946_73">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e28d6f97b94b71adbb4ccfd6dde946_73">
              <w:r>
                <w:rPr>
                  <w:rStyle w:val="InternetLink"/>
                  <w:rFonts w:ascii="Times New Roman;sans-serif" w:hAnsi="Times New Roman;sans-serif"/>
                  <w:b w:val="false"/>
                  <w:color w:val="0000FF"/>
                  <w:sz w:val="20"/>
                  <w:u w:val="single"/>
                </w:rPr>
                <w:t>20</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e28d6f97b94b71adbb4ccfd6dde946_91">
              <w:r>
                <w:rPr>
                  <w:rStyle w:val="InternetLink"/>
                  <w:rFonts w:ascii="Times New Roman;sans-serif" w:hAnsi="Times New Roman;sans-serif"/>
                  <w:b w:val="false"/>
                  <w:color w:val="0000FF"/>
                  <w:sz w:val="20"/>
                  <w:u w:val="single"/>
                </w:rPr>
                <w:t>Item 3.</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e28d6f97b94b71adbb4ccfd6dde946_91">
              <w:r>
                <w:rPr>
                  <w:rStyle w:val="InternetLink"/>
                  <w:rFonts w:ascii="Times New Roman;sans-serif" w:hAnsi="Times New Roman;sans-serif"/>
                  <w:b w:val="false"/>
                  <w:color w:val="0000FF"/>
                  <w:sz w:val="20"/>
                  <w:u w:val="single"/>
                </w:rPr>
                <w:t>Quantitative and Qualitative Disclosure About Market Risk</w:t>
              </w:r>
            </w:hyperlink>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e28d6f97b94b71adbb4ccfd6dde946_91">
              <w:r>
                <w:rPr>
                  <w:rStyle w:val="InternetLink"/>
                  <w:rFonts w:ascii="Times New Roman;sans-serif" w:hAnsi="Times New Roman;sans-serif"/>
                  <w:b w:val="false"/>
                  <w:color w:val="0000FF"/>
                  <w:sz w:val="20"/>
                  <w:u w:val="single"/>
                </w:rPr>
                <w:t>28</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e28d6f97b94b71adbb4ccfd6dde946_94">
              <w:r>
                <w:rPr>
                  <w:rStyle w:val="InternetLink"/>
                  <w:rFonts w:ascii="Times New Roman;sans-serif" w:hAnsi="Times New Roman;sans-serif"/>
                  <w:b w:val="false"/>
                  <w:color w:val="0000FF"/>
                  <w:sz w:val="20"/>
                  <w:u w:val="single"/>
                </w:rPr>
                <w:t>Item 4.</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e28d6f97b94b71adbb4ccfd6dde946_94">
              <w:r>
                <w:rPr>
                  <w:rStyle w:val="InternetLink"/>
                  <w:rFonts w:ascii="Times New Roman;sans-serif" w:hAnsi="Times New Roman;sans-serif"/>
                  <w:b w:val="false"/>
                  <w:color w:val="0000FF"/>
                  <w:sz w:val="20"/>
                  <w:u w:val="single"/>
                </w:rPr>
                <w:t>Controls and Procedures</w:t>
              </w:r>
            </w:hyperlink>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e28d6f97b94b71adbb4ccfd6dde946_94">
              <w:r>
                <w:rPr>
                  <w:rStyle w:val="InternetLink"/>
                  <w:rFonts w:ascii="Times New Roman;sans-serif" w:hAnsi="Times New Roman;sans-serif"/>
                  <w:b w:val="false"/>
                  <w:color w:val="0000FF"/>
                  <w:sz w:val="20"/>
                  <w:u w:val="single"/>
                </w:rPr>
                <w:t>28</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4"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34e28d6f97b94b71adbb4ccfd6dde946_97">
              <w:r>
                <w:rPr>
                  <w:rStyle w:val="InternetLink"/>
                  <w:rFonts w:ascii="Times New Roman;sans-serif" w:hAnsi="Times New Roman;sans-serif"/>
                  <w:b w:val="false"/>
                  <w:color w:val="0000FF"/>
                  <w:sz w:val="20"/>
                  <w:u w:val="single"/>
                </w:rPr>
                <w:t>PART II - Other Information</w:t>
              </w:r>
            </w:hyperlink>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e28d6f97b94b71adbb4ccfd6dde946_100">
              <w:r>
                <w:rPr>
                  <w:rStyle w:val="InternetLink"/>
                  <w:rFonts w:ascii="Times New Roman;sans-serif" w:hAnsi="Times New Roman;sans-serif"/>
                  <w:b w:val="false"/>
                  <w:color w:val="0000FF"/>
                  <w:sz w:val="20"/>
                  <w:u w:val="single"/>
                </w:rPr>
                <w:t>Item 1.</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e28d6f97b94b71adbb4ccfd6dde946_100">
              <w:r>
                <w:rPr>
                  <w:rStyle w:val="InternetLink"/>
                  <w:rFonts w:ascii="Times New Roman;sans-serif" w:hAnsi="Times New Roman;sans-serif"/>
                  <w:b w:val="false"/>
                  <w:color w:val="0000FF"/>
                  <w:sz w:val="20"/>
                  <w:u w:val="single"/>
                </w:rPr>
                <w:t>Legal Proceedings</w:t>
              </w:r>
            </w:hyperlink>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e28d6f97b94b71adbb4ccfd6dde946_100">
              <w:r>
                <w:rPr>
                  <w:rStyle w:val="InternetLink"/>
                  <w:rFonts w:ascii="Times New Roman;sans-serif" w:hAnsi="Times New Roman;sans-serif"/>
                  <w:b w:val="false"/>
                  <w:color w:val="0000FF"/>
                  <w:sz w:val="20"/>
                  <w:u w:val="single"/>
                </w:rPr>
                <w:t>29</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e28d6f97b94b71adbb4ccfd6dde946_103">
              <w:r>
                <w:rPr>
                  <w:rStyle w:val="InternetLink"/>
                  <w:rFonts w:ascii="Times New Roman;sans-serif" w:hAnsi="Times New Roman;sans-serif"/>
                  <w:b w:val="false"/>
                  <w:color w:val="0000FF"/>
                  <w:sz w:val="20"/>
                  <w:u w:val="single"/>
                </w:rPr>
                <w:t>Item 1A.</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e28d6f97b94b71adbb4ccfd6dde946_103">
              <w:r>
                <w:rPr>
                  <w:rStyle w:val="InternetLink"/>
                  <w:rFonts w:ascii="Times New Roman;sans-serif" w:hAnsi="Times New Roman;sans-serif"/>
                  <w:b w:val="false"/>
                  <w:color w:val="0000FF"/>
                  <w:sz w:val="20"/>
                  <w:u w:val="single"/>
                </w:rPr>
                <w:t>Risk Factors</w:t>
              </w:r>
            </w:hyperlink>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e28d6f97b94b71adbb4ccfd6dde946_103">
              <w:r>
                <w:rPr>
                  <w:rStyle w:val="InternetLink"/>
                  <w:rFonts w:ascii="Times New Roman;sans-serif" w:hAnsi="Times New Roman;sans-serif"/>
                  <w:b w:val="false"/>
                  <w:color w:val="0000FF"/>
                  <w:sz w:val="20"/>
                  <w:u w:val="single"/>
                </w:rPr>
                <w:t>29</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e28d6f97b94b71adbb4ccfd6dde946_106">
              <w:r>
                <w:rPr>
                  <w:rStyle w:val="InternetLink"/>
                  <w:rFonts w:ascii="Times New Roman;sans-serif" w:hAnsi="Times New Roman;sans-serif"/>
                  <w:b w:val="false"/>
                  <w:color w:val="0000FF"/>
                  <w:sz w:val="20"/>
                  <w:u w:val="single"/>
                </w:rPr>
                <w:t>Item 2.</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e28d6f97b94b71adbb4ccfd6dde946_106">
              <w:r>
                <w:rPr>
                  <w:rStyle w:val="InternetLink"/>
                  <w:rFonts w:ascii="Times New Roman;sans-serif" w:hAnsi="Times New Roman;sans-serif"/>
                  <w:b w:val="false"/>
                  <w:color w:val="0000FF"/>
                  <w:sz w:val="20"/>
                  <w:u w:val="single"/>
                </w:rPr>
                <w:t>Unregistered Sales of Equity Securities and Use of Proceeds</w:t>
              </w:r>
            </w:hyperlink>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e28d6f97b94b71adbb4ccfd6dde946_106">
              <w:r>
                <w:rPr>
                  <w:rStyle w:val="InternetLink"/>
                  <w:rFonts w:ascii="Times New Roman;sans-serif" w:hAnsi="Times New Roman;sans-serif"/>
                  <w:b w:val="false"/>
                  <w:color w:val="0000FF"/>
                  <w:sz w:val="20"/>
                  <w:u w:val="single"/>
                </w:rPr>
                <w:t>29</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e28d6f97b94b71adbb4ccfd6dde946_109">
              <w:r>
                <w:rPr>
                  <w:rStyle w:val="InternetLink"/>
                  <w:rFonts w:ascii="Times New Roman;sans-serif" w:hAnsi="Times New Roman;sans-serif"/>
                  <w:b w:val="false"/>
                  <w:color w:val="0000FF"/>
                  <w:sz w:val="20"/>
                  <w:u w:val="single"/>
                </w:rPr>
                <w:t>Item 3.</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e28d6f97b94b71adbb4ccfd6dde946_109">
              <w:r>
                <w:rPr>
                  <w:rStyle w:val="InternetLink"/>
                  <w:rFonts w:ascii="Times New Roman;sans-serif" w:hAnsi="Times New Roman;sans-serif"/>
                  <w:b w:val="false"/>
                  <w:color w:val="0000FF"/>
                  <w:sz w:val="20"/>
                  <w:u w:val="single"/>
                </w:rPr>
                <w:t>Defaults Upon Senior Securities</w:t>
              </w:r>
            </w:hyperlink>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e28d6f97b94b71adbb4ccfd6dde946_109">
              <w:r>
                <w:rPr>
                  <w:rStyle w:val="InternetLink"/>
                  <w:rFonts w:ascii="Times New Roman;sans-serif" w:hAnsi="Times New Roman;sans-serif"/>
                  <w:b w:val="false"/>
                  <w:color w:val="0000FF"/>
                  <w:sz w:val="20"/>
                  <w:u w:val="single"/>
                </w:rPr>
                <w:t>29</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e28d6f97b94b71adbb4ccfd6dde946_112">
              <w:r>
                <w:rPr>
                  <w:rStyle w:val="InternetLink"/>
                  <w:rFonts w:ascii="Times New Roman;sans-serif" w:hAnsi="Times New Roman;sans-serif"/>
                  <w:b w:val="false"/>
                  <w:color w:val="0000FF"/>
                  <w:sz w:val="20"/>
                  <w:u w:val="single"/>
                </w:rPr>
                <w:t>Item 4.</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e28d6f97b94b71adbb4ccfd6dde946_112">
              <w:r>
                <w:rPr>
                  <w:rStyle w:val="InternetLink"/>
                  <w:rFonts w:ascii="Times New Roman;sans-serif" w:hAnsi="Times New Roman;sans-serif"/>
                  <w:b w:val="false"/>
                  <w:color w:val="0000FF"/>
                  <w:sz w:val="20"/>
                  <w:u w:val="single"/>
                </w:rPr>
                <w:t>Mine Safety Disclosures</w:t>
              </w:r>
            </w:hyperlink>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e28d6f97b94b71adbb4ccfd6dde946_112">
              <w:r>
                <w:rPr>
                  <w:rStyle w:val="InternetLink"/>
                  <w:rFonts w:ascii="Times New Roman;sans-serif" w:hAnsi="Times New Roman;sans-serif"/>
                  <w:b w:val="false"/>
                  <w:color w:val="0000FF"/>
                  <w:sz w:val="20"/>
                  <w:u w:val="single"/>
                </w:rPr>
                <w:t>29</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e28d6f97b94b71adbb4ccfd6dde946_115">
              <w:r>
                <w:rPr>
                  <w:rStyle w:val="InternetLink"/>
                  <w:rFonts w:ascii="Times New Roman;sans-serif" w:hAnsi="Times New Roman;sans-serif"/>
                  <w:b w:val="false"/>
                  <w:color w:val="0000FF"/>
                  <w:sz w:val="20"/>
                  <w:u w:val="single"/>
                </w:rPr>
                <w:t>Item 5.</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e28d6f97b94b71adbb4ccfd6dde946_115">
              <w:r>
                <w:rPr>
                  <w:rStyle w:val="InternetLink"/>
                  <w:rFonts w:ascii="Times New Roman;sans-serif" w:hAnsi="Times New Roman;sans-serif"/>
                  <w:b w:val="false"/>
                  <w:color w:val="0000FF"/>
                  <w:sz w:val="20"/>
                  <w:u w:val="single"/>
                </w:rPr>
                <w:t>Other Information</w:t>
              </w:r>
            </w:hyperlink>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e28d6f97b94b71adbb4ccfd6dde946_115">
              <w:r>
                <w:rPr>
                  <w:rStyle w:val="InternetLink"/>
                  <w:rFonts w:ascii="Times New Roman;sans-serif" w:hAnsi="Times New Roman;sans-serif"/>
                  <w:b w:val="false"/>
                  <w:color w:val="0000FF"/>
                  <w:sz w:val="20"/>
                  <w:u w:val="single"/>
                </w:rPr>
                <w:t>30</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e28d6f97b94b71adbb4ccfd6dde946_118">
              <w:r>
                <w:rPr>
                  <w:rStyle w:val="InternetLink"/>
                  <w:rFonts w:ascii="Times New Roman;sans-serif" w:hAnsi="Times New Roman;sans-serif"/>
                  <w:b w:val="false"/>
                  <w:color w:val="0000FF"/>
                  <w:sz w:val="20"/>
                  <w:u w:val="single"/>
                </w:rPr>
                <w:t>Item 6.</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e28d6f97b94b71adbb4ccfd6dde946_118">
              <w:r>
                <w:rPr>
                  <w:rStyle w:val="InternetLink"/>
                  <w:rFonts w:ascii="Times New Roman;sans-serif" w:hAnsi="Times New Roman;sans-serif"/>
                  <w:b w:val="false"/>
                  <w:color w:val="0000FF"/>
                  <w:sz w:val="20"/>
                  <w:u w:val="single"/>
                </w:rPr>
                <w:t>Exhibits</w:t>
              </w:r>
            </w:hyperlink>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e28d6f97b94b71adbb4ccfd6dde946_118">
              <w:r>
                <w:rPr>
                  <w:rStyle w:val="InternetLink"/>
                  <w:rFonts w:ascii="Times New Roman;sans-serif" w:hAnsi="Times New Roman;sans-serif"/>
                  <w:b w:val="false"/>
                  <w:color w:val="0000FF"/>
                  <w:sz w:val="20"/>
                  <w:u w:val="single"/>
                </w:rPr>
                <w:t>30</w:t>
              </w:r>
            </w:hyperlink>
          </w:p>
        </w:tc>
      </w:tr>
    </w:tbl>
    <w:p>
      <w:pPr>
        <w:pStyle w:val="TextBody"/>
        <w:bidi w:val="0"/>
        <w:spacing w:before="60" w:after="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13360"/>
                <wp:effectExtent l="0" t="0" r="0" b="0"/>
                <wp:wrapNone/>
                <wp:docPr id="3" name="Frame2"/>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left"/>
                        <w:rPr/>
                      </w:pPr>
                      <w:r>
                        <w:rPr/>
                      </w:r>
                    </w:p>
                  </w:txbxContent>
                </v:textbox>
                <w10:wrap type="none"/>
              </v:rect>
            </w:pict>
          </mc:Fallback>
        </mc:AlternateContent>
      </w:r>
    </w:p>
    <w:p>
      <w:pPr>
        <w:pStyle w:val="TextBody"/>
        <w:bidi w:val="0"/>
        <w:spacing w:lineRule="auto" w:line="288" w:before="60" w:after="60"/>
        <w:jc w:val="left"/>
        <w:rPr/>
      </w:pPr>
      <w:hyperlink w:anchor="i34e28d6f97b94b71adbb4ccfd6dde94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left"/>
        <w:rPr>
          <w:rFonts w:ascii="Times New Roman;sans-serif" w:hAnsi="Times New Roman;sans-serif"/>
          <w:b/>
          <w:color w:val="000000"/>
          <w:sz w:val="19"/>
        </w:rPr>
      </w:pPr>
      <w:r>
        <w:rPr>
          <w:rFonts w:ascii="Times New Roman;sans-serif" w:hAnsi="Times New Roman;sans-serif"/>
          <w:b/>
          <w:color w:val="000000"/>
          <w:sz w:val="19"/>
        </w:rPr>
        <w:t>Special Note About Forward-Looking Statements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This report contains "forward-looking statements" within the meaning of the Private Securities Litigation Reform Act of 1995. These statements reflect our current expectations as to future events based on certain assumptions and include any statement that does not directly relate to any historical or current fact. These statements include, but are not limited to, statements related to our expectations regarding the performance of our business, our financial results, our operations, our liquidity and capital resources, the conditions in our industry and our growth strategy. In some cases, forward-looking statements can be identified by words such as "outlook," "aim," "anticipate," "have confidence," "estimate," "expect," "will be," "will continue," "will likely result," "project," "intend," "plan," "believe," "see," "look to" and other words and terms of similar meaning or the negative versions of such words. These forward-looking statements are subject to risks and uncertainties that may change at any time and actual results or outcomes may differ materially from those that we expected.</w:t>
      </w:r>
    </w:p>
    <w:p>
      <w:pPr>
        <w:pStyle w:val="TextBody"/>
        <w:bidi w:val="0"/>
        <w:spacing w:lineRule="auto" w:line="288"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Some of the factors that we believe could affect or continue to affect our results include without limitation: unfavorable economic conditions; natural disasters, global calamities, climate change, pandemics, energy shortages, sports strikes and other adverse incidents; geopolitical events including, but not limited to, the ongoing conflict between Russia and Ukraine and the ongoing conflict in the Middle East, global supply chain disruptions, inflation, volatility and disruption of global financial markets; the impact of United States and other countries’ trade policies including the implementation of tariffs; the failure to retain current clients, renew existing client contracts and obtain new client contracts; a determination by clients to reduce their outsourcing or use of preferred vendors; competition in our industries; increased operating costs and obstacles to cost recovery due to the pricing and cancellation terms of our food and support services contracts; currency risks and other risks associated with international operations, including compliance with a broad range of laws and regulations, including the United States Foreign Corrupt Practices Act; risks associated with suppliers from whom our products are sourced; disruptions to our relationship with our distribution partners; the contract intensive nature of our business, which may lead to client disputes; the inability to hire and retain key or sufficient qualified personnel or increases in labor costs; our expansion strategy and our ability to successfully integrate the businesses we acquire and costs and timing related thereto; risks associated with the completed spin-off of Aramark Uniform and Career Apparel ("Uniform") as an independent publicly traded company to our stockholders; continued or further unionization of our workforce; liability resulting from our participation in multiemployer defined benefit pension plans; laws and governmental regulations including those relating to food and beverages, the environment, wage and hour and government contracting; liability associated with noncompliance with applicable law or other governmental regulations; new interpretations of or changes in the enforcement of the government regulatory framework; increases or changes in income tax rates or tax-related laws; potential liabilities, increased costs, reputational harm, and other adverse effects based on our commitments and stakeholder expectations relating to environmental, social and governance considerations; the failure to maintain food safety throughout our supply chain, food-borne illness concerns and claims of illness or injury; a cybersecurity incident or other disruptions in the availability of our computer systems or privacy breaches; our leverage; variable rate indebtedness that subjects us to interest rate risk; the inability to generate sufficient cash to service all of our indebtedness; debt agreements that limit our flexibility in operating our business; and other factors set forth under the headings "Part I, Item 1A Risk Factors," "Part I, Item 3 Legal Proceedings" and "Part II, Item 7 Management's Discussion and Analysis of Financial Condition and Results of Operations" and other sections of our Annual Report on Form 10-K, filed with the Securities and Exchange Commission (the "SEC") on November 19, 2024 as such factors may be updated from time to time in our other periodic filings with the SEC, which are accessible on the SEC's website at www.sec.gov and which may be obtained by contacting Aramark's investor relations department via its website at www.aramark.com. These factors should not be construed as exhaustive and should be read in conjunction with the other cautionary statements that are included herein and in our other filings with the SEC. As a result of these risks and uncertainties, readers are cautioned not to place undue reliance on any forward-looking statements included herein or that may be made elsewhere from time to time by, or on behalf of, us. Forward-looking statements speak only as of the date made. We undertake no obligation to publicly update or review any forward-looking statement, whether as a result of new information, future developments, changes in our expectations, or otherwise,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13360"/>
                <wp:effectExtent l="0" t="0" r="0" b="0"/>
                <wp:wrapNone/>
                <wp:docPr id="4" name="Frame3"/>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left"/>
                        <w:rPr/>
                      </w:pPr>
                      <w:r>
                        <w:rPr/>
                      </w:r>
                    </w:p>
                  </w:txbxContent>
                </v:textbox>
                <w10:wrap type="none"/>
              </v:rect>
            </w:pict>
          </mc:Fallback>
        </mc:AlternateContent>
      </w:r>
    </w:p>
    <w:p>
      <w:pPr>
        <w:pStyle w:val="TextBody"/>
        <w:bidi w:val="0"/>
        <w:spacing w:before="60" w:after="60"/>
        <w:jc w:val="left"/>
        <w:rPr/>
      </w:pPr>
      <w:r>
        <w:rPr/>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 thousands, except share amounts) </w:t>
      </w:r>
    </w:p>
    <w:tbl>
      <w:tblPr>
        <w:tblW w:w="10205" w:type="dxa"/>
        <w:jc w:val="center"/>
        <w:tblInd w:w="0" w:type="dxa"/>
        <w:tblLayout w:type="fixed"/>
        <w:tblCellMar>
          <w:top w:w="28" w:type="dxa"/>
          <w:left w:w="28" w:type="dxa"/>
          <w:bottom w:w="28" w:type="dxa"/>
          <w:right w:w="28" w:type="dxa"/>
        </w:tblCellMar>
      </w:tblPr>
      <w:tblGrid>
        <w:gridCol w:w="2869"/>
        <w:gridCol w:w="2142"/>
        <w:gridCol w:w="2149"/>
        <w:gridCol w:w="196"/>
        <w:gridCol w:w="961"/>
        <w:gridCol w:w="109"/>
        <w:gridCol w:w="109"/>
        <w:gridCol w:w="109"/>
        <w:gridCol w:w="109"/>
        <w:gridCol w:w="216"/>
        <w:gridCol w:w="1063"/>
        <w:gridCol w:w="173"/>
      </w:tblGrid>
      <w:tr>
        <w:trPr/>
        <w:tc>
          <w:tcPr>
            <w:tcW w:w="2869"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27, 2024</w:t>
            </w:r>
          </w:p>
        </w:tc>
      </w:tr>
      <w:tr>
        <w:trPr/>
        <w:tc>
          <w:tcPr>
            <w:tcW w:w="7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920,455 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672,483 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(less allowances: $35,247 and $34,259)</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2,231,537 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2,096,928 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387,601 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Prepayments and other current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249,550 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7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Total current assets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3,839,766 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3,406,562 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1,649,972 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1,573,193 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4,810,085 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4,677,201 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Intangible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1,899,471 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1,804,602 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699,306 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638,659 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590,760 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574,154 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13,489,360 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12,674,371 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 AND STOCKHOLDERS' EQUITY</w:t>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maturities of long-term borrowings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964,286 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operating lease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54,163 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1,135,269 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1,394,007 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payroll and related expenses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518,912 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 and other current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1,130,204 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1,282,842 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3,183,508 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4,214,210 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Borrowings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6,109,078 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4,307,171 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Noncurrent Operating Lease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241,012 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375,378 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Noncurrent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490,132 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Commitments and Contingencies (see Note 9)</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Redeemable Noncontrolling Interests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7,494 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Stockholders' Equity:</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$0.01 (authorized: 600,000,000 shares; issued: 307,010,556 shares and 304,285,195 shares; and outstanding: 262,779,965 shares and 263,939,983 shares)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 surplus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3,979,438 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3,931,932 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Retained earnings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239,709 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loss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(132,457)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(held in treasury: 44,230,591 shares and 40,345,212 shares)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(1,145,585)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(1,003,253)</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stockholders' equity</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3,020,070 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3,038,974 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13,489,360 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12,674,371 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
        <w:jc w:val="center"/>
        <w:rPr/>
      </w:pPr>
      <w:r>
        <w:rPr/>
      </w:r>
    </w:p>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84785"/>
                <wp:effectExtent l="0" t="0" r="0" b="0"/>
                <wp:wrapNone/>
                <wp:docPr id="5" name="Frame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60" w:after="60"/>
        <w:jc w:val="left"/>
        <w:rPr/>
      </w:pPr>
      <w:hyperlink w:anchor="i34e28d6f97b94b71adbb4ccfd6dde94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ARAMARK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INCOME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 thousands, except per share data) </w:t>
      </w:r>
    </w:p>
    <w:tbl>
      <w:tblPr>
        <w:tblW w:w="10205" w:type="dxa"/>
        <w:jc w:val="center"/>
        <w:tblInd w:w="0" w:type="dxa"/>
        <w:tblLayout w:type="fixed"/>
        <w:tblCellMar>
          <w:top w:w="28" w:type="dxa"/>
          <w:left w:w="28" w:type="dxa"/>
          <w:bottom w:w="28" w:type="dxa"/>
          <w:right w:w="28" w:type="dxa"/>
        </w:tblCellMar>
      </w:tblPr>
      <w:tblGrid>
        <w:gridCol w:w="1570"/>
        <w:gridCol w:w="1314"/>
        <w:gridCol w:w="1330"/>
        <w:gridCol w:w="206"/>
        <w:gridCol w:w="919"/>
        <w:gridCol w:w="114"/>
        <w:gridCol w:w="109"/>
        <w:gridCol w:w="109"/>
        <w:gridCol w:w="109"/>
        <w:gridCol w:w="206"/>
        <w:gridCol w:w="919"/>
        <w:gridCol w:w="114"/>
        <w:gridCol w:w="109"/>
        <w:gridCol w:w="109"/>
        <w:gridCol w:w="109"/>
        <w:gridCol w:w="206"/>
        <w:gridCol w:w="919"/>
        <w:gridCol w:w="114"/>
        <w:gridCol w:w="109"/>
        <w:gridCol w:w="109"/>
        <w:gridCol w:w="109"/>
        <w:gridCol w:w="206"/>
        <w:gridCol w:w="917"/>
        <w:gridCol w:w="170"/>
      </w:tblGrid>
      <w:tr>
        <w:trPr/>
        <w:tc>
          <w:tcPr>
            <w:tcW w:w="1570"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 2024</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4,279,298 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4,199,913 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8,831,384 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8,607,678 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Costs and Expenses:</w:t>
            </w:r>
          </w:p>
        </w:tc>
        <w:tc>
          <w:tcPr>
            <w:tcW w:w="12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services provided (exclusive of depreciation and amortization)</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3,919,653 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3,869,152 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8,070,885 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7,914,230 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117,059 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109,118 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230,263 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214,662 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and general corporate expenses</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68,411 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62,557 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138,797 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152,750 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costs and expenses</w:t>
            </w:r>
          </w:p>
        </w:tc>
        <w:tc>
          <w:tcPr>
            <w:tcW w:w="1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4,105,123 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4,040,827 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8,439,945 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8,281,642 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174,175 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159,086 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391,439 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326,036 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89,704 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86,377 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165,508 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200,939 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w:t>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84,471 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72,709 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225,931 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125,097 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22,498 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19,707 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58,255 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43,578 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61,973 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53,002 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167,676 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81,519 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(loss) attributable to noncontrolling interests</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Aramark stockholders</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61,854 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53,449 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167,473 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81,985 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per share attributable to Aramark stockholders:</w:t>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w:t>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264,811 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262,841 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264,846 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262,447 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Diluted</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267,420 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265,282 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268,076 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264,775 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1620" w:type="dxa"/>
            <w:gridSpan w:val="6"/>
            <w:tcBorders/>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the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84785"/>
                <wp:effectExtent l="0" t="0" r="0" b="0"/>
                <wp:wrapNone/>
                <wp:docPr id="6" name="Frame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60" w:after="60"/>
        <w:jc w:val="left"/>
        <w:rPr/>
      </w:pPr>
      <w:hyperlink w:anchor="i34e28d6f97b94b71adbb4ccfd6dde94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ARAMARK AND SUBSIDIARIES</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w:t>
      </w:r>
    </w:p>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 thousands) </w:t>
      </w:r>
    </w:p>
    <w:tbl>
      <w:tblPr>
        <w:tblW w:w="10205" w:type="dxa"/>
        <w:jc w:val="center"/>
        <w:tblInd w:w="0" w:type="dxa"/>
        <w:tblLayout w:type="fixed"/>
        <w:tblCellMar>
          <w:top w:w="28" w:type="dxa"/>
          <w:left w:w="28" w:type="dxa"/>
          <w:bottom w:w="28" w:type="dxa"/>
          <w:right w:w="28" w:type="dxa"/>
        </w:tblCellMar>
      </w:tblPr>
      <w:tblGrid>
        <w:gridCol w:w="1569"/>
        <w:gridCol w:w="1366"/>
        <w:gridCol w:w="1381"/>
        <w:gridCol w:w="244"/>
        <w:gridCol w:w="838"/>
        <w:gridCol w:w="126"/>
        <w:gridCol w:w="109"/>
        <w:gridCol w:w="109"/>
        <w:gridCol w:w="109"/>
        <w:gridCol w:w="244"/>
        <w:gridCol w:w="838"/>
        <w:gridCol w:w="126"/>
        <w:gridCol w:w="109"/>
        <w:gridCol w:w="109"/>
        <w:gridCol w:w="109"/>
        <w:gridCol w:w="227"/>
        <w:gridCol w:w="889"/>
        <w:gridCol w:w="116"/>
        <w:gridCol w:w="109"/>
        <w:gridCol w:w="109"/>
        <w:gridCol w:w="109"/>
        <w:gridCol w:w="243"/>
        <w:gridCol w:w="833"/>
        <w:gridCol w:w="184"/>
      </w:tblGrid>
      <w:tr>
        <w:trPr/>
        <w:tc>
          <w:tcPr>
            <w:tcW w:w="1569"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4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4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 2024</w:t>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61,973 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53,002 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167,676 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81,519 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net of tax</w:t>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(5,246)</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cash flow hedges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(28,179)</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net of tax</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(4,976)</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(11,242)</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(33,896)</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(33,425)</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56,997 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41,760 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133,780 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48,094 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(loss) attributable to noncontrolling interests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Aramark stockholders</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56,878 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42,207 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133,577 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48,560 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431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1587" w:type="dxa"/>
            <w:gridSpan w:val="6"/>
            <w:tcBorders/>
          </w:tcPr>
          <w:p>
            <w:pPr>
              <w:pStyle w:val="TableContents"/>
              <w:bidi w:val="0"/>
              <w:spacing w:before="0" w:after="283"/>
              <w:jc w:val="left"/>
              <w:rPr>
                <w:sz w:val="4"/>
                <w:szCs w:val="4"/>
              </w:rPr>
            </w:pPr>
            <w:r>
              <w:rPr>
                <w:sz w:val="4"/>
                <w:szCs w:val="4"/>
              </w:rPr>
            </w:r>
          </w:p>
        </w:tc>
      </w:tr>
      <w:tr>
        <w:trPr/>
        <w:tc>
          <w:tcPr>
            <w:tcW w:w="431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431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431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431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431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431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431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431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431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431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431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431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431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60"/>
        <w:jc w:val="center"/>
        <w:rPr/>
      </w:pPr>
      <w:r>
        <w:rPr/>
      </w:r>
    </w:p>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84785"/>
                <wp:effectExtent l="0" t="0" r="0" b="0"/>
                <wp:wrapNone/>
                <wp:docPr id="7" name="Frame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60" w:after="60"/>
        <w:jc w:val="left"/>
        <w:rPr/>
      </w:pPr>
      <w:hyperlink w:anchor="i34e28d6f97b94b71adbb4ccfd6dde94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ARAMARK AND SUBSIDIARIES</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bl>
      <w:tblPr>
        <w:tblW w:w="8606" w:type="dxa"/>
        <w:jc w:val="center"/>
        <w:tblInd w:w="0" w:type="dxa"/>
        <w:tblLayout w:type="fixed"/>
        <w:tblCellMar>
          <w:top w:w="28" w:type="dxa"/>
          <w:left w:w="28" w:type="dxa"/>
          <w:bottom w:w="28" w:type="dxa"/>
          <w:right w:w="28" w:type="dxa"/>
        </w:tblCellMar>
      </w:tblPr>
      <w:tblGrid>
        <w:gridCol w:w="2071"/>
        <w:gridCol w:w="1814"/>
        <w:gridCol w:w="1829"/>
        <w:gridCol w:w="237"/>
        <w:gridCol w:w="891"/>
        <w:gridCol w:w="132"/>
        <w:gridCol w:w="109"/>
        <w:gridCol w:w="109"/>
        <w:gridCol w:w="109"/>
        <w:gridCol w:w="235"/>
        <w:gridCol w:w="885"/>
        <w:gridCol w:w="185"/>
      </w:tblGrid>
      <w:tr>
        <w:trPr/>
        <w:tc>
          <w:tcPr>
            <w:tcW w:w="2071"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5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 2024</w:t>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operating activities:</w:t>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167,676 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81,519 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to Net cash used in operating activities:</w:t>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230,263 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214,662 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Increase in contingent consideration liability (see Note 11)</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11,127 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(7,810)</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Share-based compensation expense </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30,296 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29,444 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(151,736)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(262,084)</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Inventories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(15,858)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8,712 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Prepayments and Other Current Assets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(47,718)</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(24,580)</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(251,693)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(168,027)</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(257,335)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(291,823)</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Payments made to clients on contracts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(86,850)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(99,002)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Other operating activities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37,693 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83,192 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operating activities</w:t>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(331,204)</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(435,797)</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investing activities:</w:t>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 and other</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(235,661)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(203,028)</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Disposals of property and equipment</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10,785 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marketable securities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(71,215)</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marketable securities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71,215 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certain businesses, net of cash acquired</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(247,800)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(92,718)</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Other investing activities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(2,184)</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(4,860)</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(482,470)</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(289,821)</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financing activities:</w:t>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long-term borrowings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2,103,204 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219,231 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Payments of long-term borrowings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(1,412,732)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(1,568,435)</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funding under the Receivables Facility</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586,000 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600,000 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Payments of dividends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(55,683)</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(49,862)</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common stock</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16,379 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15,583 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(109,283)</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Other financing activities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(61,321)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(49,529)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financing activities</w:t>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1,066,564 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(833,012)</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foreign exchange rates on cash and cash equivalents and restricted cash</w:t>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(11,497)</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Increase (Decrease) in cash and cash equivalents and restricted cash</w:t>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241,393 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(1,558,226)</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and restricted cash, beginning of period</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732,613 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1,972,367 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and restricted cash, end of period</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974,006 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414,141 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84785"/>
                <wp:effectExtent l="0" t="0" r="0" b="0"/>
                <wp:wrapNone/>
                <wp:docPr id="8" name="Frame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60" w:after="60"/>
        <w:jc w:val="left"/>
        <w:rPr/>
      </w:pPr>
      <w:hyperlink w:anchor="i34e28d6f97b94b71adbb4ccfd6dde946_7">
        <w:r>
          <w:rPr>
            <w:rStyle w:val="InternetLink"/>
            <w:rFonts w:ascii="Times New Roman;sans-serif" w:hAnsi="Times New Roman;sans-serif"/>
            <w:b w:val="false"/>
            <w:color w:val="0000FF"/>
            <w:sz w:val="20"/>
            <w:u w:val="single"/>
          </w:rPr>
          <w:t>Table of Contents</w:t>
        </w:r>
      </w:hyperlink>
    </w:p>
    <w:tbl>
      <w:tblPr>
        <w:tblW w:w="6566" w:type="dxa"/>
        <w:jc w:val="center"/>
        <w:tblInd w:w="0" w:type="dxa"/>
        <w:tblLayout w:type="fixed"/>
        <w:tblCellMar>
          <w:top w:w="28" w:type="dxa"/>
          <w:left w:w="28" w:type="dxa"/>
          <w:bottom w:w="28" w:type="dxa"/>
          <w:right w:w="28" w:type="dxa"/>
        </w:tblCellMar>
      </w:tblPr>
      <w:tblGrid>
        <w:gridCol w:w="1331"/>
        <w:gridCol w:w="1170"/>
        <w:gridCol w:w="1173"/>
        <w:gridCol w:w="237"/>
        <w:gridCol w:w="891"/>
        <w:gridCol w:w="132"/>
        <w:gridCol w:w="109"/>
        <w:gridCol w:w="109"/>
        <w:gridCol w:w="109"/>
        <w:gridCol w:w="235"/>
        <w:gridCol w:w="885"/>
        <w:gridCol w:w="185"/>
      </w:tblGrid>
      <w:tr>
        <w:trPr/>
        <w:tc>
          <w:tcPr>
            <w:tcW w:w="133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 of cash flow information</w:t>
            </w:r>
          </w:p>
        </w:tc>
        <w:tc>
          <w:tcPr>
            <w:tcW w:w="289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 2024</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paid</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160,922 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195,287 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paid</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80,476 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77,029 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and cash equivalents and restricted cash reported within the condensed consolidated Balance Sheets:</w:t>
      </w:r>
    </w:p>
    <w:tbl>
      <w:tblPr>
        <w:tblW w:w="6806" w:type="dxa"/>
        <w:jc w:val="center"/>
        <w:tblInd w:w="0" w:type="dxa"/>
        <w:tblLayout w:type="fixed"/>
        <w:tblCellMar>
          <w:top w:w="28" w:type="dxa"/>
          <w:left w:w="28" w:type="dxa"/>
          <w:bottom w:w="28" w:type="dxa"/>
          <w:right w:w="28" w:type="dxa"/>
        </w:tblCellMar>
      </w:tblPr>
      <w:tblGrid>
        <w:gridCol w:w="1419"/>
        <w:gridCol w:w="1244"/>
        <w:gridCol w:w="1251"/>
        <w:gridCol w:w="237"/>
        <w:gridCol w:w="891"/>
        <w:gridCol w:w="132"/>
        <w:gridCol w:w="109"/>
        <w:gridCol w:w="109"/>
        <w:gridCol w:w="109"/>
        <w:gridCol w:w="235"/>
        <w:gridCol w:w="885"/>
        <w:gridCol w:w="185"/>
      </w:tblGrid>
      <w:tr>
        <w:trPr/>
        <w:tc>
          <w:tcPr>
            <w:tcW w:w="141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Sheet classification</w:t>
            </w:r>
          </w:p>
        </w:tc>
        <w:tc>
          <w:tcPr>
            <w:tcW w:w="2892"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 2024</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920,455 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356,605 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 in Prepayments and other current assets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53,551 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57,536 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cash and cash equivalents and restricted cash</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974,006 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414,141 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60"/>
        <w:jc w:val="center"/>
        <w:rPr/>
      </w:pPr>
      <w:r>
        <w:rPr/>
      </w:r>
    </w:p>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84785"/>
                <wp:effectExtent l="0" t="0" r="0" b="0"/>
                <wp:wrapNone/>
                <wp:docPr id="9" name="Frame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60" w:after="60"/>
        <w:jc w:val="left"/>
        <w:rPr/>
      </w:pPr>
      <w:hyperlink w:anchor="i34e28d6f97b94b71adbb4ccfd6dde94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ARAMARK AND SUBSIDIARIES</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bl>
      <w:tblPr>
        <w:tblW w:w="10232" w:type="dxa"/>
        <w:jc w:val="center"/>
        <w:tblInd w:w="0" w:type="dxa"/>
        <w:tblLayout w:type="fixed"/>
        <w:tblCellMar>
          <w:top w:w="28" w:type="dxa"/>
          <w:left w:w="28" w:type="dxa"/>
          <w:bottom w:w="28" w:type="dxa"/>
          <w:right w:w="28" w:type="dxa"/>
        </w:tblCellMar>
      </w:tblPr>
      <w:tblGrid>
        <w:gridCol w:w="824"/>
        <w:gridCol w:w="263"/>
        <w:gridCol w:w="264"/>
        <w:gridCol w:w="211"/>
        <w:gridCol w:w="976"/>
        <w:gridCol w:w="109"/>
        <w:gridCol w:w="109"/>
        <w:gridCol w:w="109"/>
        <w:gridCol w:w="109"/>
        <w:gridCol w:w="211"/>
        <w:gridCol w:w="616"/>
        <w:gridCol w:w="109"/>
        <w:gridCol w:w="109"/>
        <w:gridCol w:w="109"/>
        <w:gridCol w:w="109"/>
        <w:gridCol w:w="211"/>
        <w:gridCol w:w="976"/>
        <w:gridCol w:w="109"/>
        <w:gridCol w:w="109"/>
        <w:gridCol w:w="109"/>
        <w:gridCol w:w="109"/>
        <w:gridCol w:w="211"/>
        <w:gridCol w:w="826"/>
        <w:gridCol w:w="109"/>
        <w:gridCol w:w="109"/>
        <w:gridCol w:w="109"/>
        <w:gridCol w:w="109"/>
        <w:gridCol w:w="211"/>
        <w:gridCol w:w="896"/>
        <w:gridCol w:w="109"/>
        <w:gridCol w:w="109"/>
        <w:gridCol w:w="109"/>
        <w:gridCol w:w="109"/>
        <w:gridCol w:w="211"/>
        <w:gridCol w:w="991"/>
        <w:gridCol w:w="154"/>
      </w:tblGrid>
      <w:tr>
        <w:trPr/>
        <w:tc>
          <w:tcPr>
            <w:tcW w:w="82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Capital Surplus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Other </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September 27,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3,038,974 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3,931,932 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(1,003,253)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Aramark stockholders</w:t>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105,619 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105,619 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contributions from issuance of common stock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 of equity awards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noncontrolling interest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common stock</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($0.105 per share)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27,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3,081,884 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3,959,269 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(1,034,546)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Aramark stockholders</w:t>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61,854 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61,854 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contributions from issuance of common stock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 of equity awards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common stock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($0.105 per share)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28,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3,020,070 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3,979,438 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349,500 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(166,353)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(1,145,585)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60"/>
        <w:jc w:val="center"/>
        <w:rPr/>
      </w:pPr>
      <w:r>
        <w:rPr/>
      </w:r>
    </w:p>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the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84785"/>
                <wp:effectExtent l="0" t="0" r="0" b="0"/>
                <wp:wrapNone/>
                <wp:docPr id="10" name="Frame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60" w:after="60"/>
        <w:jc w:val="left"/>
        <w:rPr/>
      </w:pPr>
      <w:hyperlink w:anchor="i34e28d6f97b94b71adbb4ccfd6dde94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ARAMARK AND SUBSIDIARIES</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844"/>
        <w:gridCol w:w="292"/>
        <w:gridCol w:w="293"/>
        <w:gridCol w:w="214"/>
        <w:gridCol w:w="990"/>
        <w:gridCol w:w="110"/>
        <w:gridCol w:w="109"/>
        <w:gridCol w:w="109"/>
        <w:gridCol w:w="109"/>
        <w:gridCol w:w="212"/>
        <w:gridCol w:w="620"/>
        <w:gridCol w:w="109"/>
        <w:gridCol w:w="109"/>
        <w:gridCol w:w="109"/>
        <w:gridCol w:w="109"/>
        <w:gridCol w:w="211"/>
        <w:gridCol w:w="976"/>
        <w:gridCol w:w="109"/>
        <w:gridCol w:w="109"/>
        <w:gridCol w:w="109"/>
        <w:gridCol w:w="109"/>
        <w:gridCol w:w="212"/>
        <w:gridCol w:w="831"/>
        <w:gridCol w:w="109"/>
        <w:gridCol w:w="109"/>
        <w:gridCol w:w="109"/>
        <w:gridCol w:w="109"/>
        <w:gridCol w:w="212"/>
        <w:gridCol w:w="902"/>
        <w:gridCol w:w="109"/>
        <w:gridCol w:w="109"/>
        <w:gridCol w:w="109"/>
        <w:gridCol w:w="109"/>
        <w:gridCol w:w="211"/>
        <w:gridCol w:w="842"/>
        <w:gridCol w:w="162"/>
      </w:tblGrid>
      <w:tr>
        <w:trPr/>
        <w:tc>
          <w:tcPr>
            <w:tcW w:w="84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Capital Surplus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Other </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September 29, 2023</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3,712,718 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(981,834)</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Aramark stockholders</w:t>
            </w:r>
          </w:p>
        </w:tc>
        <w:tc>
          <w:tcPr>
            <w:tcW w:w="120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28,536 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28,536 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contributions from issuance of common stock</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 of equity awards</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common stock</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Separation of Uniform Segment (See Note 1)</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(855,105)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(886,514)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($0.095 per share)</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(26,881)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29, 2023</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2,846,634 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3,847,489 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(994,167)</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Aramark stockholders</w:t>
            </w:r>
          </w:p>
        </w:tc>
        <w:tc>
          <w:tcPr>
            <w:tcW w:w="120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53,449 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53,449 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contributions from issuance of common stock</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 of equity awards</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noncontrolling interest</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common stock</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Separation of Uniform Segment (See Note 1)</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($0.095 per share)</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29, 2024</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2,891,140 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3,875,095 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(100,253)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(997,612)</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29"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1429"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1429"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1429"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1429"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1429"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1429"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60"/>
        <w:jc w:val="center"/>
        <w:rPr/>
      </w:pPr>
      <w:r>
        <w:rPr/>
      </w:r>
    </w:p>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84785"/>
                <wp:effectExtent l="0" t="0" r="0" b="0"/>
                <wp:wrapNone/>
                <wp:docPr id="11" name="Frame1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60" w:after="60"/>
        <w:jc w:val="left"/>
        <w:rPr/>
      </w:pPr>
      <w:hyperlink w:anchor="i34e28d6f97b94b71adbb4ccfd6dde94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before="100" w:after="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NOTE 1. BASIS OF PRESENTATION AND SUMMARY OF SIGNIFICANT ACCOUNTING POLICIES: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Aramark (the "Company") is a leading global provider of food and facilities services to education, healthcare, business &amp; industry and sports, leisure &amp; corrections clients. The Company's largest market is the United States, which is supplemented by an additional 15-country footprint. The Company also provides services on a more limited basis in several additional countries and in offshore locations. The Company operates its business in two reportable segments that share many of the same operating characteristics: Food and Support Services United States ("FSS United States") and Food and Support Services International ("FSS International").</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included herein have been prepared by the Company pursuant to the rules and regulations of the Securities and Exchange Commission (the "SEC") and should be read in conjunction with the audited consolidated financial statements, and the notes to those statements, included in the Company's Form 10-K filed with the SEC on November 19, 2024. The Condensed Consolidated Balance Sheet as of September 27, 2024 was derived from audited financial statements which have been prepared in accordance with generally accepted accounting principles in the United States ("U.S. GAAP"). Certain information and footnote disclosures normally included in the consolidated financial statements prepared in accordance with U.S. GAAP have been condensed or omitted pursuant to such rules and regulations, although the Company believes that the disclosures made are adequate to make the information not misleading. In the opinion of the Company, the statements include all adjustments, which are of a normal, recurring nature, required for a fair presentation for the periods presented. The results of operations for interim periods are not necessarily indicative of the results for a full year, due to the seasonality of some of the Company's business activities and the possibility of changes in general economic conditions.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condensed consolidated financial statements include the accounts of the Company and all of its subsidiaries in which a controlling financial interest is maintained. All intercompany transactions and accounts have been eliminated. </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New Accounting Standards Updates</w:t>
      </w:r>
    </w:p>
    <w:p>
      <w:pPr>
        <w:pStyle w:val="TextBody"/>
        <w:bidi w:val="0"/>
        <w:spacing w:lineRule="auto" w:line="288" w:before="10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Standards Not Yet Adopted (from most to least recent date of issuance)</w:t>
      </w:r>
    </w:p>
    <w:p>
      <w:pPr>
        <w:pStyle w:val="TextBody"/>
        <w:bidi w:val="0"/>
        <w:spacing w:lineRule="auto" w:line="288" w:before="100" w:after="60"/>
        <w:jc w:val="left"/>
        <w:rPr/>
      </w:pPr>
      <w:r>
        <w:rPr>
          <w:rFonts w:ascii="Times New Roman;sans-serif" w:hAnsi="Times New Roman;sans-serif"/>
          <w:b w:val="false"/>
          <w:color w:val="000000"/>
          <w:sz w:val="20"/>
        </w:rPr>
        <w:t xml:space="preserve">In November 2024, the Financial Accounting Standards Board ("FASB") issued </w:t>
      </w:r>
      <w:r>
        <w:rPr>
          <w:rFonts w:ascii="Times New Roman;sans-serif" w:hAnsi="Times New Roman;sans-serif"/>
          <w:b w:val="false"/>
          <w:i/>
          <w:color w:val="000000"/>
          <w:sz w:val="20"/>
        </w:rPr>
        <w:t>Accounting Standard Update ("ASU") 2024-03, Income Statement - Reporting Comprehensive Income - Expense Disaggregation Disclosures (Subtopic 220-40): Disaggregation of Income Statement Expenses</w:t>
      </w:r>
      <w:r>
        <w:rPr>
          <w:rFonts w:ascii="Times New Roman;sans-serif" w:hAnsi="Times New Roman;sans-serif"/>
          <w:b w:val="false"/>
          <w:color w:val="000000"/>
          <w:sz w:val="20"/>
        </w:rPr>
        <w:t xml:space="preserve">. The guidance requires disclosure of additional information related to certain costs and expenses, including amounts of inventory purchases, employee compensation and depreciation and amortization included in each income statement line item. The guidance also requires disclosure of the total amount of selling expenses and the Company’s definition of selling expenses. The guidance is effective for the Company for annual periods beginning in fiscal 2028 and for interim periods beginning in fiscal 2029. The Company is currently assessing the impact of the new guidance on its financial statement disclosures. </w:t>
      </w:r>
    </w:p>
    <w:p>
      <w:pPr>
        <w:pStyle w:val="TextBody"/>
        <w:bidi w:val="0"/>
        <w:spacing w:lineRule="auto" w:line="288" w:before="100" w:after="60"/>
        <w:jc w:val="left"/>
        <w:rPr/>
      </w:pPr>
      <w:r>
        <w:rPr>
          <w:rFonts w:ascii="Times New Roman;sans-serif" w:hAnsi="Times New Roman;sans-serif"/>
          <w:b w:val="false"/>
          <w:color w:val="000000"/>
          <w:sz w:val="20"/>
        </w:rPr>
        <w:t xml:space="preserve">In March 2024, the SEC adopted final climate-related disclosure rules under SEC Release Nos. 33-11275 and 34-99678, </w:t>
      </w:r>
      <w:r>
        <w:rPr>
          <w:rFonts w:ascii="Times New Roman;sans-serif" w:hAnsi="Times New Roman;sans-serif"/>
          <w:b w:val="false"/>
          <w:i/>
          <w:color w:val="000000"/>
          <w:sz w:val="20"/>
        </w:rPr>
        <w:t>The Enhancement and Standardization of Climate-Related Disclosures for Investors</w:t>
      </w:r>
      <w:r>
        <w:rPr>
          <w:rFonts w:ascii="Times New Roman;sans-serif" w:hAnsi="Times New Roman;sans-serif"/>
          <w:b w:val="false"/>
          <w:color w:val="000000"/>
          <w:sz w:val="20"/>
        </w:rPr>
        <w:t>. The rules require disclosure of governance, risk management and strategy related to material climate-related risks as well as disclosure of material greenhouse gas emissions in registration statements and annual reports. In addition, the rules require presentation of certain material climate-related disclosures in the annual consolidated financial statements. On April 4, 2024, the SEC issued a voluntary stay on its final rules until legal challenges to the rules were addressed. Subsequently, on March 27, 2025, the SEC voted to end its defense of the rules.</w:t>
      </w:r>
    </w:p>
    <w:p>
      <w:pPr>
        <w:pStyle w:val="TextBody"/>
        <w:bidi w:val="0"/>
        <w:spacing w:lineRule="auto" w:line="288" w:before="100" w:after="60"/>
        <w:jc w:val="left"/>
        <w:rPr/>
      </w:pPr>
      <w:r>
        <w:rPr>
          <w:rFonts w:ascii="Times New Roman;sans-serif" w:hAnsi="Times New Roman;sans-serif"/>
          <w:b w:val="false"/>
          <w:color w:val="000000"/>
          <w:sz w:val="20"/>
        </w:rPr>
        <w:t xml:space="preserve">In December 2023, the FASB issued </w:t>
      </w:r>
      <w:r>
        <w:rPr>
          <w:rFonts w:ascii="Times New Roman;sans-serif" w:hAnsi="Times New Roman;sans-serif"/>
          <w:b w:val="false"/>
          <w:i/>
          <w:color w:val="000000"/>
          <w:sz w:val="20"/>
        </w:rPr>
        <w:t xml:space="preserve">ASU 2023-09 Income Taxes (Topic 740): Improvements to Income Tax Disclosures </w:t>
      </w:r>
      <w:r>
        <w:rPr>
          <w:rFonts w:ascii="Times New Roman;sans-serif" w:hAnsi="Times New Roman;sans-serif"/>
          <w:b w:val="false"/>
          <w:color w:val="000000"/>
          <w:sz w:val="20"/>
        </w:rPr>
        <w:t xml:space="preserve">to enhance the transparency and decision usefulness of income tax disclosures. The guidance will require improvements to income tax disclosures primarily related to the rate reconciliation and income taxes paid information. The guidance is effective for the Company's annual disclosures for fiscal 2026 and early adoption is permitted. The Company is currently assessing the impact of the new guidance on its financial statement disclosures. </w:t>
      </w:r>
    </w:p>
    <w:p>
      <w:pPr>
        <w:pStyle w:val="TextBody"/>
        <w:bidi w:val="0"/>
        <w:spacing w:lineRule="auto" w:line="288" w:before="100" w:after="60"/>
        <w:jc w:val="left"/>
        <w:rPr/>
      </w:pPr>
      <w:r>
        <w:rPr>
          <w:rFonts w:ascii="Times New Roman;sans-serif" w:hAnsi="Times New Roman;sans-serif"/>
          <w:b w:val="false"/>
          <w:color w:val="000000"/>
          <w:sz w:val="20"/>
        </w:rPr>
        <w:t xml:space="preserve">In November 2023, the FASB issued </w:t>
      </w:r>
      <w:r>
        <w:rPr>
          <w:rFonts w:ascii="Times New Roman;sans-serif" w:hAnsi="Times New Roman;sans-serif"/>
          <w:b w:val="false"/>
          <w:i/>
          <w:color w:val="000000"/>
          <w:sz w:val="20"/>
        </w:rPr>
        <w:t>ASU 2023-07 Segment Reporting (Topic 280): Improvements to Reportable Segment Disclosures</w:t>
      </w:r>
      <w:r>
        <w:rPr>
          <w:color w:val="000000"/>
        </w:rPr>
        <w:t xml:space="preserve"> </w:t>
      </w:r>
      <w:r>
        <w:rPr>
          <w:rFonts w:ascii="Times New Roman;sans-serif" w:hAnsi="Times New Roman;sans-serif"/>
          <w:b w:val="false"/>
          <w:color w:val="000000"/>
          <w:sz w:val="20"/>
        </w:rPr>
        <w:t>to enhance the reportable segment disclosures. The guidance will require additional disclosures about significant segment expenses. The guidance is effective for the Company's annual disclosures for fiscal 2025 and for interim periods beginning in fiscal 2026; early adoption is permitted. The Company will adopt the new reportable segment disclosure guidance for the Company's fiscal 2025 annual disclosures and will apply the new guidance retrospectively to all prior periods.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new accounting pronouncements recently issued or newly effective were not applicable to the Company, did not have a material impact on the condensed consolidated financial statements or are not expected to have a material impact on the condensed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84785"/>
                <wp:effectExtent l="0" t="0" r="0" b="0"/>
                <wp:wrapNone/>
                <wp:docPr id="12" name="Frame1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60" w:after="60"/>
        <w:jc w:val="left"/>
        <w:rPr/>
      </w:pPr>
      <w:hyperlink w:anchor="i34e28d6f97b94b71adbb4ccfd6dde94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Comprehensive Income</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Comprehensive income includes all changes to stockholders' equity during a period, except those resulting from investments by and distributions to stockholders. Components of comprehensive income include net income, changes in foreign currency translation adjustments (net of tax) and changes in the fair value of cash flow hedges (net of tax).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summary of the components of comprehensive income is as follows (in thousands):</w:t>
      </w:r>
    </w:p>
    <w:tbl>
      <w:tblPr>
        <w:tblW w:w="10205" w:type="dxa"/>
        <w:jc w:val="left"/>
        <w:tblInd w:w="0" w:type="dxa"/>
        <w:tblLayout w:type="fixed"/>
        <w:tblCellMar>
          <w:top w:w="28" w:type="dxa"/>
          <w:left w:w="28" w:type="dxa"/>
          <w:bottom w:w="28" w:type="dxa"/>
          <w:right w:w="28" w:type="dxa"/>
        </w:tblCellMar>
      </w:tblPr>
      <w:tblGrid>
        <w:gridCol w:w="1267"/>
        <w:gridCol w:w="977"/>
        <w:gridCol w:w="989"/>
        <w:gridCol w:w="444"/>
        <w:gridCol w:w="365"/>
        <w:gridCol w:w="337"/>
        <w:gridCol w:w="342"/>
        <w:gridCol w:w="281"/>
        <w:gridCol w:w="234"/>
        <w:gridCol w:w="239"/>
        <w:gridCol w:w="939"/>
        <w:gridCol w:w="123"/>
        <w:gridCol w:w="109"/>
        <w:gridCol w:w="109"/>
        <w:gridCol w:w="109"/>
        <w:gridCol w:w="444"/>
        <w:gridCol w:w="365"/>
        <w:gridCol w:w="337"/>
        <w:gridCol w:w="364"/>
        <w:gridCol w:w="295"/>
        <w:gridCol w:w="234"/>
        <w:gridCol w:w="251"/>
        <w:gridCol w:w="859"/>
        <w:gridCol w:w="192"/>
      </w:tblGrid>
      <w:tr>
        <w:trPr/>
        <w:tc>
          <w:tcPr>
            <w:tcW w:w="126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3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 2024</w:t>
            </w:r>
          </w:p>
        </w:tc>
      </w:tr>
      <w:tr>
        <w:trPr/>
        <w:tc>
          <w:tcPr>
            <w:tcW w:w="3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Pre-Tax Amount</w:t>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Tax Effect</w:t>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After-Tax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Pre-Tax Amount</w:t>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Tax Effect</w:t>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After-Tax Amount</w:t>
            </w:r>
          </w:p>
        </w:tc>
      </w:tr>
      <w:tr>
        <w:trPr/>
        <w:tc>
          <w:tcPr>
            <w:tcW w:w="3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61,973 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53,002 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14,765 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(20,595)</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(20,595)</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cash flow hedges</w:t>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(26,677)</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6,936 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12,639 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(3,286)</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8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(11,912)</w:t>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6,936 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(4,976)</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(7,956)</w:t>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(3,286)</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(11,242)</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Comprehensive income </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56,997 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41,760 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(loss) attributable to noncontrolling interests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Aramark stockholders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56,878 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42,207 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3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 2024</w:t>
            </w:r>
          </w:p>
        </w:tc>
      </w:tr>
      <w:tr>
        <w:trPr/>
        <w:tc>
          <w:tcPr>
            <w:tcW w:w="3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Pre-Tax Amount</w:t>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Tax Effect</w:t>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After-Tax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Pre-Tax Amount</w:t>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Tax Effect</w:t>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After-Tax Amount</w:t>
            </w:r>
          </w:p>
        </w:tc>
      </w:tr>
      <w:tr>
        <w:trPr/>
        <w:tc>
          <w:tcPr>
            <w:tcW w:w="3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167,676 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81,519 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(26,982)</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(5,246)</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(5,246)</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cash flow hedges</w:t>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(9,343)</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(38,080)</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9,901 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(28,179)</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8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(36,325)</w:t>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(33,896)</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(43,326)</w:t>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9,901 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(33,425)</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Comprehensive income </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133,780 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48,094 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(loss) attributable to noncontrolling interests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Aramark stockholders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133,577 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48,560 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March 29, 2024, the amounts in the table above exclude the impact of a $5.1 million pension plan adjustment and a $26.3 million currency translation adjustment related to the separation and distribution of the Uniform segment (discussed below).</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consists of the following (in thousands):</w:t>
      </w:r>
    </w:p>
    <w:tbl>
      <w:tblPr>
        <w:tblW w:w="6611" w:type="dxa"/>
        <w:jc w:val="left"/>
        <w:tblInd w:w="0" w:type="dxa"/>
        <w:tblLayout w:type="fixed"/>
        <w:tblCellMar>
          <w:top w:w="28" w:type="dxa"/>
          <w:left w:w="28" w:type="dxa"/>
          <w:bottom w:w="28" w:type="dxa"/>
          <w:right w:w="28" w:type="dxa"/>
        </w:tblCellMar>
      </w:tblPr>
      <w:tblGrid>
        <w:gridCol w:w="1244"/>
        <w:gridCol w:w="1094"/>
        <w:gridCol w:w="1097"/>
        <w:gridCol w:w="217"/>
        <w:gridCol w:w="930"/>
        <w:gridCol w:w="112"/>
        <w:gridCol w:w="109"/>
        <w:gridCol w:w="109"/>
        <w:gridCol w:w="109"/>
        <w:gridCol w:w="265"/>
        <w:gridCol w:w="1132"/>
        <w:gridCol w:w="193"/>
      </w:tblGrid>
      <w:tr>
        <w:trPr/>
        <w:tc>
          <w:tcPr>
            <w:tcW w:w="124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27, 2024</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plan adjustments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(20,233)</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(20,233)</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(175,682)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(148,700)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 hedges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36,476 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(166,353)</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(132,457)</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Currency Translation</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Gains and losses resulting from the translation of financial statements of non-United States subsidiaries are reflected as a component of accumulated other comprehensive loss in stockholders' equity. Beginning in fiscal 2018, Argentina was determined to have a highly inflationary economy. As a result, the Company remeasures the financial statements of Argentina's operations in accordance with the accounting guidance for highly inflationary economies. The impact of the Argentina remeasurement, reflected in the Condensed Consolidated Statements of Income, was a foreign currency transaction loss of $0.6 million and $1.3 million during the three and six month periods ended March 28, 2025, respectively, and $0.9 million and $4.8 million during the three and six month periods ended March 29, 2024, respectively. The impact of foreign currency transaction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84785"/>
                <wp:effectExtent l="0" t="0" r="0" b="0"/>
                <wp:wrapNone/>
                <wp:docPr id="13" name="Frame1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60" w:after="60"/>
        <w:jc w:val="left"/>
        <w:rPr/>
      </w:pPr>
      <w:hyperlink w:anchor="i34e28d6f97b94b71adbb4ccfd6dde94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gains and losses exclusive of Argentina's operations included in the Company's operating results during the three and six month periods of both fiscal 2025 and 2024 were immaterial to the condensed consolidated financial statements. </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Current Assets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insures portions of its risk related to general liability, automobile liability, workers’ compensation liability claims as well as certain property damage risks through a wholly owned captive insurance subsidiary (the "Captive") as part of its approach to risk finance. The Captive is subject to regulations within its domicile of Bermuda, including regulations established by the Bermuda Monetary Authority (the "BMA") relating to levels of liquidity and solvency as such concepts are defined by the BMA. The Captive was in compliance with these regulations as of March 28, 2025. These regulations may have the effect of limiting the Company's ability to access certain cash and cash equivalents held by the Captive for uses other than for the payment of its general liability, automobile liability, workers' compensation liability, certain property damage and related Captive costs. As of March 28, 2025 and September 27, 2024, cash and cash equivalents at the Captive were $95.2 million and $94.7 million, respectively. The Captive also invests in United States Treasury securities where the amount of these investments as of March 28, 2025 and September 27, 2024 was $43.3 million and $42.3 million, respectively, and is recorded in "Prepayments and other current assets" on the Condensed Consolidated Balance Sheets.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Within the FSS International segment, the Company receives certain cash on behalf of the Company's clients, which is contractually restricted from withdrawal and usage. This restricted cash is recorded in "Prepayments and other current assets" on the Condensed Consolidated Balance Sheets.</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Other Assets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consist primarily of costs to obtain or fulfill contracts (including employee sales commissions), long-term receivables, interest rate swaps, investments in 50% or less owned entities and computer software costs.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For investments in 50% or less owned entities accounted for under the equity method of accounting, the carrying amount as of March 28, 2025 and September 27, 2024 was $111.0 million and $84.0 million, respectively.</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For investments in 50% or less owned entities, other than those accounted for under the equity method of accounting, the Company measures these investments at cost, less any impairment and adjusted for changes in fair value resulting from observable price changes for an identical or a similar investment of the same issuer due to the lack of readily available fair values related to those investments. The carrying amount of equity investments without readily determinable fair values as of March 28, 2025 and September 27, 2024 was $34.6 million and $35.4 million.</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Supply Chain Finance Program</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agreements with third-party administrators that allow participating vendors to voluntarily elect to sell payment obligations from the Company to financial institutions as part of a Supply Chain Finance Program ("SCF Program"). The Company's payment terms to the financial institutions, including the timing and amount of payments, are based on the original supplier invoices. When participating vendors elect to sell one or more of the Company's payment obligations, the Company's rights and obligations to settle the payable on their contractual due date are not impacted. The Company has no economic or commercial interest in a vendor's decision to sell the Company's payment obligations. The Company agrees on commercial terms with vendors for the goods and services procured, which are consistent with payment terms observed at other peer companies in the industry, and the terms are not impacted by the SCF Program. For the SCF Program, the Company does not provide asset pledges, or other forms of guarantees, as security for the committed payment to the financial institutions. As of March 28, 2025 and September 27, 2024, the Company had $1.9 million and $2.6 million, respectively, of outstanding payment obligations to the financial institutions as part of the SCF Program recorded in "Accounts payable" on the Condensed Consolidated Balance Sheets.</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Lease Arrangements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Certain of the Company's lease arrangements, primarily vehicle leases, with terms of one to eight years, contain provisions related to residual value guarantees. The maximum potential liability to the Company under such arrangements was approximately $39.9 million at March 28, 2025 if the terminal fair value of vehicles coming off lease was zero. Consistent with past experience, management does not expect any significant payments will be required pursuant to these arrangements. No amounts have been accrued for the guarantee arrangements at March 28, 2025.</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Other Current and Noncurrent Liabilities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self-insured for certain obligations related to its employee health care benefit programs as well as for certain risks retained under its general liability, automobile liability, workers' compensation liability and certain property damage programs. Reserves for these programs are estimated through actuarial methods, with the assistance of third-party actuaries using loss development assumptions based on the Company's claims history.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84785"/>
                <wp:effectExtent l="0" t="0" r="0" b="0"/>
                <wp:wrapNone/>
                <wp:docPr id="14" name="Frame1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60" w:after="60"/>
        <w:jc w:val="left"/>
        <w:rPr/>
      </w:pPr>
      <w:hyperlink w:anchor="i34e28d6f97b94b71adbb4ccfd6dde94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Separation and Distribution of Aramark Uniform and Career Apparel</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30, 2023, the Company completed the separation and distribution of its Uniform segment into an independent publicly traded company, Vestis. The separation was structured as a tax free spin-off, which occurred by way of a pro rata distribution to Aramark stockholders. Each of the Aramark stockholders received one share of Vestis common stock for every two shares of Aramark common stock held of record as of the close of business on September 20, 2023. Vestis is now an independent public company under the symbol “VSTS” on the New York Stock Exchange.</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separation and distribution, the Company entered into or adopted several agreements that provide a framework for the relationship between the Company and Vestis, including, but not limited to the following:</w:t>
      </w:r>
    </w:p>
    <w:p>
      <w:pPr>
        <w:pStyle w:val="TextBody"/>
        <w:bidi w:val="0"/>
        <w:spacing w:lineRule="auto" w:line="288" w:before="60" w:after="60"/>
        <w:jc w:val="left"/>
        <w:rPr/>
      </w:pPr>
      <w:r>
        <w:rPr>
          <w:rFonts w:ascii="Times New Roman;sans-serif" w:hAnsi="Times New Roman;sans-serif"/>
          <w:b w:val="false"/>
          <w:i/>
          <w:color w:val="000000"/>
          <w:sz w:val="20"/>
        </w:rPr>
        <w:t>Separation and Distribution Agreement</w:t>
      </w:r>
      <w:r>
        <w:rPr>
          <w:color w:val="000000"/>
        </w:rPr>
        <w:t xml:space="preserve"> </w:t>
      </w:r>
      <w:r>
        <w:rPr>
          <w:rFonts w:ascii="Times New Roman;sans-serif" w:hAnsi="Times New Roman;sans-serif"/>
          <w:b w:val="false"/>
          <w:color w:val="000000"/>
          <w:sz w:val="20"/>
        </w:rPr>
        <w:t>- governs the rights and obligations of the parties regarding the distribution following the completion of the separation, including the transfer of assets and assumption of liabilities, and establishes certain rights and obligations between the Company and Vestis following the distribution, including procedures with respect to claims subject to indemnification and related matters.</w:t>
      </w:r>
    </w:p>
    <w:p>
      <w:pPr>
        <w:pStyle w:val="TextBody"/>
        <w:bidi w:val="0"/>
        <w:spacing w:lineRule="auto" w:line="288" w:before="60" w:after="60"/>
        <w:jc w:val="left"/>
        <w:rPr/>
      </w:pPr>
      <w:r>
        <w:rPr>
          <w:rFonts w:ascii="Times New Roman;sans-serif" w:hAnsi="Times New Roman;sans-serif"/>
          <w:b w:val="false"/>
          <w:i/>
          <w:color w:val="000000"/>
          <w:sz w:val="20"/>
        </w:rPr>
        <w:t>Transition Services Agreement</w:t>
      </w:r>
      <w:r>
        <w:rPr>
          <w:color w:val="000000"/>
        </w:rPr>
        <w:t xml:space="preserve"> </w:t>
      </w:r>
      <w:r>
        <w:rPr>
          <w:rFonts w:ascii="Times New Roman;sans-serif" w:hAnsi="Times New Roman;sans-serif"/>
          <w:b w:val="false"/>
          <w:color w:val="000000"/>
          <w:sz w:val="20"/>
        </w:rPr>
        <w:t>- governs services between the Company and Vestis and their respective affiliates to provide each other on an interim, transitional basis, various services, including, but not limited to, administrative, information technology and cybersecurity support services and certain finance, treasury, tax and governmental function services. The services will terminate no later than 24 months following the distribution date.</w:t>
      </w:r>
    </w:p>
    <w:p>
      <w:pPr>
        <w:pStyle w:val="TextBody"/>
        <w:bidi w:val="0"/>
        <w:spacing w:lineRule="auto" w:line="288" w:before="60" w:after="60"/>
        <w:jc w:val="left"/>
        <w:rPr/>
      </w:pPr>
      <w:r>
        <w:rPr>
          <w:rFonts w:ascii="Times New Roman;sans-serif" w:hAnsi="Times New Roman;sans-serif"/>
          <w:b w:val="false"/>
          <w:i/>
          <w:color w:val="000000"/>
          <w:sz w:val="20"/>
        </w:rPr>
        <w:t xml:space="preserve">Tax Matters Agreement </w:t>
      </w:r>
      <w:r>
        <w:rPr>
          <w:rFonts w:ascii="Times New Roman;sans-serif" w:hAnsi="Times New Roman;sans-serif"/>
          <w:b w:val="false"/>
          <w:color w:val="000000"/>
          <w:sz w:val="20"/>
        </w:rPr>
        <w:t>- governs the parties’ respective rights, responsibilities and obligations with respect to tax liabilities and benefits, tax attributes, the preparation and filing of tax returns, the control of audits and other tax proceedings and other matters regarding taxes.</w:t>
      </w:r>
    </w:p>
    <w:p>
      <w:pPr>
        <w:pStyle w:val="TextBody"/>
        <w:bidi w:val="0"/>
        <w:spacing w:lineRule="auto" w:line="288" w:before="60" w:after="60"/>
        <w:jc w:val="left"/>
        <w:rPr/>
      </w:pPr>
      <w:r>
        <w:rPr>
          <w:rFonts w:ascii="Times New Roman;sans-serif" w:hAnsi="Times New Roman;sans-serif"/>
          <w:b w:val="false"/>
          <w:i/>
          <w:color w:val="000000"/>
          <w:sz w:val="20"/>
        </w:rPr>
        <w:t>Employee Matters Agreement</w:t>
      </w:r>
      <w:r>
        <w:rPr>
          <w:color w:val="000000"/>
        </w:rPr>
        <w:t xml:space="preserve"> </w:t>
      </w:r>
      <w:r>
        <w:rPr>
          <w:rFonts w:ascii="Times New Roman;sans-serif" w:hAnsi="Times New Roman;sans-serif"/>
          <w:b w:val="false"/>
          <w:color w:val="000000"/>
          <w:sz w:val="20"/>
        </w:rPr>
        <w:t>- governs the allocation of liabilities and responsibilities relating to employment matters, employee compensation and benefits plans and programs and other related matters.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Under these agreements, the Company will continue to provide certain services to Vestis following the separation and distribution. The agreements do not provide the Company with the ability to influence the operating or financial policies of Vestis subsequent to the separation date. During the three and six months ended March 28, 2025, the value of the services provided to Vestis were immaterial to the Company's financial statements with no outstanding receivables balance as of March 28, 2025 and September 27, 2024. During the three and six months ended March 29, 2024, the value of the services provided to Vestis were $3.5 million and $8.1 million, respectively.</w:t>
      </w:r>
    </w:p>
    <w:p>
      <w:pPr>
        <w:pStyle w:val="TextBody"/>
        <w:bidi w:val="0"/>
        <w:spacing w:lineRule="auto" w:line="288"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March 29, 2024, the Company incurred $20.0 million of transaction fees related to the separation and distribution of its Uniform segment and $8.8 million of charitable contribution expense for the contribution of Vestis shares to a donor advised fund in order to fund charitable contributions, which were recorded within "Selling and general corporate expenses" on the Condensed Consolidated Statements of Income.</w:t>
      </w:r>
    </w:p>
    <w:p>
      <w:pPr>
        <w:pStyle w:val="TextBody"/>
        <w:bidi w:val="0"/>
        <w:spacing w:lineRule="auto" w:line="288" w:before="6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its distribution of Vestis' net assets as a change in "Retained Earnings." The amount recorded reflected the carrying amounts, as of September 29, 2023, of the net assets distributed offset by the holdback of Vestis shares upon distribution of $8.8 million, net cash received from Vestis post-separation of $6.1 million and other adjustments of $0.6 million. The Company also recorded a net decrease to "Accumulated other comprehensive loss" of $31.4 million to derecognize foreign currency translation adjustments and pension plan adjustments which were attributable to Vestis.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 xml:space="preserve">NOTE 2. GOODWILL AND OTHER INTANGIBLE ASSETS: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represents the excess of the fair value of consideration paid for an acquired entity over the fair value of assets acquired and liabilities assumed in a business combination. Goodwill is not amortized and is subject to an impairment test that the Company conducts annually or more frequently if a change in circumstances or the occurrence of events indicates that potential impairment exists, using discounted cash flows.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total goodwill during the six months ended March 28, 2025 are as follows (in thousands):</w:t>
      </w:r>
    </w:p>
    <w:tbl>
      <w:tblPr>
        <w:tblW w:w="7907" w:type="dxa"/>
        <w:jc w:val="left"/>
        <w:tblInd w:w="0" w:type="dxa"/>
        <w:tblLayout w:type="fixed"/>
        <w:tblCellMar>
          <w:top w:w="28" w:type="dxa"/>
          <w:left w:w="28" w:type="dxa"/>
          <w:bottom w:w="28" w:type="dxa"/>
          <w:right w:w="28" w:type="dxa"/>
        </w:tblCellMar>
      </w:tblPr>
      <w:tblGrid>
        <w:gridCol w:w="564"/>
        <w:gridCol w:w="496"/>
        <w:gridCol w:w="500"/>
        <w:gridCol w:w="251"/>
        <w:gridCol w:w="1164"/>
        <w:gridCol w:w="130"/>
        <w:gridCol w:w="109"/>
        <w:gridCol w:w="109"/>
        <w:gridCol w:w="109"/>
        <w:gridCol w:w="211"/>
        <w:gridCol w:w="826"/>
        <w:gridCol w:w="109"/>
        <w:gridCol w:w="109"/>
        <w:gridCol w:w="109"/>
        <w:gridCol w:w="109"/>
        <w:gridCol w:w="109"/>
        <w:gridCol w:w="109"/>
        <w:gridCol w:w="211"/>
        <w:gridCol w:w="796"/>
        <w:gridCol w:w="109"/>
        <w:gridCol w:w="109"/>
        <w:gridCol w:w="109"/>
        <w:gridCol w:w="109"/>
        <w:gridCol w:w="211"/>
        <w:gridCol w:w="976"/>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u w:val="single"/>
              </w:rPr>
            </w:pPr>
            <w:r>
              <w:rPr>
                <w:rFonts w:ascii="Times New Roman;sans-serif" w:hAnsi="Times New Roman;sans-serif"/>
                <w:b/>
                <w:color w:val="000000"/>
                <w:sz w:val="16"/>
                <w:u w:val="single"/>
              </w:rPr>
              <w:t>Segment</w:t>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Acquisitions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28, 2025</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United States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4,184,547 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4,227,889 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International</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492,654 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582,196 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4,677,201 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4,810,085 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84785"/>
                <wp:effectExtent l="0" t="0" r="0" b="0"/>
                <wp:wrapNone/>
                <wp:docPr id="15" name="Frame1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60" w:after="60"/>
        <w:jc w:val="left"/>
        <w:rPr/>
      </w:pPr>
      <w:hyperlink w:anchor="i34e28d6f97b94b71adbb4ccfd6dde94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intangible assets consist of the following (in thousands): </w:t>
      </w:r>
    </w:p>
    <w:tbl>
      <w:tblPr>
        <w:tblW w:w="10282" w:type="dxa"/>
        <w:jc w:val="left"/>
        <w:tblInd w:w="0" w:type="dxa"/>
        <w:tblLayout w:type="fixed"/>
        <w:tblCellMar>
          <w:top w:w="28" w:type="dxa"/>
          <w:left w:w="28" w:type="dxa"/>
          <w:bottom w:w="28" w:type="dxa"/>
          <w:right w:w="28" w:type="dxa"/>
        </w:tblCellMar>
      </w:tblPr>
      <w:tblGrid>
        <w:gridCol w:w="397"/>
        <w:gridCol w:w="349"/>
        <w:gridCol w:w="350"/>
        <w:gridCol w:w="211"/>
        <w:gridCol w:w="976"/>
        <w:gridCol w:w="109"/>
        <w:gridCol w:w="109"/>
        <w:gridCol w:w="109"/>
        <w:gridCol w:w="109"/>
        <w:gridCol w:w="211"/>
        <w:gridCol w:w="841"/>
        <w:gridCol w:w="109"/>
        <w:gridCol w:w="109"/>
        <w:gridCol w:w="109"/>
        <w:gridCol w:w="109"/>
        <w:gridCol w:w="211"/>
        <w:gridCol w:w="976"/>
        <w:gridCol w:w="109"/>
        <w:gridCol w:w="109"/>
        <w:gridCol w:w="109"/>
        <w:gridCol w:w="109"/>
        <w:gridCol w:w="211"/>
        <w:gridCol w:w="976"/>
        <w:gridCol w:w="109"/>
        <w:gridCol w:w="109"/>
        <w:gridCol w:w="109"/>
        <w:gridCol w:w="109"/>
        <w:gridCol w:w="211"/>
        <w:gridCol w:w="841"/>
        <w:gridCol w:w="109"/>
        <w:gridCol w:w="109"/>
        <w:gridCol w:w="109"/>
        <w:gridCol w:w="109"/>
        <w:gridCol w:w="211"/>
        <w:gridCol w:w="976"/>
        <w:gridCol w:w="154"/>
      </w:tblGrid>
      <w:tr>
        <w:trPr/>
        <w:tc>
          <w:tcPr>
            <w:tcW w:w="3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27, 2024</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(562,713)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703,946 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(521,102)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647,006 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1,157,596 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2,516,552 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(617,081)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1,899,471 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2,365,594 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(560,992)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1,804,602 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for the six months ended March 28, 2025 and March 29, 2024 was $58.5 million and $51.3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 xml:space="preserve">NOTE 3. BORROWINGS: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Long-term borrowings, net, are summarized in the following table (in thousands):</w:t>
      </w:r>
    </w:p>
    <w:tbl>
      <w:tblPr>
        <w:tblW w:w="8263" w:type="dxa"/>
        <w:jc w:val="left"/>
        <w:tblInd w:w="0" w:type="dxa"/>
        <w:tblLayout w:type="fixed"/>
        <w:tblCellMar>
          <w:top w:w="28" w:type="dxa"/>
          <w:left w:w="28" w:type="dxa"/>
          <w:bottom w:w="28" w:type="dxa"/>
          <w:right w:w="28" w:type="dxa"/>
        </w:tblCellMar>
      </w:tblPr>
      <w:tblGrid>
        <w:gridCol w:w="1710"/>
        <w:gridCol w:w="1501"/>
        <w:gridCol w:w="1513"/>
        <w:gridCol w:w="109"/>
        <w:gridCol w:w="109"/>
        <w:gridCol w:w="109"/>
        <w:gridCol w:w="211"/>
        <w:gridCol w:w="976"/>
        <w:gridCol w:w="109"/>
        <w:gridCol w:w="109"/>
        <w:gridCol w:w="109"/>
        <w:gridCol w:w="109"/>
        <w:gridCol w:w="250"/>
        <w:gridCol w:w="1157"/>
        <w:gridCol w:w="182"/>
      </w:tblGrid>
      <w:tr>
        <w:trPr/>
        <w:tc>
          <w:tcPr>
            <w:tcW w:w="1710"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27, 2024</w:t>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Senior Secured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$1.4 Billion Revolving Credit Facility due August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A Loans due August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499,624 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Term B Loans due June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1,073,060 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Term B Loans due April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725,504 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Term B Loans due January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836,680 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Senior Unsecured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4.375% Senior Unsecured Notes (EUR) due April 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5.000% Senior Unsecured Notes due February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1,144,404 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5.000% Senior Unsecured Notes due April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550,789 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3.125% Senior Unsecured Notes (EUR) due April 2025</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362,459 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Facility due July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40,440 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6,532,881 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5,271,457 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(423,803)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(964,286)</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6,109,078 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4,307,171 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762" w:type="dxa"/>
        <w:jc w:val="center"/>
        <w:tblInd w:w="0" w:type="dxa"/>
        <w:tblLayout w:type="fixed"/>
        <w:tblCellMar>
          <w:top w:w="28" w:type="dxa"/>
          <w:left w:w="28" w:type="dxa"/>
          <w:bottom w:w="28" w:type="dxa"/>
          <w:right w:w="28" w:type="dxa"/>
        </w:tblCellMar>
      </w:tblPr>
      <w:tblGrid>
        <w:gridCol w:w="124"/>
        <w:gridCol w:w="109"/>
        <w:gridCol w:w="109"/>
        <w:gridCol w:w="1881"/>
        <w:gridCol w:w="1881"/>
        <w:gridCol w:w="26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6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On April 1, 2025, the Company repaid the euro denominated 3.125% Senior Unsecured Notes due April 2025. </w:t>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28, 2025, there were $1,320.8 million of outstanding foreign currency borrowings.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28, 2025, there were $1,043.4 million of availability under the senior secured revolving credit facility and $14.0 million of availability under the Receivables Facility.</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 xml:space="preserve">4.375% Senior Notes (EUR) due April 2033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On March 19, 2025, Aramark International Finance S.à.r.l. ("AIFS"), an indirect wholly owned subsidiary of the Company, issued €400.0 million of euro denominated 4.375% Senior Notes due April 2033 (the "4.375% 2033 Notes"). AIFS used a portion of the net proceeds from the issuance and sale of the 4.375% 2033 Notes to repay at maturity, April 1, 2025, all of the €325.0 million outstanding aggregate principal amount of AIFS' euro denominated 3.125% Senior Notes due April 2025 and the remainder for general corporate purposes, including reduction of debt. The Company capitalized €4.4 million in third-party costs directly attributable to the issuance and sale of the 4.375% 2033 Notes. The capitalized costs are amortized using the effective interest method over the term of the 4.375% 2033 Notes and presented in “Long-Term Borrowings” on the Condensed Consolidated Balance Sheet as of March 28, 2025 as a direct deduction from the carrying value of the notes.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4.375% 2033 Notes were issued pursuant to an indenture (the "2033 Notes Indenture"), entered into by and among AIFS, the Company, Aramark Services, Inc. ("ASI") and certain other Aramark entities, as guarantors, U.S. Bank Trust Company, National Association, as trustee, and U.S. Bank Europe DAC, as paying agent, transfer agent and registrar. The 4.375% 2033 Notes were issued at par.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84785"/>
                <wp:effectExtent l="0" t="0" r="0" b="0"/>
                <wp:wrapNone/>
                <wp:docPr id="16" name="Frame1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60" w:after="60"/>
        <w:jc w:val="left"/>
        <w:rPr/>
      </w:pPr>
      <w:hyperlink w:anchor="i34e28d6f97b94b71adbb4ccfd6dde94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4.375% 2033 Notes are senior unsecured obligations of AIFS. The 4.375% 2033 Notes rank equal in right of payment to all of the AIFS's existing and future senior indebtedness and will rank senior in right of payment to the AIFS' future subordinated indebtedness, if any. The 4.375% 2033 Notes are guaranteed on a senior, unsecured basis by the Company and substantially all of the domestic subsidiaries of ASI. The guarantees of the 4.375% 2033 Notes rank equal in right of payment to all of the senior obligations of such guarantor. The guarantee of the 4.375% 2033 Notes by guarantor is effectively subordinated to all of such guarantor's existing and future secured indebtedness, to the extent of the value of the assets securing that indebtedness, and structurally subordinated to all of the liabilities of any of such guarantor's subsidiaries that do not guarantee the 4.375% 2033 Notes. The 4.375% 2033 Notes are also guaranteed on a senior unsecured basis by the Company for purposes of financial reporting. Interest on the 4.375% 2033 Notes is payable on April 15 and October 15 of each year, commencing October 15, 2025.</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Prior to April 15, 2028, AIFS may redeem all or a portion of the 4.375% 2033 Notes at a price equal to 100% of the principal amount of the 4.375% 2033 Notes redeemed plus a “make whole” premium, as described in the 2033 Notes Indenture, and accrued and unpaid interest, if any, to, but not including the date of redemption. AIFS has the option to redeem all or a portion of the 4.375% 2033 Notes at any time on or after April 15, 2028 at the redemption prices set forth in the 2033 Notes Indenture plus accrued and unpaid interest, if any, to, but not including the date of redemption.</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2033 Notes Indenture contains covenants limiting ASI's ability and the ability of its restricted subsidiaries to: incur additional indebtedness or issue certain preferred shares; pay dividends and make certain distributions, investments and other restricted payments; create certain liens; sell assets; enter into transactions with affiliates; create or allow any restriction on the ability of restricted subsidiaries to make payments to ASI; enter into sale and leaseback transactions; merge, consolidate, sell or otherwise dispose of all or substantially all of ASI and its subsidiaries' assets on a consolidated basis; and designate ASI's subsidiaries as unrestricted subsidiaries. The Company will not be subject to the covenants that apply to ASI or its restricted subsidiaries under the 2033 Notes Indenture. The 2033 Notes Indenture also provides for events of default which, if any of them occurs, would permit or require the principal of and accrued interest on the 4.375% 2033 Notes to become or to be declared due and payable. Further, a failure to pay any obligations under the 2033 Notes Indenture as they become due or any event causing amounts to become due prior to their stated maturity could result in a cross-default and potential acceleration of the ASI’s other outstanding debt obligations, including the other senior notes and obligations under the senior secured credit facilities.</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United States Term B Loans due June 2030 Incremental Amendment, United States Term B Loans due January 2027 Repayment and 5.000% Senior Notes Due April 2025 Redemption</w:t>
      </w:r>
    </w:p>
    <w:p>
      <w:pPr>
        <w:pStyle w:val="TextBody"/>
        <w:bidi w:val="0"/>
        <w:spacing w:lineRule="auto" w:line="288"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ASI and certain of its subsidiaries entered into a credit agreement on March 28, 2017 (as subsequently amended the "Credit Agreement"). On February 18, 2025, ASI entered into an incremental amendment to the Credit Agreement (“Incremental Amendment No. 17”) to provide for, among other things, the establishment of new term loans comprised of new United States dollar denominated Term B-8 Loans ("New U.S. Term B-8 Loans due 2030") in an amount equal to $1,395.0 million, in the form of a fungible upsize to ASI’s existing United States dollar denominated Term B-8 Loans due in June 2030 (“U.S. Term B-8 Loans due 2030”). The New U.S. Term B-8 Loans due 2030 were funded in full on the closing date of Incremental Amendment No. 17 and were applied by ASI to: (a) repay in full $839.3 million of the United States dollar denominated Term B-4 Loans due January 2027 ("U.S. Term B-4 Loans due 2027") previously outstanding under the Credit Agreement; (b) to redeem the entire $551.5 million aggregate principal amount outstanding of ASI's 5.000% Senior Notes due April 2025 (the "5.000% 2025 Notes") at a redemption price equal to 100% of the aggregate principal amount, plus accrued and unpaid interest to the date of redemption; and (c) to pay fees, premiums, expenses and other transaction costs in connection with the foregoing.</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U.S. Term B-8 Loans due 2030 bear interest rates equal to either (a) a forward-looking term rate based on the Secured Overnight Financing Rate for the applicable interest period (“Term SOFR”) or (b) a base rate determined by reference to the highest of either (1) the prime rate of the administrative agent, (2) the federal funds rate plus 0.50% and (3) Term SOFR for a one-month interest period plus 1.00% plus an applicable margin set at 2.00% for borrowings based on Term SOFR and 1.00% for borrowings based on the base rate.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U.S. Term B-8 Loans due 2030 require the payment of installments in quarterly principal amount of $6.3 million from March 31, 2025 through March 31, 2030, and $2,346.4 million at maturity. The U.S. Term B-8 Loans due 2030 are subject to substantially similar terms relating to guarantees, collateral, mandatory prepayments and covenants that are applicable to the ASI’s other Term B Loans outstanding under the Credit Agreement.</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capitalized $4.6 million of transaction costs directly attributable to the refinancing in Amendment No. 17, which are amortized using the effective interest method over the term of the loans and presented in “Long-Term Borrowings” on the Condensed Consolidated Balance Sheet as of March 28, 2025 as a direct deduction from the carrying value of the loans. Amounts paid for capitalized transaction costs are included within “Other financing activities” on the Condensed Consolidated Statement of Cash Flows for the six months ended March 28, 2025. Additionally, the Company recorded $8.3 million of charges to "Interest Expense, net" on the Condensed Consolidated Statements of Income for the three and six months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84785"/>
                <wp:effectExtent l="0" t="0" r="0" b="0"/>
                <wp:wrapNone/>
                <wp:docPr id="17" name="Frame1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60" w:after="60"/>
        <w:jc w:val="left"/>
        <w:rPr/>
      </w:pPr>
      <w:hyperlink w:anchor="i34e28d6f97b94b71adbb4ccfd6dde94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March 28, 2025, consisting of a $2.5 million non-cash loss for the write-off of unamortized deferred financing costs and discount on the U.S. Term B-4 Loans due 2027 and the 5.000% 2025 Notes and the payment of $5.8 million of transaction costs related to the refinancing.</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March 2024 Senior Secured Credit Agreement Refinancing</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On March 27, 2024, ASI amended its existing Credit Agreement (“Amendment No. 14”), to provide for, among other things, the repricing of all the United States dollar denominated Term B-5 Loans previously outstanding under the Credit Agreement (“U.S. Term B-5 Loans due 2028”) and the repricing of all the United States dollar denominated Term B-6 Loans previously outstanding under the Credit Agreement (“U.S. Term B-6 Loans due 2030”).</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 Amendment No. 14, (i) U.S. Term B-5 Loans due 2028 previously outstanding under the Credit Agreement were replaced with new United States dollar denominated Term B-7 Loans (“U.S. Term B-7 Loans due 2028”) in an amount equal to $730.5 million due in April 2028 and (ii) U.S. Term B-6 Loans due 2030 previously outstanding under the Credit Agreement were replaced with the new United States dollar denominated Term B-8 Loans (“U.S. Term B-8 Loans due 2030”) in an amount equal to $1,094.5 million due in June 2030.</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capitalized $0.9 million of transaction costs that are included within “Other financing activities” on the Condensed Consolidated Statement of Cash Flows for the six months ended March 29, 2024. Additionally, the Company recorded $1.6 million of charges to "Interest Expense, net" on the Condensed Consolidated Statements of Income for the three and six months ended March 29, 2024, consisting of a $1.2 million non-cash loss for the write-off of unamortized deferred financing costs and discount on the U.S. Term B-5 Loans due 2028 and U.S. Term B-6 Loans due 2030 and the payment of $0.4 million of transaction costs related to the repricings. </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6.375% Senior Notes due 2025 Repayment</w:t>
      </w:r>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2, 2023, the Company fully redeemed the $1,500.0 million 6.375% 2025 Senior Notes due May 2025 (the "6.375% 2025 Notes") in conjunction with the separation and distribution of the Uniform segment (see Note 1). The Company recorded $31.8 million of charges to "Interest Expense, net" in the Condensed Consolidated Statements of Income for the six months ended March 29, 2024, consisting of the payment of a $23.9 million call premium and a $7.9 million non-cash loss for the write-off of unamortized deferred financing costs on the 6.375% 2025 Notes. The amount paid for the call premium is included within "Other financing activities" on the Condensed Consolidated Statements of Cash Flows for the six months ended March 29,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NOTE 4. DERIVATIVE INSTRUMENTS: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enters into contractual derivative arrangements to manage changes in market conditions related to interest on debt obligations, including interest rate swap agreements, which are recognized as either assets or liabilities on the balance sheet at fair value at the end of each quarter. The counterparties to the Company's contractual derivative agreements are all major international financial institutions. The Company is exposed to credit loss in the event of nonperformance by these counterparties. The Company continually monitors its positions and the credit ratings of its counterparties and does not anticipate nonperformance by the counterparties. The Company formally documents the hedging relationship and its risk management objective and strategy for undertaking the hedge, the hedging instrument, the hedged item, the nature of the risk being hedged and how the hedging instrument's effectiveness in offsetting the hedged risk will be assessed prospectively and retrospectively for designated hedges. The Company also formally assesses, both at the hedge's inception and on an ongoing basis, whether the derivatives that are used in hedging transactions are highly effective in offsetting cash flows of hedged items.</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Cash Flow Hedges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$2.2 billion notional amount of outstanding interest rate swap agreements as of March 28, 2025, which fix the rate on a like amount of variable rate borrowings with varying maturities through March of fiscal 2028. During the three months ended March 28, 2025, interest rate swaps with notional amounts of $800.0 million matured. Additionally, the Company entered into $700.0 million notional amount of interest rate swap agreements during the three months ended March 28, 2025 to hedge the cash flow risk of variability in interest payments on variable rate borrowings.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the fair value of a derivative that is designated as and meets all the required criteria for a cash flow hedge are recorded in accumulated other comprehensive loss and reclassified into earnings as the underlying hedged item affects earnings. Amounts reported in accumulated other comprehensive loss related to derivatives will be reclassified to interest expense as interest payments are made on the Company’s variable-rate debt. Cash flows from hedging transactions are classified in the same category as the cash flows from the respective hedged item. As of March 28, 2025 and September 27, 2024, $29.6 million and $36.5 million, respectively, of unrealized net of tax gains related to the interest rate swaps were included in "Accumulated other comprehensive loss" on the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84785"/>
                <wp:effectExtent l="0" t="0" r="0" b="0"/>
                <wp:wrapNone/>
                <wp:docPr id="18" name="Frame1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60" w:after="60"/>
        <w:jc w:val="left"/>
        <w:rPr/>
      </w:pPr>
      <w:hyperlink w:anchor="i34e28d6f97b94b71adbb4ccfd6dde94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unrealized gain (loss) arising from the Company's derivatives designated as cash flow hedging instruments on Other comprehensive loss (in thousands): </w:t>
      </w:r>
    </w:p>
    <w:tbl>
      <w:tblPr>
        <w:tblW w:w="8705" w:type="dxa"/>
        <w:jc w:val="left"/>
        <w:tblInd w:w="0" w:type="dxa"/>
        <w:tblLayout w:type="fixed"/>
        <w:tblCellMar>
          <w:top w:w="28" w:type="dxa"/>
          <w:left w:w="28" w:type="dxa"/>
          <w:bottom w:w="28" w:type="dxa"/>
          <w:right w:w="28" w:type="dxa"/>
        </w:tblCellMar>
      </w:tblPr>
      <w:tblGrid>
        <w:gridCol w:w="955"/>
        <w:gridCol w:w="840"/>
        <w:gridCol w:w="845"/>
        <w:gridCol w:w="238"/>
        <w:gridCol w:w="899"/>
        <w:gridCol w:w="123"/>
        <w:gridCol w:w="109"/>
        <w:gridCol w:w="109"/>
        <w:gridCol w:w="109"/>
        <w:gridCol w:w="255"/>
        <w:gridCol w:w="873"/>
        <w:gridCol w:w="132"/>
        <w:gridCol w:w="109"/>
        <w:gridCol w:w="109"/>
        <w:gridCol w:w="109"/>
        <w:gridCol w:w="255"/>
        <w:gridCol w:w="873"/>
        <w:gridCol w:w="132"/>
        <w:gridCol w:w="109"/>
        <w:gridCol w:w="109"/>
        <w:gridCol w:w="109"/>
        <w:gridCol w:w="304"/>
        <w:gridCol w:w="779"/>
        <w:gridCol w:w="221"/>
      </w:tblGrid>
      <w:tr>
        <w:trPr/>
        <w:tc>
          <w:tcPr>
            <w:tcW w:w="95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 2024</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Interest rate swap agreements</w:t>
            </w:r>
            <w:r>
              <w:rPr>
                <w:rFonts w:ascii="Times New Roman;sans-serif" w:hAnsi="Times New Roman;sans-serif"/>
                <w:b w:val="false"/>
                <w:color w:val="000000"/>
                <w:sz w:val="13"/>
              </w:rPr>
              <w:t>(1)</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(16,543)</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31,838 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016" w:type="dxa"/>
        <w:jc w:val="left"/>
        <w:tblInd w:w="0" w:type="dxa"/>
        <w:tblLayout w:type="fixed"/>
        <w:tblCellMar>
          <w:top w:w="28" w:type="dxa"/>
          <w:left w:w="28" w:type="dxa"/>
          <w:bottom w:w="28" w:type="dxa"/>
          <w:right w:w="28" w:type="dxa"/>
        </w:tblCellMar>
      </w:tblPr>
      <w:tblGrid>
        <w:gridCol w:w="124"/>
        <w:gridCol w:w="109"/>
        <w:gridCol w:w="109"/>
        <w:gridCol w:w="2825"/>
        <w:gridCol w:w="2825"/>
        <w:gridCol w:w="40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c>
          <w:tcPr>
            <w:tcW w:w="40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9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 in amounts driven by fluctuations in forward interest rates, the maturity of previously existing interest rate swaps and the initiation of new interest rate swaps.</w:t>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location and fair value, using Level 2 inputs (see Note 11 for a description of the fair value levels), of the Company's derivatives designated as hedging instruments on the Condensed Consolidated Balance Sheets (in thousands):</w:t>
      </w:r>
    </w:p>
    <w:tbl>
      <w:tblPr>
        <w:tblW w:w="9379" w:type="dxa"/>
        <w:jc w:val="left"/>
        <w:tblInd w:w="0" w:type="dxa"/>
        <w:tblLayout w:type="fixed"/>
        <w:tblCellMar>
          <w:top w:w="28" w:type="dxa"/>
          <w:left w:w="28" w:type="dxa"/>
          <w:bottom w:w="28" w:type="dxa"/>
          <w:right w:w="28" w:type="dxa"/>
        </w:tblCellMar>
      </w:tblPr>
      <w:tblGrid>
        <w:gridCol w:w="893"/>
        <w:gridCol w:w="788"/>
        <w:gridCol w:w="793"/>
        <w:gridCol w:w="109"/>
        <w:gridCol w:w="109"/>
        <w:gridCol w:w="109"/>
        <w:gridCol w:w="1024"/>
        <w:gridCol w:w="1024"/>
        <w:gridCol w:w="1026"/>
        <w:gridCol w:w="109"/>
        <w:gridCol w:w="109"/>
        <w:gridCol w:w="109"/>
        <w:gridCol w:w="255"/>
        <w:gridCol w:w="873"/>
        <w:gridCol w:w="132"/>
        <w:gridCol w:w="109"/>
        <w:gridCol w:w="109"/>
        <w:gridCol w:w="109"/>
        <w:gridCol w:w="309"/>
        <w:gridCol w:w="1056"/>
        <w:gridCol w:w="225"/>
      </w:tblGrid>
      <w:tr>
        <w:trPr/>
        <w:tc>
          <w:tcPr>
            <w:tcW w:w="89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27, 2024</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Prepayments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40,832 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41,158 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40,832 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49,292 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location of the gain reclassified from "Accumulated other comprehensive loss" into earnings for derivatives designated as hedging instruments on the Condensed Consolidated Statements of Income (in thousands): </w:t>
      </w:r>
    </w:p>
    <w:tbl>
      <w:tblPr>
        <w:tblW w:w="10205" w:type="dxa"/>
        <w:jc w:val="left"/>
        <w:tblInd w:w="0" w:type="dxa"/>
        <w:tblLayout w:type="fixed"/>
        <w:tblCellMar>
          <w:top w:w="28" w:type="dxa"/>
          <w:left w:w="28" w:type="dxa"/>
          <w:bottom w:w="28" w:type="dxa"/>
          <w:right w:w="28" w:type="dxa"/>
        </w:tblCellMar>
      </w:tblPr>
      <w:tblGrid>
        <w:gridCol w:w="734"/>
        <w:gridCol w:w="646"/>
        <w:gridCol w:w="648"/>
        <w:gridCol w:w="109"/>
        <w:gridCol w:w="109"/>
        <w:gridCol w:w="109"/>
        <w:gridCol w:w="569"/>
        <w:gridCol w:w="569"/>
        <w:gridCol w:w="570"/>
        <w:gridCol w:w="109"/>
        <w:gridCol w:w="109"/>
        <w:gridCol w:w="109"/>
        <w:gridCol w:w="229"/>
        <w:gridCol w:w="848"/>
        <w:gridCol w:w="118"/>
        <w:gridCol w:w="109"/>
        <w:gridCol w:w="109"/>
        <w:gridCol w:w="109"/>
        <w:gridCol w:w="229"/>
        <w:gridCol w:w="848"/>
        <w:gridCol w:w="118"/>
        <w:gridCol w:w="109"/>
        <w:gridCol w:w="109"/>
        <w:gridCol w:w="109"/>
        <w:gridCol w:w="229"/>
        <w:gridCol w:w="848"/>
        <w:gridCol w:w="118"/>
        <w:gridCol w:w="109"/>
        <w:gridCol w:w="109"/>
        <w:gridCol w:w="109"/>
        <w:gridCol w:w="228"/>
        <w:gridCol w:w="845"/>
        <w:gridCol w:w="176"/>
      </w:tblGrid>
      <w:tr>
        <w:trPr/>
        <w:tc>
          <w:tcPr>
            <w:tcW w:w="73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2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Income Statement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 2024</w:t>
            </w:r>
          </w:p>
        </w:tc>
      </w:tr>
      <w:tr>
        <w:trPr/>
        <w:tc>
          <w:tcPr>
            <w:tcW w:w="2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(19,199)</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(25,801)</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(37,965)</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28, 2025, the Company has a Euro denominated term loan in the amount of €91.7 million. The term loan was designated as a hedge of the Company's net Euro currency exposure represented by certain holdings in the Company's European affiliates.</w:t>
      </w:r>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At March 28, 2025, the net of tax gain expected to be reclassified from "Accumulated other comprehensive loss" into earnings over the next twelve months based on current market rates is approximately $17.9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NOTE 5. REVENUE RECOGNITION:</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generates revenue through sales of food and facility services to customers based on written contracts at the locations it serves. The Company provides food and beverage services, including catering and retail services, and facilities services, including plant operations and maintenance, custodial, housekeeping, landscaping and other services. In accordance with the Accounting Standards Codification ("ASC") 606, the Company accounts for a customer contract when both parties have approved the arrangement and are committed to perform their respective obligations, each party's rights can be identified, payment terms can be identified, the contract has commercial substance and it is probable the Company will collect substantially all of the consideration to which it is entitled. Revenue is recognized upon the transfer of control of the promised product or service to customers in an amount that reflects the consideration the Company expects to receive in exchange for those goods and services.</w:t>
      </w:r>
    </w:p>
    <w:p>
      <w:pPr>
        <w:pStyle w:val="TextBody"/>
        <w:bidi w:val="0"/>
        <w:spacing w:lineRule="auto" w:line="288" w:before="10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Performance Obligations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revenue when its performance obligation is satisfied. Each contract generally has one performance obligation, which is satisfied over time. The Company primarily accounts for its performance obligations under the series guidance, using the as-invoiced practical expedient when applicable. The Company applies the right to invoice practical expedient to record revenue as the services are provided, given the nature of the services provided and the frequency of billing under the customer contracts. Under this practical expedient, the Company recognizes revenue in an amount that corresponds directly with the value to the customer of the Company’s performance completed to date and for which the Company has the right to invoice the customer. Certain arrangements include performance obligations which include variable consideration (primarily per transaction fees). For these arrangements, the Company does not need to estimate the variable consideration for the contract and allocate to the entire performance obligation; therefore, the variable fees are recognized in the period they are earned.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84785"/>
                <wp:effectExtent l="0" t="0" r="0" b="0"/>
                <wp:wrapNone/>
                <wp:docPr id="19" name="Frame1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60" w:after="60"/>
        <w:jc w:val="left"/>
        <w:rPr/>
      </w:pPr>
      <w:hyperlink w:anchor="i34e28d6f97b94b71adbb4ccfd6dde94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10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Disaggregation of Revenue</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revenue disaggregated by revenue source (in millions):</w:t>
      </w:r>
    </w:p>
    <w:tbl>
      <w:tblPr>
        <w:tblW w:w="9137" w:type="dxa"/>
        <w:jc w:val="left"/>
        <w:tblInd w:w="0" w:type="dxa"/>
        <w:tblLayout w:type="fixed"/>
        <w:tblCellMar>
          <w:top w:w="28" w:type="dxa"/>
          <w:left w:w="28" w:type="dxa"/>
          <w:bottom w:w="28" w:type="dxa"/>
          <w:right w:w="28" w:type="dxa"/>
        </w:tblCellMar>
      </w:tblPr>
      <w:tblGrid>
        <w:gridCol w:w="995"/>
        <w:gridCol w:w="873"/>
        <w:gridCol w:w="877"/>
        <w:gridCol w:w="109"/>
        <w:gridCol w:w="109"/>
        <w:gridCol w:w="109"/>
        <w:gridCol w:w="245"/>
        <w:gridCol w:w="889"/>
        <w:gridCol w:w="126"/>
        <w:gridCol w:w="109"/>
        <w:gridCol w:w="109"/>
        <w:gridCol w:w="109"/>
        <w:gridCol w:w="245"/>
        <w:gridCol w:w="889"/>
        <w:gridCol w:w="126"/>
        <w:gridCol w:w="109"/>
        <w:gridCol w:w="109"/>
        <w:gridCol w:w="109"/>
        <w:gridCol w:w="245"/>
        <w:gridCol w:w="889"/>
        <w:gridCol w:w="126"/>
        <w:gridCol w:w="109"/>
        <w:gridCol w:w="109"/>
        <w:gridCol w:w="109"/>
        <w:gridCol w:w="243"/>
        <w:gridCol w:w="884"/>
        <w:gridCol w:w="177"/>
      </w:tblGrid>
      <w:tr>
        <w:trPr/>
        <w:tc>
          <w:tcPr>
            <w:tcW w:w="99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 2024</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Business &amp; Industry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Education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2,152.6 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Healthcare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Sports, Leisure &amp; Corrections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Facilities &amp;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FSS 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3,056.4 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3,043.4 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6,357.4 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6,256.2 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Rest of World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FSS 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1,222.9 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1,156.5 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2,351.5 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4,279.3 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4,199.9 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8,831.4 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8,607.7 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 Balances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is recognized in "Accrued expenses and other current liabilities" and "Other Noncurrent Liabilities" on the Condensed Consolidated Balance Sheets when the Company has received consideration, or has the right to receive consideration, in advance of the transfer of the performance obligation of the contract to the customer, primarily prepaid meal plans. The consideration received remains a liability until the goods or services have been provided to the customer. The Company classifies deferred income as current if the deferred income is expected to be recognized in the next 12 months or as noncurrent if the deferred income is expected to be recognized in excess of the next 12 months. If the Company cannot render its performance obligation according to contract terms after receiving the consideration in advance, amounts may be contractually required to be refunded to the customer.</w:t>
      </w:r>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March 28, 2025, deferred income increased related to customer prepayments and decreased related to income recognized during the period as a result of satisfying the performance obligation or return of funds related to non-performance. For the six months ended March 28, 2025, the Company recognized $247.2 million of revenue that was included in deferred income at the beginning of the period. Deferred income balances are summarized in the following table (in millions): </w:t>
      </w:r>
    </w:p>
    <w:tbl>
      <w:tblPr>
        <w:tblW w:w="4957" w:type="dxa"/>
        <w:jc w:val="left"/>
        <w:tblInd w:w="0" w:type="dxa"/>
        <w:tblLayout w:type="fixed"/>
        <w:tblCellMar>
          <w:top w:w="28" w:type="dxa"/>
          <w:left w:w="28" w:type="dxa"/>
          <w:bottom w:w="28" w:type="dxa"/>
          <w:right w:w="28" w:type="dxa"/>
        </w:tblCellMar>
      </w:tblPr>
      <w:tblGrid>
        <w:gridCol w:w="527"/>
        <w:gridCol w:w="463"/>
        <w:gridCol w:w="464"/>
        <w:gridCol w:w="109"/>
        <w:gridCol w:w="109"/>
        <w:gridCol w:w="109"/>
        <w:gridCol w:w="284"/>
        <w:gridCol w:w="829"/>
        <w:gridCol w:w="146"/>
        <w:gridCol w:w="109"/>
        <w:gridCol w:w="109"/>
        <w:gridCol w:w="109"/>
        <w:gridCol w:w="342"/>
        <w:gridCol w:w="999"/>
        <w:gridCol w:w="249"/>
      </w:tblGrid>
      <w:tr>
        <w:trPr/>
        <w:tc>
          <w:tcPr>
            <w:tcW w:w="52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27, 2024</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352.5 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NOTE 6. INCOME TAXES: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March 29, 2024, the Company recorded a valuation allowance adjustment to the "Provision for Income Taxes" on the Condensed Consolidated Statements of Income of $7.1 million against certain foreign tax credits, as it is more likely than not a tax benefit will not be realized due to the reduction of future forecasted foreign income as a result of the separation and distribution of the Uniform segment.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In 2021, the Organization for Economic Co-operation &amp; Development (“OECD”) released the Pillar Two Global Anti-Base Erosion Model Rules (“Pillar Two”). Under Pillar Two, multinational companies with consolidated revenue greater than €750 million will be subject to a minimum effective tax rate of 15.0% within each respective country. Guided by the OECD framework, more than 140 countries have agreed to enact Pillar Two legislation. The Company currently operates in several countries which will be subject to Pillar Two. The OECD has since issued administrative guidance providing transition and safe harbor rules around the implementation of Pillar Two rules which apply to the Company for fiscal years 2025 through 2027. The Company currently expects to meet the safe harbor requirements in each country subject to Pillar Two in which it operates but will continue to monitor and reflect the impact of legislative changes in future periods, as appropriate. There was no material impact on the condensed consolidated financial statements, and the Company does not expect the impact will be material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84785"/>
                <wp:effectExtent l="0" t="0" r="0" b="0"/>
                <wp:wrapNone/>
                <wp:docPr id="20" name="Frame1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60" w:after="60"/>
        <w:jc w:val="left"/>
        <w:rPr/>
      </w:pPr>
      <w:hyperlink w:anchor="i34e28d6f97b94b71adbb4ccfd6dde94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NOTE 7. STOCKHOLDERS' EQUITY:</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On April 29, 2025, a $0.105 dividend per share of common stock was declared, payable on May 28, 2025, to stockholders of record on the close of business on May 14, 2025.</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5, 2024, the Board of Directors approved a share repurchase program under which the Company is authorized to repurchase up to $500.0 million of Aramark's outstanding common stock. Under the share repurchase program, repurchases can be made from time to time using a variety of methods, including open market purchases, privately negotiated transactions, accelerated share repurchases and Rule 10b5-1 trading plans. The size and timing of any repurchases will depend on a number of factors, including share price, general business and market conditions and other factors. Shares repurchased by the Company are accounted for under the treasury cost method. The value of the repurchased shares includes the 1% excise tax accrual as a result of the Inflation Reduction Act of 2022. The Company made an accounting policy election to record the value of the repurchased shares, including the 1% excise tax accrual, to treasury stock. The share repurchase program does not have a fixed expiration date and may be terminated at any time. During the six months ended March 28, 2025, the Company repurchased 3.1 million shares of its common stock for $111.3 million.</w:t>
      </w:r>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100.0 million shares of preferred stock authorized, with a par value of $0.01 per share. At March 28, 2025 and September 27, 2024, zero shares of preferred stock were issued or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NOTE 8. EARNINGS PER SHARE:</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is computed using the weighted average number of common shares outstanding during the periods presented. Diluted earnings per share is computed using the weighted average number of common shares outstanding adjusted to include the potentially dilutive effect of stock awards.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earnings per share attributable to the Company's stockholders (in thousands, except per share data):</w:t>
      </w:r>
    </w:p>
    <w:tbl>
      <w:tblPr>
        <w:tblW w:w="10205" w:type="dxa"/>
        <w:jc w:val="left"/>
        <w:tblInd w:w="0" w:type="dxa"/>
        <w:tblLayout w:type="fixed"/>
        <w:tblCellMar>
          <w:top w:w="28" w:type="dxa"/>
          <w:left w:w="28" w:type="dxa"/>
          <w:bottom w:w="28" w:type="dxa"/>
          <w:right w:w="28" w:type="dxa"/>
        </w:tblCellMar>
      </w:tblPr>
      <w:tblGrid>
        <w:gridCol w:w="1498"/>
        <w:gridCol w:w="1241"/>
        <w:gridCol w:w="1250"/>
        <w:gridCol w:w="250"/>
        <w:gridCol w:w="856"/>
        <w:gridCol w:w="129"/>
        <w:gridCol w:w="109"/>
        <w:gridCol w:w="109"/>
        <w:gridCol w:w="109"/>
        <w:gridCol w:w="250"/>
        <w:gridCol w:w="856"/>
        <w:gridCol w:w="129"/>
        <w:gridCol w:w="109"/>
        <w:gridCol w:w="109"/>
        <w:gridCol w:w="109"/>
        <w:gridCol w:w="229"/>
        <w:gridCol w:w="899"/>
        <w:gridCol w:w="117"/>
        <w:gridCol w:w="109"/>
        <w:gridCol w:w="109"/>
        <w:gridCol w:w="109"/>
        <w:gridCol w:w="211"/>
        <w:gridCol w:w="721"/>
        <w:gridCol w:w="588"/>
      </w:tblGrid>
      <w:tr>
        <w:trPr/>
        <w:tc>
          <w:tcPr>
            <w:tcW w:w="1498"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 2024</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w:t>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Aramark stockholders</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61,854 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53,449 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167,473 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81,985 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w:t>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weighted-average shares outstanding</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264,811 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262,841 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264,846 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262,447 </w:t>
            </w:r>
          </w:p>
        </w:tc>
        <w:tc>
          <w:tcPr>
            <w:tcW w:w="588" w:type="dxa"/>
            <w:tcBorders/>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2,328 </w:t>
            </w:r>
          </w:p>
        </w:tc>
        <w:tc>
          <w:tcPr>
            <w:tcW w:w="5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weighted-average shares outstanding</w:t>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267,420 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265,282 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268,076 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264,775 </w:t>
            </w:r>
          </w:p>
        </w:tc>
        <w:tc>
          <w:tcPr>
            <w:tcW w:w="5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w:t>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Aramark stockholders</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0.31 </w:t>
            </w:r>
          </w:p>
        </w:tc>
        <w:tc>
          <w:tcPr>
            <w:tcW w:w="5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w:t>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Aramark stockholders</w:t>
            </w:r>
          </w:p>
        </w:tc>
        <w:tc>
          <w:tcPr>
            <w:tcW w:w="25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0.23 </w:t>
            </w:r>
          </w:p>
        </w:tc>
        <w:tc>
          <w:tcPr>
            <w:tcW w:w="12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12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0.62 </w:t>
            </w:r>
          </w:p>
        </w:tc>
        <w:tc>
          <w:tcPr>
            <w:tcW w:w="11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0.31 </w:t>
            </w:r>
          </w:p>
        </w:tc>
        <w:tc>
          <w:tcPr>
            <w:tcW w:w="58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shares that were outstanding but were not included in the diluted earnings per common share (in millions):</w:t>
      </w:r>
    </w:p>
    <w:tbl>
      <w:tblPr>
        <w:tblW w:w="8623" w:type="dxa"/>
        <w:jc w:val="left"/>
        <w:tblInd w:w="0" w:type="dxa"/>
        <w:tblLayout w:type="fixed"/>
        <w:tblCellMar>
          <w:top w:w="28" w:type="dxa"/>
          <w:left w:w="28" w:type="dxa"/>
          <w:bottom w:w="28" w:type="dxa"/>
          <w:right w:w="28" w:type="dxa"/>
        </w:tblCellMar>
      </w:tblPr>
      <w:tblGrid>
        <w:gridCol w:w="804"/>
        <w:gridCol w:w="706"/>
        <w:gridCol w:w="709"/>
        <w:gridCol w:w="419"/>
        <w:gridCol w:w="419"/>
        <w:gridCol w:w="421"/>
        <w:gridCol w:w="178"/>
        <w:gridCol w:w="178"/>
        <w:gridCol w:w="178"/>
        <w:gridCol w:w="419"/>
        <w:gridCol w:w="419"/>
        <w:gridCol w:w="421"/>
        <w:gridCol w:w="109"/>
        <w:gridCol w:w="109"/>
        <w:gridCol w:w="109"/>
        <w:gridCol w:w="419"/>
        <w:gridCol w:w="419"/>
        <w:gridCol w:w="421"/>
        <w:gridCol w:w="154"/>
        <w:gridCol w:w="154"/>
        <w:gridCol w:w="154"/>
        <w:gridCol w:w="380"/>
        <w:gridCol w:w="380"/>
        <w:gridCol w:w="544"/>
      </w:tblGrid>
      <w:tr>
        <w:trPr/>
        <w:tc>
          <w:tcPr>
            <w:tcW w:w="8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28, 2025</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28, 2025</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 2024</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Share-based awards</w:t>
            </w:r>
            <w:r>
              <w:rPr>
                <w:rFonts w:ascii="Times New Roman;sans-serif" w:hAnsi="Times New Roman;sans-serif"/>
                <w:b w:val="false"/>
                <w:color w:val="000000"/>
                <w:sz w:val="13"/>
              </w:rPr>
              <w:t>(1)</w:t>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Performance stock units</w:t>
            </w:r>
            <w:r>
              <w:rPr>
                <w:rFonts w:ascii="Times New Roman;sans-serif" w:hAnsi="Times New Roman;sans-serif"/>
                <w:b w:val="false"/>
                <w:color w:val="000000"/>
                <w:sz w:val="13"/>
              </w:rPr>
              <w:t>(2)</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772" w:type="dxa"/>
        <w:jc w:val="left"/>
        <w:tblInd w:w="0" w:type="dxa"/>
        <w:tblLayout w:type="fixed"/>
        <w:tblCellMar>
          <w:top w:w="28" w:type="dxa"/>
          <w:left w:w="28" w:type="dxa"/>
          <w:bottom w:w="28" w:type="dxa"/>
          <w:right w:w="28" w:type="dxa"/>
        </w:tblCellMar>
      </w:tblPr>
      <w:tblGrid>
        <w:gridCol w:w="124"/>
        <w:gridCol w:w="109"/>
        <w:gridCol w:w="109"/>
        <w:gridCol w:w="2464"/>
        <w:gridCol w:w="2464"/>
        <w:gridCol w:w="35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4" w:type="dxa"/>
            <w:tcBorders/>
            <w:vAlign w:val="center"/>
          </w:tcPr>
          <w:p>
            <w:pPr>
              <w:pStyle w:val="TableContents"/>
              <w:bidi w:val="0"/>
              <w:spacing w:before="0" w:after="283"/>
              <w:jc w:val="left"/>
              <w:rPr>
                <w:sz w:val="4"/>
                <w:szCs w:val="4"/>
              </w:rPr>
            </w:pPr>
            <w:r>
              <w:rPr>
                <w:sz w:val="4"/>
                <w:szCs w:val="4"/>
              </w:rPr>
            </w:r>
          </w:p>
        </w:tc>
        <w:tc>
          <w:tcPr>
            <w:tcW w:w="2464" w:type="dxa"/>
            <w:tcBorders/>
            <w:vAlign w:val="center"/>
          </w:tcPr>
          <w:p>
            <w:pPr>
              <w:pStyle w:val="TableContents"/>
              <w:bidi w:val="0"/>
              <w:spacing w:before="0" w:after="283"/>
              <w:jc w:val="left"/>
              <w:rPr>
                <w:sz w:val="4"/>
                <w:szCs w:val="4"/>
              </w:rPr>
            </w:pPr>
            <w:r>
              <w:rPr>
                <w:sz w:val="4"/>
                <w:szCs w:val="4"/>
              </w:rPr>
            </w:r>
          </w:p>
        </w:tc>
        <w:tc>
          <w:tcPr>
            <w:tcW w:w="35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8430"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Share-based awards were not included in the computation of diluted earnings per common share, as their effect would have been antidilutive.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8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Performance stock units were not included in the computation of diluted earnings per common share, as the performance targets were not yet met.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84785"/>
                <wp:effectExtent l="0" t="0" r="0" b="0"/>
                <wp:wrapNone/>
                <wp:docPr id="21" name="Frame2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60" w:after="60"/>
        <w:jc w:val="left"/>
        <w:rPr/>
      </w:pPr>
      <w:hyperlink w:anchor="i34e28d6f97b94b71adbb4ccfd6dde94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NOTE 9. COMMITMENTS AND CONTINGENCIES: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and its subsidiaries are a party to various legal actions, proceedings and investigations involving claims incidental to the conduct of their business, including actions by clients, customers, employees, government entities and third parties, including under federal, state, international, national, provincial and local employment laws, wage and hour laws, discrimination laws, immigration laws, human health and safety laws, import and export controls and customs laws, environmental laws, environmental, social and governance related non-financial disclosure laws, false claims or whistleblower statutes, minority, women and disadvantaged business enterprise statutes, tax codes, antitrust and competition laws, consumer protection statutes, procurement regulations, intellectual property laws, food safety and sanitation laws, cost and accounting principles, the Foreign Corrupt Practices Act, the U.K. Bribery Act, other anti-corruption laws, lobbying laws, motor carrier safety laws, data privacy and security laws and alcohol licensing and service laws, or alleging negligence and/or breaches of contractual and other obligations. Based on information currently available, advice of counsel, available insurance coverage, established reserves and other resources, the Company does not believe that any such actions are likely to be, individually or in the aggregate, material to its business, financial condition, results of operations or cash flows. However, in the event of unexpected further developments, it is possible that the ultimate resolution of these matters, or other similar matters, if unfavorable, may be materially adverse to the Company's business, financial condition, results of operations or cash flows.</w:t>
      </w:r>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On May 17, 2024, a purported shareholder of Vestis, the Company's former Uniform segment that was spun-off from Aramark in September 2023, commenced a putative class action lawsuit against Vestis and certain of its officers in the United States District Court for the Northern District of Georgia on behalf of purchasers of Vestis’ common stock between October 2, 2023 and May 1, 2024. The complaint alleges claims under Sections 10(b) and 20(a) of the Securities Exchange Act of 1934, based on allegedly false or misleading statements generally related to Vestis’ business and operations, pricing practices, and financial results and outlook. The lawsuit seeks unspecified damages and other relief. On November 22, 2024, the complaint was amended to add the Company and its Chief Executive Officer as additional defendants. The Company intends to vigorously defend this matter.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NOTE 10. BUSINESS SEGMENTS: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reports its operating results in two reportable segments: FSS United States and FSS International. The Company defines its segments as those operations whose results the chief operating decision maker, identified as the Chief Executive Officer, regularly reviews to analyze performance and allocate resources. Generally, on an annual basis, approximately 84% of the global revenue is related to food services and 16% is related to facilities services.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information by segment is as follows (in millions):</w:t>
      </w:r>
    </w:p>
    <w:tbl>
      <w:tblPr>
        <w:tblW w:w="7625" w:type="dxa"/>
        <w:jc w:val="left"/>
        <w:tblInd w:w="0" w:type="dxa"/>
        <w:tblLayout w:type="fixed"/>
        <w:tblCellMar>
          <w:top w:w="28" w:type="dxa"/>
          <w:left w:w="28" w:type="dxa"/>
          <w:bottom w:w="28" w:type="dxa"/>
          <w:right w:w="28" w:type="dxa"/>
        </w:tblCellMar>
      </w:tblPr>
      <w:tblGrid>
        <w:gridCol w:w="564"/>
        <w:gridCol w:w="496"/>
        <w:gridCol w:w="500"/>
        <w:gridCol w:w="245"/>
        <w:gridCol w:w="889"/>
        <w:gridCol w:w="126"/>
        <w:gridCol w:w="109"/>
        <w:gridCol w:w="109"/>
        <w:gridCol w:w="109"/>
        <w:gridCol w:w="245"/>
        <w:gridCol w:w="889"/>
        <w:gridCol w:w="126"/>
        <w:gridCol w:w="109"/>
        <w:gridCol w:w="109"/>
        <w:gridCol w:w="109"/>
        <w:gridCol w:w="245"/>
        <w:gridCol w:w="889"/>
        <w:gridCol w:w="126"/>
        <w:gridCol w:w="109"/>
        <w:gridCol w:w="109"/>
        <w:gridCol w:w="109"/>
        <w:gridCol w:w="243"/>
        <w:gridCol w:w="884"/>
        <w:gridCol w:w="177"/>
      </w:tblGrid>
      <w:tr>
        <w:trPr/>
        <w:tc>
          <w:tcPr>
            <w:tcW w:w="56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Revenue</w:t>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 2024</w:t>
            </w:r>
          </w:p>
        </w:tc>
      </w:tr>
      <w:tr>
        <w:trPr/>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United States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3,056.4 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3,043.4 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6,357.4 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6,256.2 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International</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4,279.3 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4,199.9 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8,831.4 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8,607.7 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868" w:type="dxa"/>
        <w:jc w:val="center"/>
        <w:tblInd w:w="0" w:type="dxa"/>
        <w:tblLayout w:type="fixed"/>
        <w:tblCellMar>
          <w:top w:w="28" w:type="dxa"/>
          <w:left w:w="28" w:type="dxa"/>
          <w:bottom w:w="28" w:type="dxa"/>
          <w:right w:w="28" w:type="dxa"/>
        </w:tblCellMar>
      </w:tblPr>
      <w:tblGrid>
        <w:gridCol w:w="1015"/>
        <w:gridCol w:w="892"/>
        <w:gridCol w:w="898"/>
        <w:gridCol w:w="284"/>
        <w:gridCol w:w="829"/>
        <w:gridCol w:w="146"/>
        <w:gridCol w:w="109"/>
        <w:gridCol w:w="109"/>
        <w:gridCol w:w="109"/>
        <w:gridCol w:w="284"/>
        <w:gridCol w:w="829"/>
        <w:gridCol w:w="146"/>
        <w:gridCol w:w="109"/>
        <w:gridCol w:w="109"/>
        <w:gridCol w:w="109"/>
        <w:gridCol w:w="284"/>
        <w:gridCol w:w="829"/>
        <w:gridCol w:w="146"/>
        <w:gridCol w:w="109"/>
        <w:gridCol w:w="109"/>
        <w:gridCol w:w="109"/>
        <w:gridCol w:w="280"/>
        <w:gridCol w:w="820"/>
        <w:gridCol w:w="205"/>
      </w:tblGrid>
      <w:tr>
        <w:trPr/>
        <w:tc>
          <w:tcPr>
            <w:tcW w:w="101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Income</w:t>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 2024</w:t>
            </w:r>
          </w:p>
        </w:tc>
      </w:tr>
      <w:tr>
        <w:trPr/>
        <w:tc>
          <w:tcPr>
            <w:tcW w:w="28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United States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319.1 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International</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Operating Income</w:t>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407.9 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Corporate</w:t>
            </w:r>
            <w:r>
              <w:rPr>
                <w:rFonts w:ascii="Times New Roman;sans-serif" w:hAnsi="Times New Roman;sans-serif"/>
                <w:b w:val="false"/>
                <w:color w:val="000000"/>
                <w:sz w:val="13"/>
              </w:rPr>
              <w:t>(1)</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Income</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391.4 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326.0 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 Corporate includes general expenses not specifically allocated to an individual segment and share-based compensation expense for equity awards. </w:t>
      </w:r>
    </w:p>
    <w:tbl>
      <w:tblPr>
        <w:tblW w:w="9543" w:type="dxa"/>
        <w:jc w:val="center"/>
        <w:tblInd w:w="0" w:type="dxa"/>
        <w:tblLayout w:type="fixed"/>
        <w:tblCellMar>
          <w:top w:w="28" w:type="dxa"/>
          <w:left w:w="28" w:type="dxa"/>
          <w:bottom w:w="28" w:type="dxa"/>
          <w:right w:w="28" w:type="dxa"/>
        </w:tblCellMar>
      </w:tblPr>
      <w:tblGrid>
        <w:gridCol w:w="1261"/>
        <w:gridCol w:w="1108"/>
        <w:gridCol w:w="1111"/>
        <w:gridCol w:w="284"/>
        <w:gridCol w:w="829"/>
        <w:gridCol w:w="146"/>
        <w:gridCol w:w="109"/>
        <w:gridCol w:w="109"/>
        <w:gridCol w:w="109"/>
        <w:gridCol w:w="284"/>
        <w:gridCol w:w="829"/>
        <w:gridCol w:w="146"/>
        <w:gridCol w:w="109"/>
        <w:gridCol w:w="109"/>
        <w:gridCol w:w="109"/>
        <w:gridCol w:w="284"/>
        <w:gridCol w:w="829"/>
        <w:gridCol w:w="146"/>
        <w:gridCol w:w="109"/>
        <w:gridCol w:w="109"/>
        <w:gridCol w:w="109"/>
        <w:gridCol w:w="280"/>
        <w:gridCol w:w="820"/>
        <w:gridCol w:w="205"/>
      </w:tblGrid>
      <w:tr>
        <w:trPr/>
        <w:tc>
          <w:tcPr>
            <w:tcW w:w="126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Reconciliation to Income Before Income Taxes</w:t>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 2024</w:t>
            </w:r>
          </w:p>
        </w:tc>
      </w:tr>
      <w:tr>
        <w:trPr/>
        <w:tc>
          <w:tcPr>
            <w:tcW w:w="34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Income</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391.4 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326.0 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84785"/>
                <wp:effectExtent l="0" t="0" r="0" b="0"/>
                <wp:wrapNone/>
                <wp:docPr id="22" name="Frame2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60" w:after="60"/>
        <w:jc w:val="left"/>
        <w:rPr/>
      </w:pPr>
      <w:hyperlink w:anchor="i34e28d6f97b94b71adbb4ccfd6dde94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ARAMARK AND SUBSIDIARIES </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NOTE 11. FAIR VALUE OF FINANCIAL ASSETS AND FINANCIAL LIABILITIES: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Fair value is defined as the price that would be received to sell an asset or paid to transfer a liability in an orderly transaction between market participants at the measurement date. Assets and liabilities recorded at fair value are classified based upon the level of judgment associated with the inputs used to measure their fair value. The hierarchical levels related to the subjectivity of the valuation inputs are defined as follows: </w:t>
      </w:r>
    </w:p>
    <w:p>
      <w:pPr>
        <w:pStyle w:val="TextBody"/>
        <w:bidi w:val="0"/>
        <w:spacing w:lineRule="auto" w:line="288" w:before="100" w:after="60"/>
        <w:ind w:left="0" w:right="0" w:hanging="360"/>
        <w:jc w:val="left"/>
        <w:rPr>
          <w:color w:val="000000"/>
        </w:rPr>
      </w:pPr>
      <w:r>
        <w:rPr>
          <w:color w:val="000000"/>
        </w:rPr>
        <w:t>•    </w:t>
      </w:r>
      <w:r>
        <w:rPr>
          <w:rFonts w:ascii="Times New Roman;sans-serif" w:hAnsi="Times New Roman;sans-serif"/>
          <w:b w:val="false"/>
          <w:color w:val="000000"/>
          <w:sz w:val="20"/>
        </w:rPr>
        <w:t>Level 1—inputs to the valuation methodology are quoted prices (unadjusted) for identical assets or liabilities in active markets</w:t>
      </w:r>
    </w:p>
    <w:p>
      <w:pPr>
        <w:pStyle w:val="TextBody"/>
        <w:bidi w:val="0"/>
        <w:spacing w:lineRule="auto" w:line="288" w:before="100" w:after="60"/>
        <w:ind w:left="0" w:right="0" w:hanging="360"/>
        <w:jc w:val="left"/>
        <w:rPr>
          <w:color w:val="000000"/>
        </w:rPr>
      </w:pPr>
      <w:r>
        <w:rPr>
          <w:color w:val="000000"/>
        </w:rPr>
        <w:t>•    </w:t>
      </w:r>
      <w:r>
        <w:rPr>
          <w:rFonts w:ascii="Times New Roman;sans-serif" w:hAnsi="Times New Roman;sans-serif"/>
          <w:b w:val="false"/>
          <w:color w:val="000000"/>
          <w:sz w:val="20"/>
        </w:rPr>
        <w:t>Level 2—inputs to the valuation methodology include quoted prices for similar assets and liabilities in active markets and inputs that are observable for the asset or liability, either directly or indirectly, for substantially the full term of the financial instrument</w:t>
      </w:r>
    </w:p>
    <w:p>
      <w:pPr>
        <w:pStyle w:val="TextBody"/>
        <w:bidi w:val="0"/>
        <w:spacing w:lineRule="auto" w:line="288" w:before="100" w:after="60"/>
        <w:ind w:left="0" w:right="0" w:hanging="360"/>
        <w:jc w:val="left"/>
        <w:rPr>
          <w:color w:val="000000"/>
        </w:rPr>
      </w:pPr>
      <w:r>
        <w:rPr>
          <w:color w:val="000000"/>
        </w:rPr>
        <w:t>•    </w:t>
      </w:r>
      <w:r>
        <w:rPr>
          <w:rFonts w:ascii="Times New Roman;sans-serif" w:hAnsi="Times New Roman;sans-serif"/>
          <w:b w:val="false"/>
          <w:color w:val="000000"/>
          <w:sz w:val="20"/>
        </w:rPr>
        <w:t xml:space="preserve">Level 3—inputs to the valuation methodology are unobservable and significant to the fair value measurement </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Recurring Fair Value Measurements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financial instruments consist primarily of cash and cash equivalents, marketable securities, accounts receivable, accounts payable, borrowings and derivatives. Management believes that the carrying value of cash and cash equivalents, marketable securities, accounts receivable and accounts payable are representative of their respective fair values. In conjunction with the fair value measurement of the derivative instruments, the Company made an accounting policy election to measure the credit risk of its derivative instruments that are subject to master netting agreements on a net basis by counterparty portfolio, as the gross values would not be materially different. The fair value of the Company's debt at March 28, 2025 and September 27, 2024 was $6,541.3 million and $5,300.7 million, respectively. The carrying value of the Company's debt at March 28, 2025 and September 27, 2024 was $6,532.9 million and $5,271.5 million, respectively. The fair values were computed using market quotes, if available, or based on discounted cash flows using market interest rates as of the end of the respective periods. The inputs utilized in estimating the fair value of the Company's debt have been classified as Level 2 in the fair value hierarchy levels.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the Union Supply acquisition completed in fiscal 2022, the Company recorded a contingent consideration obligation. During the six months ended March 28, 2025, the Company adjusted the contingent consideration liability, resulting in expense of $11.1 million, which is included in "Cost of services provided (exclusive of depreciation and amortization)" on the Condensed Consolidated Statements of Income. The earnout period has ended and the contingent consideration liability at March 28, 2025 and September 27, 2024 was zero. The contingent consideration liability was fully paid out in the second quarter of fiscal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84785"/>
                <wp:effectExtent l="0" t="0" r="0" b="0"/>
                <wp:wrapNone/>
                <wp:docPr id="23" name="Frame2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60" w:after="60"/>
        <w:jc w:val="left"/>
        <w:rPr/>
      </w:pPr>
      <w:hyperlink w:anchor="i34e28d6f97b94b71adbb4ccfd6dde94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Item 2.</w:t>
      </w:r>
    </w:p>
    <w:p>
      <w:pPr>
        <w:pStyle w:val="TextBody"/>
        <w:bidi w:val="0"/>
        <w:spacing w:lineRule="auto" w:line="288" w:before="100" w:after="6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OF FINANCIAL CONDITION AND RESULTS OF OPERATIONS</w:t>
      </w:r>
    </w:p>
    <w:p>
      <w:pPr>
        <w:pStyle w:val="TextBody"/>
        <w:bidi w:val="0"/>
        <w:spacing w:lineRule="auto" w:line="288" w:before="10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Aramark's (the "Company," "we," "our" and "us") financial condition and results of operations for the three and six months ended March 28, 2025 and March 29, 2024 should be read in conjunction with our audited consolidated financial statements and the notes to those statements for the fiscal year ended September 27, 2024 included in our Annual Report on Form 10-K, filed with the Securities and Exchange Commission (the "SEC") on November 19, 2024.</w:t>
      </w:r>
    </w:p>
    <w:p>
      <w:pPr>
        <w:pStyle w:val="TextBody"/>
        <w:bidi w:val="0"/>
        <w:spacing w:lineRule="auto" w:line="288" w:before="10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Our discussion contains forward-looking statements, such as our plans, objectives, opinions, expectations, anticipations, intentions and beliefs, that are based upon our current expectations but that involve risks and uncertainties. Actual results and the timing of events could differ materially from those anticipated in those forward-looking statements as a result of a number of factors, including those described under the heading "Special Note About Forward-Looking Statements" and elsewhere in this Quarterly Report on Form 10-Q. In the following discussion and analysis of financial condition and results of operations, certain financial measures may be considered "non-GAAP financial measures" under SEC rules. These rules require supplemental explanation and reconciliation, which is provided elsewhere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We are a leading global provider of food and facilities services to education, healthcare, business &amp; industry and sports, leisure &amp; corrections clients. Our largest market is the United States, which is supplemented by an additional 15-country footprint. We also provide our services on a more limited basis in several additional countries and in offshore locations. Through our established brand, broad geographic presence and employees, we anchor our business in our partnerships with thousands of clients. Through these partnerships, we serve millions of consumers including students, patients, employees, sports fans and guests worldwide. We operate our business in two reportable segments: Food and Support Services United States ("FSS United States") and Food and Support Services International ("FSS International").</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Our FSS United States reportable segment operations focus on serving clients in five principal sectors: Business &amp; Industry, Education, Healthcare, Sports, Leisure &amp; Corrections and Facilities &amp; Other. Our FSS International reportable segment provides a similar range of services as those provided to our FSS United States clients and operates in the same sectors. Administrative expenses not allocated to our reportable segments are presented separately as corporate expenses.</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Current Business Environment</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Recent developments regarding tariffs and global trade have resulted in increased volatility and uncertainty for macroeconomic conditions. For the first half of the fiscal year, we saw global inflationary costs in product, energy and labor and market interest rates moderating and experienced volatility in foreign currencies. Given the uncertainty of tariff policy and the resulting impact on current and future macroeconomic conditions, we may see continued volatility in foreign currencies as well as fluctuating trends in global inflationary costs and market interest rates in the near term. We regularly evaluate and believe we take appropriate actions when necessary to mitigate the risk in these areas. These actions include management of operating costs, including supply chain initiatives and pricing actions, and managing interest rate risk through the use of interest rate swaps.</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Seasonality</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Our revenue and operating results have varied, and we expect them to continue to vary, from quarter to quarter as a result of different factors. Historically, within our FSS United States segment, there has been a lower level of activity during the first half of our fiscal year in operations that provide services to sports and leisure clients. This lower level of activity, historically, has been partially offset during the first half of our fiscal year by the increased activity levels in our educational operations. Conversely, historically there has been a significant increase in the provision of services to sports and leisure clients during the second half of our fiscal year, which is partially offset by the effect of summer recess at colleges, universities and schools in our educational operations. For cash flows, historically there has been cash usage during our first fiscal quarter due to lower activity within our sports and leisure clients as well as payments related to employee incentives. Conversely, historically there have been cash inflows during our fourth fiscal quarter due to an inflow of customer prepayments particularly within our Higher Education business in anticipation of the fall semester and higher activity within our sports and leisure clients.</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Foreign Currency Fluctuations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impact from foreign currency translation assumes constant foreign currency exchange rates based on the rates in effect for the prior year period being used in translation for the comparable current year period. We believe that providing the impact of fluctuations in foreign currency rates on certain financial results can facilitate analysis of period-to-period comparisons of business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84785"/>
                <wp:effectExtent l="0" t="0" r="0" b="0"/>
                <wp:wrapNone/>
                <wp:docPr id="24" name="Frame2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60" w:after="60"/>
        <w:jc w:val="left"/>
        <w:rPr/>
      </w:pPr>
      <w:hyperlink w:anchor="i34e28d6f97b94b71adbb4ccfd6dde94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Fiscal Year</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Our fiscal year is the fifty-two or fifty-three week period which ends on the Friday nearest September 30th. The fiscal year ending October 3, 2025 is a fifty-three week period and the fiscal year ended September 27, 2024 is a fifty-two week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present an overview of our results on a consolidated and segment basis with the amount of and percentage change between periods for the three and six months ended March 28, 2025 and March 29, 2024 (in millions). </w:t>
      </w:r>
    </w:p>
    <w:tbl>
      <w:tblPr>
        <w:tblW w:w="10205" w:type="dxa"/>
        <w:jc w:val="left"/>
        <w:tblInd w:w="0" w:type="dxa"/>
        <w:tblLayout w:type="fixed"/>
        <w:tblCellMar>
          <w:top w:w="28" w:type="dxa"/>
          <w:left w:w="28" w:type="dxa"/>
          <w:bottom w:w="28" w:type="dxa"/>
          <w:right w:w="28" w:type="dxa"/>
        </w:tblCellMar>
      </w:tblPr>
      <w:tblGrid>
        <w:gridCol w:w="1869"/>
        <w:gridCol w:w="1609"/>
        <w:gridCol w:w="1620"/>
        <w:gridCol w:w="239"/>
        <w:gridCol w:w="870"/>
        <w:gridCol w:w="123"/>
        <w:gridCol w:w="109"/>
        <w:gridCol w:w="109"/>
        <w:gridCol w:w="109"/>
        <w:gridCol w:w="239"/>
        <w:gridCol w:w="870"/>
        <w:gridCol w:w="123"/>
        <w:gridCol w:w="109"/>
        <w:gridCol w:w="109"/>
        <w:gridCol w:w="109"/>
        <w:gridCol w:w="211"/>
        <w:gridCol w:w="511"/>
        <w:gridCol w:w="109"/>
        <w:gridCol w:w="109"/>
        <w:gridCol w:w="109"/>
        <w:gridCol w:w="109"/>
        <w:gridCol w:w="255"/>
        <w:gridCol w:w="256"/>
        <w:gridCol w:w="320"/>
      </w:tblGrid>
      <w:tr>
        <w:trPr/>
        <w:tc>
          <w:tcPr>
            <w:tcW w:w="1869"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5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5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5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4,279.3 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4,199.9 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2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provided (exclusive of depreciation and amortization)</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3,919.7 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3,869.2 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4,105.2 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4,040.9 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income </w:t>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98"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ind w:left="0" w:right="0" w:hanging="720"/>
              <w:jc w:val="left"/>
              <w:rPr>
                <w:sz w:val="4"/>
                <w:szCs w:val="4"/>
              </w:rPr>
            </w:pPr>
            <w:r>
              <w:rPr>
                <w:sz w:val="4"/>
                <w:szCs w:val="4"/>
              </w:rPr>
            </w:r>
          </w:p>
        </w:tc>
      </w:tr>
      <w:tr>
        <w:trPr/>
        <w:tc>
          <w:tcPr>
            <w:tcW w:w="5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 for Income Taxes </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98"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tbl>
      <w:tblPr>
        <w:tblW w:w="7811" w:type="dxa"/>
        <w:jc w:val="left"/>
        <w:tblInd w:w="0" w:type="dxa"/>
        <w:tblLayout w:type="fixed"/>
        <w:tblCellMar>
          <w:top w:w="28" w:type="dxa"/>
          <w:left w:w="28" w:type="dxa"/>
          <w:bottom w:w="28" w:type="dxa"/>
          <w:right w:w="28" w:type="dxa"/>
        </w:tblCellMar>
      </w:tblPr>
      <w:tblGrid>
        <w:gridCol w:w="841"/>
        <w:gridCol w:w="741"/>
        <w:gridCol w:w="743"/>
        <w:gridCol w:w="109"/>
        <w:gridCol w:w="109"/>
        <w:gridCol w:w="109"/>
        <w:gridCol w:w="245"/>
        <w:gridCol w:w="889"/>
        <w:gridCol w:w="126"/>
        <w:gridCol w:w="109"/>
        <w:gridCol w:w="109"/>
        <w:gridCol w:w="109"/>
        <w:gridCol w:w="245"/>
        <w:gridCol w:w="889"/>
        <w:gridCol w:w="126"/>
        <w:gridCol w:w="109"/>
        <w:gridCol w:w="109"/>
        <w:gridCol w:w="109"/>
        <w:gridCol w:w="211"/>
        <w:gridCol w:w="511"/>
        <w:gridCol w:w="109"/>
        <w:gridCol w:w="109"/>
        <w:gridCol w:w="109"/>
        <w:gridCol w:w="109"/>
        <w:gridCol w:w="255"/>
        <w:gridCol w:w="256"/>
        <w:gridCol w:w="316"/>
      </w:tblGrid>
      <w:tr>
        <w:trPr/>
        <w:tc>
          <w:tcPr>
            <w:tcW w:w="8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Revenue by Segment</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3,056.4 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3,043.4 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4,279.3 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4,199.9 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Income by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00" w:after="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 As a percentage of total revenue, FSS United States represented 71.4% and 72.5% and FSS International represented 28.6% and 27.5% for the three months ended March 28, 2025 and March 29, 2024, respectively. </w:t>
      </w:r>
    </w:p>
    <w:tbl>
      <w:tblPr>
        <w:tblW w:w="10205" w:type="dxa"/>
        <w:jc w:val="left"/>
        <w:tblInd w:w="0" w:type="dxa"/>
        <w:tblLayout w:type="fixed"/>
        <w:tblCellMar>
          <w:top w:w="28" w:type="dxa"/>
          <w:left w:w="28" w:type="dxa"/>
          <w:bottom w:w="28" w:type="dxa"/>
          <w:right w:w="28" w:type="dxa"/>
        </w:tblCellMar>
      </w:tblPr>
      <w:tblGrid>
        <w:gridCol w:w="1805"/>
        <w:gridCol w:w="1543"/>
        <w:gridCol w:w="1554"/>
        <w:gridCol w:w="238"/>
        <w:gridCol w:w="864"/>
        <w:gridCol w:w="122"/>
        <w:gridCol w:w="109"/>
        <w:gridCol w:w="109"/>
        <w:gridCol w:w="109"/>
        <w:gridCol w:w="238"/>
        <w:gridCol w:w="864"/>
        <w:gridCol w:w="122"/>
        <w:gridCol w:w="109"/>
        <w:gridCol w:w="109"/>
        <w:gridCol w:w="109"/>
        <w:gridCol w:w="211"/>
        <w:gridCol w:w="616"/>
        <w:gridCol w:w="109"/>
        <w:gridCol w:w="109"/>
        <w:gridCol w:w="109"/>
        <w:gridCol w:w="109"/>
        <w:gridCol w:w="306"/>
        <w:gridCol w:w="310"/>
        <w:gridCol w:w="322"/>
      </w:tblGrid>
      <w:tr>
        <w:trPr/>
        <w:tc>
          <w:tcPr>
            <w:tcW w:w="1805"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4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4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8,831.4 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8,607.7 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2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provided (exclusive of depreciation and amortization)</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8,070.9 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7,914.3 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8,440.0 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8,281.7 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income </w:t>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391.4 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326.0 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0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ind w:left="0" w:right="0" w:hanging="720"/>
              <w:jc w:val="left"/>
              <w:rPr>
                <w:sz w:val="4"/>
                <w:szCs w:val="4"/>
              </w:rPr>
            </w:pPr>
            <w:r>
              <w:rPr>
                <w:sz w:val="4"/>
                <w:szCs w:val="4"/>
              </w:rPr>
            </w:r>
          </w:p>
        </w:tc>
      </w:tr>
      <w:tr>
        <w:trPr/>
        <w:tc>
          <w:tcPr>
            <w:tcW w:w="4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 for Income Taxes </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0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84785"/>
                <wp:effectExtent l="0" t="0" r="0" b="0"/>
                <wp:wrapNone/>
                <wp:docPr id="25" name="Frame2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60" w:after="60"/>
        <w:jc w:val="left"/>
        <w:rPr/>
      </w:pPr>
      <w:hyperlink w:anchor="i34e28d6f97b94b71adbb4ccfd6dde946_7">
        <w:r>
          <w:rPr>
            <w:rStyle w:val="InternetLink"/>
            <w:rFonts w:ascii="Times New Roman;sans-serif" w:hAnsi="Times New Roman;sans-serif"/>
            <w:b w:val="false"/>
            <w:color w:val="0000FF"/>
            <w:sz w:val="20"/>
            <w:u w:val="single"/>
          </w:rPr>
          <w:t>Table of Contents</w:t>
        </w:r>
      </w:hyperlink>
    </w:p>
    <w:tbl>
      <w:tblPr>
        <w:tblW w:w="7916" w:type="dxa"/>
        <w:jc w:val="left"/>
        <w:tblInd w:w="0" w:type="dxa"/>
        <w:tblLayout w:type="fixed"/>
        <w:tblCellMar>
          <w:top w:w="28" w:type="dxa"/>
          <w:left w:w="28" w:type="dxa"/>
          <w:bottom w:w="28" w:type="dxa"/>
          <w:right w:w="28" w:type="dxa"/>
        </w:tblCellMar>
      </w:tblPr>
      <w:tblGrid>
        <w:gridCol w:w="841"/>
        <w:gridCol w:w="741"/>
        <w:gridCol w:w="743"/>
        <w:gridCol w:w="109"/>
        <w:gridCol w:w="109"/>
        <w:gridCol w:w="109"/>
        <w:gridCol w:w="245"/>
        <w:gridCol w:w="889"/>
        <w:gridCol w:w="126"/>
        <w:gridCol w:w="109"/>
        <w:gridCol w:w="109"/>
        <w:gridCol w:w="109"/>
        <w:gridCol w:w="245"/>
        <w:gridCol w:w="889"/>
        <w:gridCol w:w="126"/>
        <w:gridCol w:w="109"/>
        <w:gridCol w:w="109"/>
        <w:gridCol w:w="109"/>
        <w:gridCol w:w="211"/>
        <w:gridCol w:w="616"/>
        <w:gridCol w:w="109"/>
        <w:gridCol w:w="109"/>
        <w:gridCol w:w="109"/>
        <w:gridCol w:w="109"/>
        <w:gridCol w:w="255"/>
        <w:gridCol w:w="256"/>
        <w:gridCol w:w="316"/>
      </w:tblGrid>
      <w:tr>
        <w:trPr/>
        <w:tc>
          <w:tcPr>
            <w:tcW w:w="8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Revenue by Segment</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6,357.4 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6,256.2 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8,831.4 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8,607.7 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Income by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391.4 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326.0 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00" w:after="60"/>
        <w:jc w:val="left"/>
        <w:rPr/>
      </w:pPr>
      <w:r>
        <w:rPr>
          <w:rFonts w:ascii="Times New Roman;sans-serif" w:hAnsi="Times New Roman;sans-serif"/>
          <w:b w:val="false"/>
          <w:color w:val="000000"/>
          <w:sz w:val="16"/>
        </w:rPr>
        <w:t>(1) As a percentage of total revenue, FSS United States represented 72.0% and 72.7% and FSS International represented 28.0% and 27.3% for the six</w:t>
      </w:r>
      <w:r>
        <w:rPr>
          <w:color w:val="000000"/>
        </w:rPr>
        <w:t xml:space="preserve"> </w:t>
      </w:r>
      <w:r>
        <w:rPr>
          <w:rFonts w:ascii="Times New Roman;sans-serif" w:hAnsi="Times New Roman;sans-serif"/>
          <w:b w:val="false"/>
          <w:color w:val="000000"/>
          <w:sz w:val="16"/>
        </w:rPr>
        <w:t xml:space="preserve">months ended March 28, 2025 and March 29, 2024, respectively. </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Consolidated Overview</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Revenue increased by approximately 1.9% and 2.6% during the three and six month periods of fiscal 2025 compared to the prior year periods, respectively. The increase was primarily attributable to base business growth, partially offset by the negative impact of foreign currency translation (1.2% and 1.3% for the three and six month periods, respectively) as well as the exit of some lower margin accounts occurring later in fiscal 2024 and fewer operating days due to weather-related closures within the FSS United States segment. Additionally, for the three month period of fiscal 2025, the FSS United States segment revenue was impacted by fewer operating days due to a calendar shift at several universities.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cost of services provided (exclusive of depreciation and amortization) by segment and as a percent of revenue for the three and six months ended March 28, 2025 and March 29, 2024 (in millions).</w:t>
      </w:r>
    </w:p>
    <w:tbl>
      <w:tblPr>
        <w:tblW w:w="11832" w:type="dxa"/>
        <w:jc w:val="left"/>
        <w:tblInd w:w="0" w:type="dxa"/>
        <w:tblLayout w:type="fixed"/>
        <w:tblCellMar>
          <w:top w:w="28" w:type="dxa"/>
          <w:left w:w="28" w:type="dxa"/>
          <w:bottom w:w="28" w:type="dxa"/>
          <w:right w:w="28" w:type="dxa"/>
        </w:tblCellMar>
      </w:tblPr>
      <w:tblGrid>
        <w:gridCol w:w="491"/>
        <w:gridCol w:w="339"/>
        <w:gridCol w:w="341"/>
        <w:gridCol w:w="109"/>
        <w:gridCol w:w="109"/>
        <w:gridCol w:w="109"/>
        <w:gridCol w:w="211"/>
        <w:gridCol w:w="766"/>
        <w:gridCol w:w="109"/>
        <w:gridCol w:w="109"/>
        <w:gridCol w:w="109"/>
        <w:gridCol w:w="109"/>
        <w:gridCol w:w="255"/>
        <w:gridCol w:w="256"/>
        <w:gridCol w:w="401"/>
        <w:gridCol w:w="109"/>
        <w:gridCol w:w="109"/>
        <w:gridCol w:w="109"/>
        <w:gridCol w:w="211"/>
        <w:gridCol w:w="766"/>
        <w:gridCol w:w="109"/>
        <w:gridCol w:w="109"/>
        <w:gridCol w:w="109"/>
        <w:gridCol w:w="109"/>
        <w:gridCol w:w="255"/>
        <w:gridCol w:w="256"/>
        <w:gridCol w:w="401"/>
        <w:gridCol w:w="109"/>
        <w:gridCol w:w="109"/>
        <w:gridCol w:w="109"/>
        <w:gridCol w:w="211"/>
        <w:gridCol w:w="766"/>
        <w:gridCol w:w="109"/>
        <w:gridCol w:w="109"/>
        <w:gridCol w:w="109"/>
        <w:gridCol w:w="109"/>
        <w:gridCol w:w="255"/>
        <w:gridCol w:w="256"/>
        <w:gridCol w:w="401"/>
        <w:gridCol w:w="109"/>
        <w:gridCol w:w="109"/>
        <w:gridCol w:w="109"/>
        <w:gridCol w:w="211"/>
        <w:gridCol w:w="766"/>
        <w:gridCol w:w="109"/>
        <w:gridCol w:w="109"/>
        <w:gridCol w:w="109"/>
        <w:gridCol w:w="109"/>
        <w:gridCol w:w="255"/>
        <w:gridCol w:w="256"/>
        <w:gridCol w:w="454"/>
      </w:tblGrid>
      <w:tr>
        <w:trPr/>
        <w:tc>
          <w:tcPr>
            <w:tcW w:w="49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 2024</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Cost of services provided (exclusive of 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Revenue</w:t>
            </w:r>
          </w:p>
        </w:tc>
      </w:tr>
      <w:tr>
        <w:trPr/>
        <w:tc>
          <w:tcPr>
            <w:tcW w:w="11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40"/>
              <w:jc w:val="left"/>
              <w:rPr/>
            </w:pPr>
            <w:r>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91.1 </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FSS 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40"/>
              <w:jc w:val="left"/>
              <w:rPr/>
            </w:pPr>
            <w:r>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94.3 </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91.9 </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percentages attributable to the components in cost of services provided (exclusive of depreciation and amortization) for the three and six months ended March 28, 2025 and March 29, 2024.</w:t>
      </w:r>
    </w:p>
    <w:tbl>
      <w:tblPr>
        <w:tblW w:w="10205" w:type="dxa"/>
        <w:jc w:val="left"/>
        <w:tblInd w:w="0" w:type="dxa"/>
        <w:tblLayout w:type="fixed"/>
        <w:tblCellMar>
          <w:top w:w="28" w:type="dxa"/>
          <w:left w:w="28" w:type="dxa"/>
          <w:bottom w:w="28" w:type="dxa"/>
          <w:right w:w="28" w:type="dxa"/>
        </w:tblCellMar>
      </w:tblPr>
      <w:tblGrid>
        <w:gridCol w:w="1489"/>
        <w:gridCol w:w="1306"/>
        <w:gridCol w:w="1313"/>
        <w:gridCol w:w="109"/>
        <w:gridCol w:w="109"/>
        <w:gridCol w:w="109"/>
        <w:gridCol w:w="338"/>
        <w:gridCol w:w="279"/>
        <w:gridCol w:w="546"/>
        <w:gridCol w:w="124"/>
        <w:gridCol w:w="124"/>
        <w:gridCol w:w="124"/>
        <w:gridCol w:w="338"/>
        <w:gridCol w:w="279"/>
        <w:gridCol w:w="546"/>
        <w:gridCol w:w="109"/>
        <w:gridCol w:w="109"/>
        <w:gridCol w:w="109"/>
        <w:gridCol w:w="336"/>
        <w:gridCol w:w="280"/>
        <w:gridCol w:w="551"/>
        <w:gridCol w:w="113"/>
        <w:gridCol w:w="113"/>
        <w:gridCol w:w="113"/>
        <w:gridCol w:w="318"/>
        <w:gridCol w:w="298"/>
        <w:gridCol w:w="623"/>
      </w:tblGrid>
      <w:tr>
        <w:trPr/>
        <w:tc>
          <w:tcPr>
            <w:tcW w:w="148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4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4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Cost of services provided (exclusive of depreciation and amortization) components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28, 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28, 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 2024</w:t>
            </w:r>
          </w:p>
        </w:tc>
      </w:tr>
      <w:tr>
        <w:trPr/>
        <w:tc>
          <w:tcPr>
            <w:tcW w:w="41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support service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Personnel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6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direct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increased by $15.1 million and $65.4 million during the three and six month periods of fiscal 2025 compared to the prior year periods, respectively, driven by base business growth, cost management and supply chain efficiencies. The increase during the three month period of fiscal 2025 was partially offset by fewer operating days due to a calendar shift at several universities within the FSS United States segment. The increase in operating income during the six month period of fiscal 2025 was also attributable to prior year expenses related to the separation and distribution of the Uniform segment ($29.0 million), which was partially offset by higher contingent consideration expenses as compared to the prior year period ($10.6 million).</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net, increased by 3.9% during the three month period of fiscal 2025 compared to the prior year period due to the payment of $5.8 million of transaction costs related to the refinancing of United States dollar denominated Term B-8 Loans due 2030 (“U.S. Term B-8 Loans due 2030”) and a $2.5 million non-cash loss for the write-off of unamortized deferred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84785"/>
                <wp:effectExtent l="0" t="0" r="0" b="0"/>
                <wp:wrapNone/>
                <wp:docPr id="26" name="Frame2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60" w:after="60"/>
        <w:jc w:val="left"/>
        <w:rPr/>
      </w:pPr>
      <w:hyperlink w:anchor="i34e28d6f97b94b71adbb4ccfd6dde94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financing costs and discount on the United States dollar denominated Term B-4 Loans due 2027 ("U.S. Term B-4 Loans due 2027") and 5.000% Senior Notes due April 2025 Notes (the "5.000% 2025 Notes"), partially offset by lower borrowings under the revolving credit facility.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decreased by 17.6% during the six month period of fiscal 2025 compared to the prior year period due to the prior year payment of a $23.9 million call premium, a prior year $7.9 million non-cash loss for the write-off of unamortized deferred financing costs related to the repayment of the 6.375% Senior Notes due May 2025 (the "6.375% 2025 Notes"), a prior year $1.6 million write-off of unamortized deferred financing costs and discount on the United States dollar denominated Term B-5 Loans due 2028 and United States dollar denominated Term B-6 Loans due 2030, transaction costs related to the repricing of these loans and lower borrowings under the Receivables Facility and revolving credit facility.</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Taxes for the three and six month periods of fiscal 2025 was recorded at an effective tax rate of 26.6% and 25.8%, respectively. The Provision for Income Taxes for the three and six month periods of fiscal 2024 was recorded at an effective tax rate of 27.1% and 34.8%, respectively. During the six month period of fiscal 2024, we recorded a $7.1 million valuation allowance adjustment against certain foreign tax credits, as it is more likely than not a tax benefit will not be realized due to the reduction of future forecasted foreign income as a result of the separation and distribution of the Uniform segment (see Note 6 to the condensed consolidated financial statements).</w:t>
      </w: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Segment Results</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FSS United States Segment</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FSS United States reportable segment consists of five sectors which have similar economic characteristics and comprise a single operating segment. The five sectors of the FSS United States reportable segment are Business &amp; Industry, Education, Healthcare, Sports, Leisure &amp; Corrections and Facilities &amp; Other.</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Revenue for each of these sectors is summarized as follows (in millions):</w:t>
      </w:r>
    </w:p>
    <w:tbl>
      <w:tblPr>
        <w:tblW w:w="10205" w:type="dxa"/>
        <w:jc w:val="left"/>
        <w:tblInd w:w="0" w:type="dxa"/>
        <w:tblLayout w:type="fixed"/>
        <w:tblCellMar>
          <w:top w:w="28" w:type="dxa"/>
          <w:left w:w="28" w:type="dxa"/>
          <w:bottom w:w="28" w:type="dxa"/>
          <w:right w:w="28" w:type="dxa"/>
        </w:tblCellMar>
      </w:tblPr>
      <w:tblGrid>
        <w:gridCol w:w="781"/>
        <w:gridCol w:w="578"/>
        <w:gridCol w:w="582"/>
        <w:gridCol w:w="229"/>
        <w:gridCol w:w="833"/>
        <w:gridCol w:w="118"/>
        <w:gridCol w:w="109"/>
        <w:gridCol w:w="109"/>
        <w:gridCol w:w="109"/>
        <w:gridCol w:w="229"/>
        <w:gridCol w:w="833"/>
        <w:gridCol w:w="118"/>
        <w:gridCol w:w="109"/>
        <w:gridCol w:w="109"/>
        <w:gridCol w:w="109"/>
        <w:gridCol w:w="277"/>
        <w:gridCol w:w="280"/>
        <w:gridCol w:w="367"/>
        <w:gridCol w:w="109"/>
        <w:gridCol w:w="109"/>
        <w:gridCol w:w="109"/>
        <w:gridCol w:w="229"/>
        <w:gridCol w:w="833"/>
        <w:gridCol w:w="118"/>
        <w:gridCol w:w="109"/>
        <w:gridCol w:w="109"/>
        <w:gridCol w:w="109"/>
        <w:gridCol w:w="229"/>
        <w:gridCol w:w="833"/>
        <w:gridCol w:w="118"/>
        <w:gridCol w:w="109"/>
        <w:gridCol w:w="109"/>
        <w:gridCol w:w="109"/>
        <w:gridCol w:w="277"/>
        <w:gridCol w:w="280"/>
        <w:gridCol w:w="428"/>
      </w:tblGrid>
      <w:tr>
        <w:trPr/>
        <w:tc>
          <w:tcPr>
            <w:tcW w:w="781"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r>
      <w:tr>
        <w:trPr/>
        <w:tc>
          <w:tcPr>
            <w:tcW w:w="1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&amp; Industry</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Education</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2,152.6 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Healthcare</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Sports, Leisure &amp; Corrections</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Facilities &amp; Other</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3,056.4 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3,043.4 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6,357.4 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6,256.2 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Healthcare, Education and Facilities &amp; Other sectors generally have high-single digit operating income margins and the Business &amp; Industry and Sports, Leisure &amp; Corrections sectors generally have mid-single digit operating income margins.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FSS United States segment revenue increased by approximately 0.4% and 1.6% during the three and six month periods of fiscal 2025 compared to the prior year periods, respectively, primarily attributable to base business growth. Specifically, for both the three and six month periods: the Business &amp; Industry sector increase was due to volume growth in base business and net new business; the Sports, Leisure and Corrections sector increase was driven by higher net new business within the Corrections business; the Facilities &amp; Other sector decrease resulted from the exit of some lower margin accounts in late fiscal 2024, partially offset by increased revenues from procurement services; and various sectors were negatively impacted by fewer operating days due to weather-related closures. Additionally, for the three month period of fiscal 2025, the Education sector revenue was impacted by fewer operating days due to a calendar shift.</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increased by $7.4 million and $26.3 million during the three and six month periods of fiscal 2025 compared to the prior year periods, respectively. The increase during both the three and six month periods of fiscal 2025 was primarily attributable to base business growth and supply chain efficiencies. The increase during the three month period of fiscal 2025 was partially offset by fewer operating days due to a calendar shift in the Education sector. The increase during the six month period of fiscal 2025 was partially offset by higher contingent consideration expenses as compared to the prior year period ($10.6 million).</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FSS International Segment</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FSS International segment revenue increased by approximately 5.8% and 5.2% during the three and six month periods of fiscal 2025 compared to the prior year periods, respectively. The increase was primarily attributable to base business and net new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84785"/>
                <wp:effectExtent l="0" t="0" r="0" b="0"/>
                <wp:wrapNone/>
                <wp:docPr id="27" name="Frame2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60" w:after="60"/>
        <w:jc w:val="left"/>
        <w:rPr/>
      </w:pPr>
      <w:hyperlink w:anchor="i34e28d6f97b94b71adbb4ccfd6dde94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business growth, partially offset by the negative impact of foreign currency translation (4.2% and 4.6% for the three and six month periods, respectively).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increased by $9.0 million and $16.4 million during the three and six month periods of fiscal 2025 compared to the prior year periods, respectively. The increase was primarily attributable to base business growth, cost management and supply chain efficiencies.</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Corporate</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Corporate expenses, those administrative expenses not allocated to the business segments, increased by $1.3 million and decreased by $22.7 million during the three and six month periods of fiscal 2025 compared to the prior year periods, respectively. The decrease during the six month period of fiscal 2025 was mainly attributable to prior year expenses related to the separation and distribution of the Uniform segment ($29.0 million), partially offset by increases in acquisition costs and share-based compensation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28, 2025, we had $920.5 million of cash and cash equivalents, $43.3 million of marketable securities, $1,043.4 million of availability under our senior secured revolving credit facility and $14.0 million of availability under our Receivables Facility. A significant portion of our cash and cash equivalents are held in mature, liquid geographies where we have operations. As of March 28, 2025, we had $1,320.8 million of outstanding foreign currency borrowings.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On March 19, 2025, we issued €400.0 million of euro denominated 4.375% Senior Notes due April 2033 (the "4.375% 2033 Notes"). We used a portion of the net proceeds from the issuance and sale of the 4.375% 2033 Notes to repay at maturity, April 1, 2025, all of the €325.0 million outstanding aggregate principal amount of euro denominated 3.125% Senior Notes due April 2025 (the "3.125% 2025 Notes") and the remainder for general corporate purposes, including reduction of debt (see Note 3 to the condensed consolidated financial statements).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We entered into a credit agreement on March 28, 2017 (as subsequently amended the "Credit Agreement"). On February 18, 2025, we entered into an incremental amendment to the Credit Agreement (“Incremental Amendment No. 17”) to provide for, among other things, the establishment of new term loans comprised of new United States dollar denominated Term B-8 Loans ("New U.S. Term B-8 Loans due 2030") in an amount equal to $1,395.0 million, in the form of a fungible upsize to the existing U.S. Term B-8 Loans due 2030. The New U.S. Term B-8 Loans due 2030 were funded in full on the closing date of Incremental Amendment No. 17 and were applied to: (a) repay in full $839.3 million of the U.S. Term B-4 Loans due 2027 previously outstanding under the Credit Agreement; (b) to redeem the entire $551.5 million aggregate principal amount outstanding of the 5.000% 2025 Notes; and (c) to pay fees, premiums, expenses and other transaction costs in connection with the foregoing (see Note 3 to the condensed consolidated financial statements).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cash and cash equivalents, marketable securities and availability under our revolving credit facility and Receivables Facility will be adequate to meet anticipated cash requirements for the foreseeable future to fund working capital, capital spending, debt service obligations, refinancings, dividends and other cash needs. We also have flexibility to optimize working capital and defer certain capital expenditures as appropriate without a material impact to the business. We believe that our assumptions used to estimate our liquidity and working capital requirements are reasonable. For additional information regarding the risks associated with our liquidity and capital resources, see Part I, Item 1A, "Risk Factors" in our Annual Report on Form 10-K filed with the SEC on November 19, 2024.</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our cash activity (in millions):</w:t>
      </w:r>
    </w:p>
    <w:tbl>
      <w:tblPr>
        <w:tblW w:w="7105" w:type="dxa"/>
        <w:jc w:val="left"/>
        <w:tblInd w:w="0" w:type="dxa"/>
        <w:tblLayout w:type="fixed"/>
        <w:tblCellMar>
          <w:top w:w="28" w:type="dxa"/>
          <w:left w:w="28" w:type="dxa"/>
          <w:bottom w:w="28" w:type="dxa"/>
          <w:right w:w="28" w:type="dxa"/>
        </w:tblCellMar>
      </w:tblPr>
      <w:tblGrid>
        <w:gridCol w:w="1525"/>
        <w:gridCol w:w="1343"/>
        <w:gridCol w:w="1347"/>
        <w:gridCol w:w="263"/>
        <w:gridCol w:w="861"/>
        <w:gridCol w:w="135"/>
        <w:gridCol w:w="109"/>
        <w:gridCol w:w="109"/>
        <w:gridCol w:w="109"/>
        <w:gridCol w:w="260"/>
        <w:gridCol w:w="854"/>
        <w:gridCol w:w="190"/>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 2024</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(435.8)</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(289.8)</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(833.0)</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Reference to the Condensed Consolidated Statements of Cash Flows will facilitate understanding of the discussion that follows.</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Cash Flows Used in Operating Activities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operating activities decreased by $104.6 million during the six month period of fiscal 2025 compared to the prior year period. The decrease was driven by higher net income, lower payments made to clients on contracts and a lower use of cash from the change in operating assets and liabilities compared to the prior year period, partially offset by unfavorable non-cash gains and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84785"/>
                <wp:effectExtent l="0" t="0" r="0" b="0"/>
                <wp:wrapNone/>
                <wp:docPr id="28" name="Frame2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60" w:after="60"/>
        <w:jc w:val="left"/>
        <w:rPr/>
      </w:pPr>
      <w:hyperlink w:anchor="i34e28d6f97b94b71adbb4ccfd6dde94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favorable change in operating assets and liabilities compared to the prior year period of $13.5 million was primarily due to:</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Receivables by $110.3 million, resulting in a lower use of cash due to the timing of collections; and</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 xml:space="preserve">Accrued expenses by $34.5 million, resulting in a lower use of cash primarily due to the timing of interest payments and lower recognition of deferred income in our Higher Education business, partially offset by higher employee incentive payments and higher commission payments mainly in our Sports business.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These changes in operating assets and liabilities more than offset:</w:t>
      </w:r>
    </w:p>
    <w:p>
      <w:pPr>
        <w:pStyle w:val="TextBody"/>
        <w:bidi w:val="0"/>
        <w:spacing w:lineRule="auto" w:line="288" w:before="100" w:after="60"/>
        <w:ind w:left="0" w:right="0" w:hanging="360"/>
        <w:jc w:val="left"/>
        <w:rPr/>
      </w:pPr>
      <w:r>
        <w:rPr>
          <w:color w:val="212529"/>
        </w:rPr>
        <w:t>•</w:t>
      </w:r>
      <w:r>
        <w:rPr>
          <w:rFonts w:ascii="Times New Roman;sans-serif" w:hAnsi="Times New Roman;sans-serif"/>
          <w:b w:val="false"/>
          <w:color w:val="000000"/>
          <w:sz w:val="20"/>
        </w:rPr>
        <w:t>Accounts payable by $83.7 million, resulting in a higher use of cash due to the timing of disbursements;</w:t>
      </w:r>
    </w:p>
    <w:p>
      <w:pPr>
        <w:pStyle w:val="TextBody"/>
        <w:bidi w:val="0"/>
        <w:spacing w:lineRule="auto" w:line="288" w:before="100" w:after="60"/>
        <w:ind w:left="0" w:right="0" w:hanging="360"/>
        <w:jc w:val="left"/>
        <w:rPr/>
      </w:pPr>
      <w:r>
        <w:rPr>
          <w:color w:val="212529"/>
        </w:rPr>
        <w:t>•</w:t>
      </w:r>
      <w:r>
        <w:rPr>
          <w:rFonts w:ascii="Times New Roman;sans-serif" w:hAnsi="Times New Roman;sans-serif"/>
          <w:b w:val="false"/>
          <w:color w:val="000000"/>
          <w:sz w:val="20"/>
        </w:rPr>
        <w:t xml:space="preserve">Inventories by $24.6 million, resulting in a use of cash during the six month period of fiscal 2025 compared to a source of cash in the prior period due to increased purchases from new business; and </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 xml:space="preserve">Prepayments by $23.1 million, resulting in a higher use of cash due to the timing of insurance and other annual contractual payments compared to the prior period.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"Other operating activities" caption in both periods reflect adjustments to net income in the current year and prior year periods related to non-cash gains and losses and adjustments to non-operating cash transactions.</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Cash Flows Used in Investing Activities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Cash flows used in investing activities were $192.6 million higher during the six month period of fiscal 2025 compared to the prior year period primarily due to higher acquisitions of certain businesses ($155.1 million) and higher purchases of property and equipment ($32.6 million).</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 xml:space="preserve">Cash Flows Provided by (Used in) Financing Activities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six month period of fiscal 2025, cash provided by financing activities was primarily impacted by the following:</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 xml:space="preserve">the upsizing of the U.S. Term B-8 Loans due 2030 ($1,395.0 million); </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 xml:space="preserve">borrowings under the Receivables Facility ($586.0 million); </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the issuance of the 4.375% 2033 Notes ($429.7 million); and</w:t>
      </w:r>
    </w:p>
    <w:p>
      <w:pPr>
        <w:pStyle w:val="TextBody"/>
        <w:bidi w:val="0"/>
        <w:spacing w:lineRule="auto" w:line="288" w:before="100" w:after="60"/>
        <w:ind w:left="0" w:right="0" w:hanging="360"/>
        <w:jc w:val="left"/>
        <w:rPr/>
      </w:pPr>
      <w:r>
        <w:rPr>
          <w:color w:val="000000"/>
        </w:rPr>
        <w:t>•</w:t>
      </w:r>
      <w:r>
        <w:rPr>
          <w:rFonts w:ascii="Times New Roman;sans-serif" w:hAnsi="Times New Roman;sans-serif"/>
          <w:b w:val="false"/>
          <w:color w:val="000000"/>
          <w:sz w:val="20"/>
        </w:rPr>
        <w:t xml:space="preserve">borrowings under the revolving credit facility ($275.9 million).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sources of cash were partially offset by repayment of the U.S. Term B-4 Loans due 2027 ($839.3 million), redemption of the 5.000% 2025 Notes ($551.5 million) and the repurchase of common stock through the share repurchase program ($109.3 million).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six month period of fiscal 2024, cash used in financing activities was primarily impacted by repayment of the 6.375% 2025 Notes ($1,500.0 million), offset by borrowings under the Receivables Facility ($600.0 million) and borrowings under the revolving credit facility ($179.3 million).</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"Other financing activities" caption also reflects a use of cash during the six month periods of fiscal 2025 and fiscal 2024 primarily related to taxes paid by us when we withhold shares upon an employee's exercise or vesting of equity awards to cover income taxes. The six month period of fiscal 2025 includes the payment of transactions costs related to the issuance of the 4.375% 2033 Notes and the U.S. Term B-8 Loans due 2030 ($15.1 million). The six month period of fiscal 2024 includes the payment of a call premium on the 6.375% 2025 Notes ($23.9 million).</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Covenant Compliance</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contains a number of covenants that, among other things, restrict, subject to certain exceptions, our ability and the ability of our subsidiaries to: incur additional indebtedness; issue preferred stock or provide guarantees; create liens on assets; engage in mergers or consolidations; sell assets; pay dividends; make distributions or repurchase our capital stock; make investments, loans or advances; repay or repurchase any subordinated debt, except as scheduled or at maturity; create restrictions on the payment of dividends or other amounts to us from our restricted subsidiaries; make certain acquisitions; engage in certain transactions with affiliates; amend material agreements governing our subordinated debt (or any indebtedness that refinances our subordinated debt); and fundamentally change our business. The indentures governing our senior notes contain similar provisions. As of March 28, 2025, we were in compliance with these covenants.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As stated above, the Credit Agreement and the indentures governing our senior notes contain provisions that restrict our ability to pay dividends and repurchase stock (collectively, “Restricted Payments”). In addition to customary exceptions, the Credit Agreement and indentures permit Restricted Payments in the aggregate up to an amount that increases quarterly by 50% of our Consolidated Net Income, as such term is defined in these debt agreements, subject to being in compliance with the interest coverage ratio described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84785"/>
                <wp:effectExtent l="0" t="0" r="0" b="0"/>
                <wp:wrapNone/>
                <wp:docPr id="29" name="Frame2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60" w:after="60"/>
        <w:jc w:val="left"/>
        <w:rPr/>
      </w:pPr>
      <w:hyperlink w:anchor="i34e28d6f97b94b71adbb4ccfd6dde94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Under the Credit Agreement, we are required to satisfy and maintain specified financial ratios and other financial condition tests and covenants. The indentures governing our senior notes also require us to comply with certain financial ratios in order to take certain actions. Our continued ability to meet those financial ratios, tests and covenants can be affected by events beyond our control, and there can be no assurance that we will meet those ratios, tests and covenants.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These financial ratios, tests and covenants involve the calculation of certain measures that we refer to in this discussion as "Covenant Adjusted EBITDA." Covenant Adjusted EBITDA is not a measurement of financial performance under generally accepted accounting principles in the United States ("U.S. GAAP"). Covenant Adjusted EBITDA is defined as net income of Aramark Services, Inc. ("ASI") and its restricted subsidiaries plus interest expense, net, provision for income taxes and depreciation and amortization, further adjusted to give effect to adjustments required in calculating covenant ratios and compliance under our Credit Agreement and the indentures governing our senior notes.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Our presentation of these measures has limitations as an analytical tool and should not be considered in isolation or as a substitute for analysis of our results as reported under U.S. GAAP. You should not consider these measures as alternatives to net income or operating income determined in accordance with U.S. GAAP. Covenant Adjusted EBITDA, as presented by us, may not be comparable to other similarly titled measures of other companies because not all companies use identical calculations.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net income attributable to ASI stockholders, which is a U.S. GAAP measure of ASI's operating results, to Covenant Adjusted EBITDA as defined in our debt agreements. The terms and related calculations are defined in the Credit Agreement and the indentures governing our senior notes. Covenant Adjusted EBITDA is a measure of ASI and its restricted subsidiaries only and does not include the results of Aramark.</w:t>
      </w:r>
    </w:p>
    <w:tbl>
      <w:tblPr>
        <w:tblW w:w="5175" w:type="dxa"/>
        <w:jc w:val="left"/>
        <w:tblInd w:w="0" w:type="dxa"/>
        <w:tblLayout w:type="fixed"/>
        <w:tblCellMar>
          <w:top w:w="28" w:type="dxa"/>
          <w:left w:w="28" w:type="dxa"/>
          <w:bottom w:w="28" w:type="dxa"/>
          <w:right w:w="28" w:type="dxa"/>
        </w:tblCellMar>
      </w:tblPr>
      <w:tblGrid>
        <w:gridCol w:w="1345"/>
        <w:gridCol w:w="1181"/>
        <w:gridCol w:w="1194"/>
        <w:gridCol w:w="271"/>
        <w:gridCol w:w="986"/>
        <w:gridCol w:w="198"/>
      </w:tblGrid>
      <w:tr>
        <w:trPr/>
        <w:tc>
          <w:tcPr>
            <w:tcW w:w="134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Twelve Months Ended</w:t>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4"/>
              </w:rPr>
            </w:pPr>
            <w:r>
              <w:rPr>
                <w:rFonts w:ascii="Times New Roman;sans-serif" w:hAnsi="Times New Roman;sans-serif"/>
                <w:b/>
                <w:color w:val="000000"/>
                <w:sz w:val="14"/>
              </w:rPr>
              <w:t>March 28, 2025</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ASI stockholders</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Provision for Income Taxes</w:t>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117.7 </w:t>
            </w:r>
          </w:p>
        </w:tc>
        <w:tc>
          <w:tcPr>
            <w:tcW w:w="19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Share-based compensation expense</w:t>
            </w:r>
            <w:r>
              <w:rPr>
                <w:rFonts w:ascii="Times New Roman;sans-serif" w:hAnsi="Times New Roman;sans-serif"/>
                <w:b w:val="false"/>
                <w:color w:val="000000"/>
                <w:sz w:val="10"/>
              </w:rPr>
              <w:t>(1)</w:t>
            </w:r>
            <w:r>
              <w:rPr>
                <w:color w:val="000000"/>
              </w:rPr>
              <w:t>    </w:t>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Unusual or non-recurring gains</w:t>
            </w:r>
            <w:r>
              <w:rPr>
                <w:rFonts w:ascii="Times New Roman;sans-serif" w:hAnsi="Times New Roman;sans-serif"/>
                <w:b w:val="false"/>
                <w:color w:val="000000"/>
                <w:sz w:val="10"/>
              </w:rPr>
              <w:t>(2)</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Pro forma EBITDA for certain transactions</w:t>
            </w:r>
            <w:r>
              <w:rPr>
                <w:rFonts w:ascii="Times New Roman;sans-serif" w:hAnsi="Times New Roman;sans-serif"/>
                <w:b w:val="false"/>
                <w:color w:val="000000"/>
                <w:sz w:val="10"/>
              </w:rPr>
              <w:t>(3)</w:t>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0"/>
              </w:rPr>
              <w:t>(4)</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Covenant Adjusted EBITDA</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1,409.9 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(1)    Represents non-cash share-based compensation expense resulting from the application of accounting for stock options, stock appreciation rights, restricted stock units, performance stock units and deferred stock unit awards.</w:t>
      </w:r>
    </w:p>
    <w:p>
      <w:pPr>
        <w:pStyle w:val="TextBody"/>
        <w:bidi w:val="0"/>
        <w:spacing w:lineRule="auto" w:line="288" w:before="100" w:after="6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Represents the fiscal 2024 gain from the sale of our remaining equity investment in the San Antonio Spurs NBA franchise ($25.1 million). </w:t>
      </w:r>
    </w:p>
    <w:p>
      <w:pPr>
        <w:pStyle w:val="TextBody"/>
        <w:bidi w:val="0"/>
        <w:spacing w:lineRule="auto" w:line="288" w:before="100" w:after="6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(3)    Represents the annualizing of net EBITDA from certain acquisitions made during the period.</w:t>
      </w:r>
    </w:p>
    <w:p>
      <w:pPr>
        <w:pStyle w:val="TextBody"/>
        <w:bidi w:val="0"/>
        <w:spacing w:lineRule="auto" w:line="288" w:before="100" w:after="6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(4)    "Other" includes adjustments to remove the impact attributable to the adoption of certain accounting standards that are made to the calculation in accordance with the Credit Agreement and indentures ($52.8 million), non-cash adjustments to inventory based on expected usage ($18.2 million), charges related to a ruling on a foreign tax matter ($6.8 million), severance charges ($6.7 million), non-cash charges related to the impairment of a trade name ($3.3 million), contingent consideration expense related to acquisition earn outs, net of reversals ($2.4 million), the impact of hyperinflation in Argentina ($1.9 million) and other miscellaneous expenses.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covenant requirements and actual ratios for the twelve months ended March 28, 2025 are as follows: </w:t>
      </w:r>
    </w:p>
    <w:tbl>
      <w:tblPr>
        <w:tblW w:w="6779" w:type="dxa"/>
        <w:jc w:val="left"/>
        <w:tblInd w:w="0" w:type="dxa"/>
        <w:tblLayout w:type="fixed"/>
        <w:tblCellMar>
          <w:top w:w="28" w:type="dxa"/>
          <w:left w:w="28" w:type="dxa"/>
          <w:bottom w:w="28" w:type="dxa"/>
          <w:right w:w="28" w:type="dxa"/>
        </w:tblCellMar>
      </w:tblPr>
      <w:tblGrid>
        <w:gridCol w:w="1733"/>
        <w:gridCol w:w="1524"/>
        <w:gridCol w:w="1528"/>
        <w:gridCol w:w="345"/>
        <w:gridCol w:w="345"/>
        <w:gridCol w:w="346"/>
        <w:gridCol w:w="109"/>
        <w:gridCol w:w="109"/>
        <w:gridCol w:w="109"/>
        <w:gridCol w:w="184"/>
        <w:gridCol w:w="184"/>
        <w:gridCol w:w="263"/>
      </w:tblGrid>
      <w:tr>
        <w:trPr/>
        <w:tc>
          <w:tcPr>
            <w:tcW w:w="1733"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Covenant</w:t>
              <w:br/>
              <w:t>Requirement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w:t>
              <w:br/>
              <w:t>Ratio</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Consolidated Secured Debt Ratio</w:t>
            </w:r>
            <w:r>
              <w:rPr>
                <w:rFonts w:ascii="Times New Roman;sans-serif" w:hAnsi="Times New Roman;sans-serif"/>
                <w:b w:val="false"/>
                <w:color w:val="000000"/>
                <w:sz w:val="13"/>
              </w:rPr>
              <w:t>(1)</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xml:space="preserve">≤ </w:t>
            </w:r>
            <w:r>
              <w:rPr>
                <w:rFonts w:ascii="Times New Roman;sans-serif" w:hAnsi="Times New Roman;sans-serif"/>
                <w:b w:val="false"/>
                <w:color w:val="000000"/>
                <w:sz w:val="20"/>
              </w:rPr>
              <w:t>5.125x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2.70x</w:t>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Interest Coverage Ratio (Fixed Charge Coverage Ratio)</w:t>
            </w:r>
            <w:r>
              <w:rPr>
                <w:rFonts w:ascii="Times New Roman;sans-serif" w:hAnsi="Times New Roman;sans-serif"/>
                <w:b w:val="false"/>
                <w:color w:val="000000"/>
                <w:sz w:val="13"/>
              </w:rPr>
              <w:t>(2)</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xml:space="preserve">≥ </w:t>
            </w:r>
            <w:r>
              <w:rPr>
                <w:rFonts w:ascii="Times New Roman;sans-serif" w:hAnsi="Times New Roman;sans-serif"/>
                <w:b w:val="false"/>
                <w:color w:val="000000"/>
                <w:sz w:val="20"/>
              </w:rPr>
              <w:t>2.000x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3.62x</w:t>
            </w:r>
          </w:p>
        </w:tc>
      </w:tr>
    </w:tbl>
    <w:p>
      <w:pPr>
        <w:pStyle w:val="TextBody"/>
        <w:bidi w:val="0"/>
        <w:spacing w:lineRule="auto" w:line="288" w:before="100" w:after="6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The Credit Agreement requires ASI to maintain a maximum Consolidated Secured Debt Ratio, defined as consolidated total indebtedness secured by a lien to Covenant Adjusted EBITDA, not to exceed 5.125x. Consolidated total indebtedness secured by a lien is defined in the Credit Agreement as total indebtedness consisting of debt for borrowed money, finance leases, debt in respect of sales-leaseback transactions, disqualified and preferred stock and advances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84785"/>
                <wp:effectExtent l="0" t="0" r="0" b="0"/>
                <wp:wrapNone/>
                <wp:docPr id="30" name="Frame2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60" w:after="60"/>
        <w:jc w:val="left"/>
        <w:rPr/>
      </w:pPr>
      <w:hyperlink w:anchor="i34e28d6f97b94b71adbb4ccfd6dde94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Receivables Facility secured by a lien reduced by the amount of cash and cash equivalents on the consolidated balance sheet that is free and clear of any lien. Non-compliance with the maximum Consolidated Secured Debt Ratio could result in the requirement to immediately repay all amounts outstanding under the Credit Agreement, which, if ASI's lenders under our Credit Agreement (other than the lenders in respect of ASI's United States Term B Loans, which lenders do not benefit from the maximum Consolidated Debt Ratio covenant) failed to waive any such default, would also constitute a default under the indentures governing our senior notes. </w:t>
      </w:r>
    </w:p>
    <w:p>
      <w:pPr>
        <w:pStyle w:val="TextBody"/>
        <w:bidi w:val="0"/>
        <w:spacing w:lineRule="auto" w:line="288" w:before="100" w:after="6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Our Credit Agreement establishes an incurrence-based minimum Interest Coverage Ratio, defined as Covenant Adjusted EBITDA to consolidated interest expense, the achievement of which is a condition for us to incur certain additional indebtedness and to make certain restricted payments. If we do not maintain this minimum Interest Coverage Ratio calculated on a pro forma basis for any such additional indebtedness or restricted payments, we could be prohibited from being able to (1) incur additional indebtedness, other than the incremental capacity provided for under our Credit Agreement and pursuant to certain specified exceptions, and (2) make certain restricted payments, other than pursuant to certain specified exceptions. However, any failure to maintain the minimum Interest Coverage Ratio would not result in a default or an event of default under either the Credit Agreement or the indentures governing the senior notes. The minimum Interest Coverage Ratio is at least 2.000x for the term of the Credit Agreement. Consolidated interest expense is defined in the Credit Agreement as consolidated interest expense excluding interest income, adjusted for acquisitions and dispositions and for certain non-cash or nonrecurring interest expense. The indentures governing our senior notes include a similar requirement which is referred to as a Fixed Charge Coverage Ratio. </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We and our subsidiaries and affiliates may from time to time, in our sole discretion, purchase, repay, redeem or retire any of our outstanding debt securities (including any publicly issued debt securities), in privately negotiated or open market transactions, by tender offer or otherwise, or extend or refinance any of our outstanding indebtedness.</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Supplemental Consolidating Information</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Regulation S-X Rule 13-01, which simplifies certain disclosure requirements for guarantors and issuers of guaranteed securities, we are not required to provide condensed consolidating financial statements for Aramark and its subsidiaries, including the guarantors and non-guarantors under our Credit Agreement and the indentures governing our senior notes. ASI, the borrower under our Credit Agreement and the indentures governing our senior notes, and its restricted subsidiaries together comprise substantially all of our assets, liabilities and operations, and there are no material differences between the consolidating information related to Aramark and Aramark Intermediate Holdco Corporation, the direct parent of ASI and a guarantor under our Credit Agreement, on the one hand, and ASI and its restricted subsidiaries on a standalone basis, on the other hand. </w:t>
      </w:r>
    </w:p>
    <w:p>
      <w:pPr>
        <w:pStyle w:val="TextBody"/>
        <w:bidi w:val="0"/>
        <w:spacing w:lineRule="auto" w:line="288" w:before="100" w:after="60"/>
        <w:jc w:val="left"/>
        <w:rPr>
          <w:rFonts w:ascii="Times New Roman;sans-serif" w:hAnsi="Times New Roman;sans-serif"/>
          <w:b/>
          <w:i/>
          <w:color w:val="000000"/>
          <w:sz w:val="20"/>
        </w:rPr>
      </w:pPr>
      <w:r>
        <w:rPr>
          <w:rFonts w:ascii="Times New Roman;sans-serif" w:hAnsi="Times New Roman;sans-serif"/>
          <w:b/>
          <w:i/>
          <w:color w:val="000000"/>
          <w:sz w:val="20"/>
        </w:rPr>
        <w:t>Other</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activities do not include the use of unconsolidated special purpose entities and there are no significant business transactions that have not been reflected in the accompanying condensed consolidated financial statements. We insure portions of our risk related to general liability, automobile liability, workers’ compensation liability claims as well as certain property damage risks through a wholly owned captive insurance subsidiary (the "Captive") as part of our approach to risk finance. The Captive is subject to the regulations within its domicile of Bermuda, including regulations established by the Bermuda Monetary Authority (the "BMA") relating to levels of liquidity and solvency as such concepts are defined by the BMA. The Captive was in compliance with these regulations as of March 28, 2025. These regulations may have the effect of limiting our ability to access certain cash and cash equivalents held by the Captive for uses other than for the payment of our general liability, automobile liability, workers’ compensation liability, certain property damage and related Captive costs. As of March 28, 2025 and September 27, 2024, cash and cash equivalents at the Captive were $95.2 million and $94.7 million, respectively. The Captive also invests in United States Treasury securities where the amount as of March 28, 2025 and September 27, 2024 was $43.3 million and $42.3 million, respectively, and is recorded in "Prepayments and other current assets" on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Our significant accounting policies are described in the notes to the audited consolidated financial statements included in our Annual Report on Form 10-K, filed with the SEC on November 19, 2024. For a more complete discussion of the critical accounting policies and estimates that we have identified in the preparation of our condensed consolidated financial statements, please refer to our Management's Discussion and Analysis of Financial Condition and Results of Operations included in our Annual Report on Form 10-K, filed with the SEC on November 19, 2024.</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preparing our financial statements, management is required to make estimates and assumptions that, among other things, affect the reported amounts of assets, liabilities, revenue and expenses. These estimates and assumptions are most significant where they involve levels of subjectivity and judgment necessary to account for highly uncertain matters or matters susceptible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84785"/>
                <wp:effectExtent l="0" t="0" r="0" b="0"/>
                <wp:wrapNone/>
                <wp:docPr id="31" name="Frame3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60" w:after="60"/>
        <w:jc w:val="left"/>
        <w:rPr/>
      </w:pPr>
      <w:hyperlink w:anchor="i34e28d6f97b94b71adbb4ccfd6dde94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to change, and where they can have a material impact on our financial condition and operating performance. If actual results were to differ materially from the estimates made, the reported results could be materially affected.</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Critical accounting estimates and the related assumptions are evaluated periodically as conditions warrant, and changes to such estimates are recorded as new information or changed conditions require.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Times New Roman;sans-serif" w:hAnsi="Times New Roman;sans-serif"/>
          <w:b/>
          <w:color w:val="000000"/>
          <w:sz w:val="20"/>
        </w:rPr>
      </w:pPr>
      <w:r>
        <w:rPr>
          <w:rFonts w:ascii="Times New Roman;sans-serif" w:hAnsi="Times New Roman;sans-serif"/>
          <w:b/>
          <w:color w:val="000000"/>
          <w:sz w:val="20"/>
        </w:rPr>
        <w:t>New Accounting Standard Updates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See Note 1 to the condensed consolidated financial statements for a full description of recent accounting standard updates, including the expected dates of adoption.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 About Market Risk</w:t>
      </w:r>
    </w:p>
    <w:p>
      <w:pPr>
        <w:pStyle w:val="TextBody"/>
        <w:bidi w:val="0"/>
        <w:spacing w:lineRule="auto" w:line="288" w:before="100" w:after="60"/>
        <w:jc w:val="left"/>
        <w:rPr/>
      </w:pPr>
      <w:r>
        <w:rPr>
          <w:rFonts w:ascii="Times New Roman;sans-serif" w:hAnsi="Times New Roman;sans-serif"/>
          <w:b w:val="false"/>
          <w:color w:val="000000"/>
          <w:sz w:val="20"/>
        </w:rPr>
        <w:t>We are exposed to the impact of interest rate changes and manage this exposure through the use of variable-rate and fixed-rate debt and by utilizing interest rate swaps. We do not enter into contracts for trading purposes and do not use leveraged instruments. The market risk associated with debt obligations as of March 28, 2025 has not materially changed from September 27, 2024 (see Part II, Item 7A "Quantitative and Qualitative Disclosure About Market Risk" in our Annual Report on Form 10-K for the fiscal year ended September 27, 2024 filed with the SEC on November 19, 2024). However, we completed several debt related transactions during the second quarter of fiscal 2025 that may impact our related exposure to this market risk. First, we repaid in full $839.3 million of the U.S. Term B-4 Loans due 2027 and redeemed the entire $551.5 million aggregate principal amount outstanding of the 5.000% 2025 Notes. In connection with the repayment and redemption, we completed a syndication process for New U.S. Term B-8 Loans due 2030 in an aggregate principal amount of $1,395.0 million. In addition, we issued €400.0 million of the 4.375% 2033 Notes, using a portion of the net proceeds to repay all of the 3.125% 2025 Notes on April 1, 2025 and the remainder for general corporate purpose</w:t>
      </w:r>
      <w:r>
        <w:rPr>
          <w:rFonts w:ascii="Times New Roman;sans-serif" w:hAnsi="Times New Roman;sans-serif"/>
          <w:b w:val="false"/>
          <w:color w:val="000000"/>
          <w:sz w:val="22"/>
        </w:rPr>
        <w:t>s</w:t>
      </w:r>
      <w:r>
        <w:rPr>
          <w:rFonts w:ascii="Times New Roman;sans-serif" w:hAnsi="Times New Roman;sans-serif"/>
          <w:b w:val="false"/>
          <w:color w:val="000000"/>
          <w:sz w:val="20"/>
        </w:rPr>
        <w:t>, including reduction of debt. Lastly, during the three months ended March 28, 2025, interest rate swaps with a notional amount of $800.0 million matured and interest rate swaps with a notional amount of $700.0 million were entered into. See Note 3 to the condensed consolidated financial statements related to the changes in our debt levels. See Note 4 to the condensed consolidated financial statements for a discussion of our derivative instruments and Note 11 for the disclosure of the fair value and related carrying value of our debt obligations as of March 28,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with the participation of our Chief Executive Officer and Chief Financial Officer, evaluated the effectiveness of our disclosure controls and procedures (as that term is defined in Rules 13a-15(e) and 15d-15(e) under the Securities Exchange Act of 1934, as amended) as of the end of the period covered by this report. Based on that evaluation, management, with the participation of our Chief Executive Officer and Chief Financial Officer, concluded that our disclosure controls and procedures, as of the end of the period covered by this report, are functioning effectively to provide reasonable assurance that the information required to be disclosed by us in reports filed under the Securities Exchange Act of 1934 is recorded, processed, summarized and reported within the time periods specified in the SEC's rules and forms and is accumulated and communicated to our management, including our principal executive and principal financial officers, to allow timely decisions regarding required disclosures.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No change in our internal control over financial reporting occurred during our second quarter of fiscal 2025 that has materially affected, or is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84785"/>
                <wp:effectExtent l="0" t="0" r="0" b="0"/>
                <wp:wrapNone/>
                <wp:docPr id="32" name="Frame3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60" w:after="60"/>
        <w:jc w:val="left"/>
        <w:rPr/>
      </w:pPr>
      <w:hyperlink w:anchor="i34e28d6f97b94b71adbb4ccfd6dde94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and our subsidiaries are party to various legal actions, proceedings and investigations involving claims incidental to the conduct of our business, including those brought by clients, customers, employees, government entities and third parties under, among others, federal, state, international, national, provincial and local employment laws, wage and hour laws, discrimination laws, immigration laws, human health and safety laws, import and export controls and customs laws, environmental laws, environmental, social and governance related non-financial disclosure laws, false claims or whistleblower statutes, minority, women and disadvantaged business enterprise statutes, tax codes, antitrust and competition laws, consumer protection statutes, procurement regulations, intellectual property laws, food safety and sanitation laws, cost and accounting principles, the Foreign Corrupt Practices Act, the U.K. Bribery Act, other anti-corruption laws, lobbying laws, motor carrier safety laws, data privacy and security laws and alcohol licensing and service laws, or alleging negligence and/or breaches of contractual and other obligations. Based on information currently available, advice of counsel, available insurance coverage, established reserves and other resources, we do not believe that any such actions, proceedings or investigations are likely to be, individually or in the aggregate, material to our business, financial condition, results of operations or cash flows. However, in the event of unexpected further developments, it is possible that the ultimate resolution of these matters, or other similar matters, if unfavorable, may be materially adverse to our business, financial condition, results of operations or cash flows.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various federal, state, and local laws and regulations governing, among other things, the generation, handling, storage, transportation, treatment and disposal of water wastes and other substances. We engage in informal settlement discussions with federal, state, local and foreign authorities regarding allegations of violations of environmental laws in connection with our operations or businesses conducted by our predecessors or companies that we have acquired, the aggregate amount of which and related remediation costs we do not believe should have a material adverse effect on our financial condition or results of operations as of March 28, 2025.</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See Note 9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risk factors disclosed in Part I, Item 1A, "Risk Factors" in our Annual Report on Form 10-K for the fiscal year ended September 27, 2024 filed with the SEC on November 19,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Share repurchase activity during the three months ended March 28, 2025 was as follows:</w:t>
      </w:r>
    </w:p>
    <w:tbl>
      <w:tblPr>
        <w:tblW w:w="10205" w:type="dxa"/>
        <w:jc w:val="left"/>
        <w:tblInd w:w="0" w:type="dxa"/>
        <w:tblLayout w:type="fixed"/>
        <w:tblCellMar>
          <w:top w:w="28" w:type="dxa"/>
          <w:left w:w="28" w:type="dxa"/>
          <w:bottom w:w="28" w:type="dxa"/>
          <w:right w:w="28" w:type="dxa"/>
        </w:tblCellMar>
      </w:tblPr>
      <w:tblGrid>
        <w:gridCol w:w="457"/>
        <w:gridCol w:w="403"/>
        <w:gridCol w:w="407"/>
        <w:gridCol w:w="109"/>
        <w:gridCol w:w="109"/>
        <w:gridCol w:w="109"/>
        <w:gridCol w:w="800"/>
        <w:gridCol w:w="416"/>
        <w:gridCol w:w="418"/>
        <w:gridCol w:w="109"/>
        <w:gridCol w:w="109"/>
        <w:gridCol w:w="109"/>
        <w:gridCol w:w="296"/>
        <w:gridCol w:w="864"/>
        <w:gridCol w:w="152"/>
        <w:gridCol w:w="109"/>
        <w:gridCol w:w="109"/>
        <w:gridCol w:w="109"/>
        <w:gridCol w:w="924"/>
        <w:gridCol w:w="687"/>
        <w:gridCol w:w="689"/>
        <w:gridCol w:w="109"/>
        <w:gridCol w:w="109"/>
        <w:gridCol w:w="109"/>
        <w:gridCol w:w="421"/>
        <w:gridCol w:w="1647"/>
        <w:gridCol w:w="316"/>
      </w:tblGrid>
      <w:tr>
        <w:trPr/>
        <w:tc>
          <w:tcPr>
            <w:tcW w:w="457"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Total Number of Shares (or Units) Purchased</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Average Price Paid Per Share (or Units)</w:t>
            </w:r>
            <w:r>
              <w:rPr>
                <w:rFonts w:ascii="Times New Roman;sans-serif" w:hAnsi="Times New Roman;sans-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Total Number of Shares (or Units) Purchased as Part of Publicly Announced Plans or Programs</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Approximate Dollar Value of Shares (or Units) That May Yet Be Purchased Under the Plans or Programs</w:t>
            </w:r>
            <w:r>
              <w:rPr>
                <w:rFonts w:ascii="Times New Roman;sans-serif" w:hAnsi="Times New Roman;sans-serif"/>
                <w:b/>
                <w:color w:val="000000"/>
                <w:sz w:val="13"/>
              </w:rPr>
              <w:t>(1)</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w:t>
            </w:r>
          </w:p>
        </w:tc>
      </w:tr>
      <w:tr>
        <w:trPr/>
        <w:tc>
          <w:tcPr>
            <w:tcW w:w="12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28, 2024 to January 24,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620,492 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37.37 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620,492 </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475,887 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January 25, 2025 to February 21, 2025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877,215 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877,215 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443,390 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22, 2025 to March 28,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1,565,397 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1,565,397 </w:t>
            </w:r>
          </w:p>
        </w:tc>
        <w:tc>
          <w:tcPr>
            <w:tcW w:w="6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388,721 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3,063,104 </w:t>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3,063,104 </w:t>
            </w:r>
          </w:p>
        </w:tc>
        <w:tc>
          <w:tcPr>
            <w:tcW w:w="6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ans-serif" w:hAnsi="Times New Roman;sans-serif"/>
          <w:b w:val="false"/>
          <w:color w:val="000000"/>
          <w:sz w:val="16"/>
        </w:rPr>
      </w:pPr>
      <w:r>
        <w:rPr>
          <w:rFonts w:ascii="Times New Roman;sans-serif" w:hAnsi="Times New Roman;sans-serif"/>
          <w:b w:val="false"/>
          <w:color w:val="000000"/>
          <w:sz w:val="16"/>
        </w:rPr>
        <w:t>(1) On November 5, 2024, our Board of Directors approved a share repurchase program under which we are authorized to repurchase up to $500.0 million of our outstanding common stock. The share repurchase program does not have a fixed expiration date and may be terminated at any time.</w:t>
      </w:r>
    </w:p>
    <w:p>
      <w:pPr>
        <w:pStyle w:val="TextBody"/>
        <w:bidi w:val="0"/>
        <w:spacing w:lineRule="auto" w:line="288" w:before="100" w:after="60"/>
        <w:jc w:val="left"/>
        <w:rPr>
          <w:rFonts w:ascii="Times New Roman;sans-serif" w:hAnsi="Times New Roman;sans-serif"/>
          <w:b w:val="false"/>
          <w:color w:val="000000"/>
          <w:sz w:val="16"/>
        </w:rPr>
      </w:pPr>
      <w:r>
        <w:rPr>
          <w:rFonts w:ascii="Times New Roman;sans-serif" w:hAnsi="Times New Roman;sans-serif"/>
          <w:b w:val="false"/>
          <w:color w:val="000000"/>
          <w:sz w:val="16"/>
        </w:rPr>
        <w:t>(2) Average price paid per share includes costs associated with the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84785"/>
                <wp:effectExtent l="0" t="0" r="0" b="0"/>
                <wp:wrapNone/>
                <wp:docPr id="33" name="Frame3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60" w:after="60"/>
        <w:jc w:val="left"/>
        <w:rPr/>
      </w:pPr>
      <w:r>
        <w:rPr/>
      </w: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28, 2025, none of our directors or officers (as defined in Rule 16a-1(f) of the Securities Exchange Act of 1934, as amended), adopted, terminated or modified a Rule 10b5-1 trading arrangement or non-Rule 10b5-1 trading arrangement (as such terms are defined in Item 408 of Regulation S-K of the Securities Act of 1933,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See the Exhibit Index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84785"/>
                <wp:effectExtent l="0" t="0" r="0" b="0"/>
                <wp:wrapNone/>
                <wp:docPr id="34" name="Frame3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60" w:after="60"/>
        <w:jc w:val="left"/>
        <w:rPr/>
      </w:pPr>
      <w:r>
        <w:rPr/>
      </w:r>
    </w:p>
    <w:p>
      <w:pPr>
        <w:pStyle w:val="TextBody"/>
        <w:bidi w:val="0"/>
        <w:spacing w:lineRule="auto" w:line="288" w:before="60" w:after="6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 on May 6, 2025.</w:t>
      </w:r>
    </w:p>
    <w:tbl>
      <w:tblPr>
        <w:tblW w:w="697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93"/>
        <w:gridCol w:w="193"/>
        <w:gridCol w:w="198"/>
        <w:gridCol w:w="109"/>
        <w:gridCol w:w="109"/>
        <w:gridCol w:w="109"/>
        <w:gridCol w:w="1386"/>
        <w:gridCol w:w="1386"/>
        <w:gridCol w:w="19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Aramark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CHRISTOPHER T. SCHILLING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Christopher T. Schilling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Senior Vice President, Controller and Chief Accounting Officer</w:t>
              <w:br/>
              <w:t>(Principal Accounting Officer and Authorized Signatory)</w:t>
            </w:r>
          </w:p>
        </w:tc>
      </w:tr>
    </w:tbl>
    <w:p>
      <w:pPr>
        <w:pStyle w:val="TextBody"/>
        <w:bidi w:val="0"/>
        <w:spacing w:before="10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84785"/>
                <wp:effectExtent l="0" t="0" r="0" b="0"/>
                <wp:wrapNone/>
                <wp:docPr id="35" name="Frame3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60" w:after="6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Exhibit Index</w:t>
      </w:r>
    </w:p>
    <w:tbl>
      <w:tblPr>
        <w:tblW w:w="10205" w:type="dxa"/>
        <w:jc w:val="left"/>
        <w:tblInd w:w="0" w:type="dxa"/>
        <w:tblLayout w:type="fixed"/>
        <w:tblCellMar>
          <w:top w:w="28" w:type="dxa"/>
          <w:left w:w="28" w:type="dxa"/>
          <w:bottom w:w="28" w:type="dxa"/>
          <w:right w:w="28" w:type="dxa"/>
        </w:tblCellMar>
      </w:tblPr>
      <w:tblGrid>
        <w:gridCol w:w="214"/>
        <w:gridCol w:w="187"/>
        <w:gridCol w:w="190"/>
        <w:gridCol w:w="109"/>
        <w:gridCol w:w="109"/>
        <w:gridCol w:w="109"/>
        <w:gridCol w:w="2834"/>
        <w:gridCol w:w="2672"/>
        <w:gridCol w:w="3781"/>
      </w:tblGrid>
      <w:tr>
        <w:trPr/>
        <w:tc>
          <w:tcPr>
            <w:tcW w:w="21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4"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c>
          <w:tcPr>
            <w:tcW w:w="3781" w:type="dxa"/>
            <w:tcBorders/>
            <w:vAlign w:val="center"/>
          </w:tcPr>
          <w:p>
            <w:pPr>
              <w:pStyle w:val="TableContents"/>
              <w:bidi w:val="0"/>
              <w:spacing w:before="0" w:after="283"/>
              <w:jc w:val="left"/>
              <w:rPr>
                <w:sz w:val="4"/>
                <w:szCs w:val="4"/>
              </w:rPr>
            </w:pPr>
            <w:r>
              <w:rPr>
                <w:sz w:val="4"/>
                <w:szCs w:val="4"/>
              </w:rPr>
            </w:r>
          </w:p>
        </w:tc>
      </w:tr>
      <w:tr>
        <w:trPr/>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4"/>
              </w:rPr>
              <w:t>Description</w:t>
            </w:r>
            <w:r>
              <w:rPr>
                <w:color w:val="000000"/>
              </w:rPr>
              <w:t> </w:t>
            </w:r>
          </w:p>
        </w:tc>
      </w:tr>
      <w:tr>
        <w:trPr/>
        <w:tc>
          <w:tcPr>
            <w:tcW w:w="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r:id="rId3">
              <w:r>
                <w:rPr>
                  <w:rStyle w:val="InternetLink"/>
                  <w:rFonts w:ascii="Times New Roman;sans-serif" w:hAnsi="Times New Roman;sans-serif"/>
                  <w:b w:val="false"/>
                  <w:color w:val="0000FF"/>
                  <w:sz w:val="20"/>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80"/>
                  <w:sz w:val="20"/>
                  <w:u w:val="single"/>
                </w:rPr>
                <w:t>Indenture, dated as of March 19, 2025, among Aramark International Finance S.à</w:t>
              </w:r>
            </w:hyperlink>
            <w:hyperlink r:id="rId5">
              <w:r>
                <w:rPr>
                  <w:rStyle w:val="InternetLink"/>
                  <w:rFonts w:ascii="Times New Roman;sans-serif" w:hAnsi="Times New Roman;sans-serif"/>
                  <w:b w:val="false"/>
                  <w:color w:val="000080"/>
                  <w:sz w:val="20"/>
                  <w:u w:val="single"/>
                </w:rPr>
                <w:t>.</w:t>
              </w:r>
            </w:hyperlink>
            <w:hyperlink r:id="rId6">
              <w:r>
                <w:rPr>
                  <w:rStyle w:val="InternetLink"/>
                  <w:rFonts w:ascii="Times New Roman;sans-serif" w:hAnsi="Times New Roman;sans-serif"/>
                  <w:b w:val="false"/>
                  <w:color w:val="000080"/>
                  <w:sz w:val="20"/>
                  <w:u w:val="single"/>
                </w:rPr>
                <w:t>r.l., as issuer, Aramark, as parent guarantor, Aramark Services, Inc., as a guarantor, the subsidiary guarantors named therein, U.S. Bank Trust Company, National Association, as trustee, U.S. Bank Europe DAC, as paying agent and transfer agent, and U.S. Bank Europe, as registrar (incorporated by reference to Exhibit 4.1 to Aramark’s Current Report filed with the SEC on March 19, 2025, pursuant to the Exchange Act (file number 001-36223)).</w:t>
              </w:r>
            </w:hyperlink>
          </w:p>
        </w:tc>
      </w:tr>
      <w:tr>
        <w:trPr/>
        <w:tc>
          <w:tcPr>
            <w:tcW w:w="5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7">
              <w:r>
                <w:rPr>
                  <w:rStyle w:val="InternetLink"/>
                  <w:rFonts w:ascii="Times New Roman;sans-serif" w:hAnsi="Times New Roman;sans-serif"/>
                  <w:b w:val="false"/>
                  <w:color w:val="0000FF"/>
                  <w:sz w:val="20"/>
                  <w:u w:val="single"/>
                </w:rPr>
                <w:t>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80"/>
                  <w:sz w:val="20"/>
                  <w:u w:val="single"/>
                </w:rPr>
                <w:t>Form of 4.375% Senior Notes due 2033 (include</w:t>
              </w:r>
            </w:hyperlink>
            <w:hyperlink r:id="rId9">
              <w:r>
                <w:rPr>
                  <w:rStyle w:val="InternetLink"/>
                  <w:rFonts w:ascii="Times New Roman;sans-serif" w:hAnsi="Times New Roman;sans-serif"/>
                  <w:b w:val="false"/>
                  <w:color w:val="000080"/>
                  <w:sz w:val="20"/>
                  <w:u w:val="single"/>
                </w:rPr>
                <w:t>d</w:t>
              </w:r>
            </w:hyperlink>
            <w:hyperlink r:id="rId10">
              <w:r>
                <w:rPr>
                  <w:rStyle w:val="InternetLink"/>
                  <w:rFonts w:ascii="Times New Roman;sans-serif" w:hAnsi="Times New Roman;sans-serif"/>
                  <w:b w:val="false"/>
                  <w:color w:val="000080"/>
                  <w:sz w:val="20"/>
                  <w:u w:val="single"/>
                </w:rPr>
                <w:t xml:space="preserve"> in Exhibit 4.1)</w:t>
              </w:r>
            </w:hyperlink>
            <w:r>
              <w:rPr>
                <w:rFonts w:ascii="Times New Roman;sans-serif" w:hAnsi="Times New Roman;sans-serif"/>
                <w:b w:val="false"/>
                <w:color w:val="000000"/>
                <w:sz w:val="20"/>
              </w:rPr>
              <w:t>.</w:t>
            </w:r>
          </w:p>
        </w:tc>
      </w:tr>
      <w:tr>
        <w:trPr/>
        <w:tc>
          <w:tcPr>
            <w:tcW w:w="5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11">
              <w:r>
                <w:rPr>
                  <w:rStyle w:val="InternetLink"/>
                  <w:rFonts w:ascii="Times New Roman;sans-serif" w:hAnsi="Times New Roman;sans-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Incremental Amendment No. 17 (the “Amendment”), dated as of February 18, 2025, among Aramark Services, Inc. (the “Company”), Aramark Intermediate HoldCo Corporation (“Holdings”), certain wholly-owned subsidiaries of the Company, the financial institutions party thereto and JPMorgan Chase Bank, N.A. as administrative agent for the Lenders (as defined below) and collateral agent for the secured parties thereunder to the Credit Agreement, dated March 28, 2017, among the Company, Holdings, certain other borrowers party thereto, the financial institutions from time to time party thereto (including the financial institutions party to the Amendment, the “Lenders”), the issuing banks named therein and JPMorgan Chase Bank, N.A., as administrative agent for the Lenders and collateral agent for the secured parties thereunder (incorporated by reference to Exhibit 10.1 to Aramark’s Current Report filed with the SEC on August 6, 2024, pursuant to the Exchange Act (file number 001-36223)).</w:t>
              </w:r>
            </w:hyperlink>
          </w:p>
        </w:tc>
      </w:tr>
      <w:tr>
        <w:trPr/>
        <w:tc>
          <w:tcPr>
            <w:tcW w:w="5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311q22025.htm">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1q22025.htm">
              <w:r>
                <w:rPr>
                  <w:rStyle w:val="InternetLink"/>
                  <w:rFonts w:ascii="Times New Roman;sans-serif" w:hAnsi="Times New Roman;sans-serif"/>
                  <w:b w:val="false"/>
                  <w:color w:val="0000FF"/>
                  <w:sz w:val="20"/>
                  <w:u w:val="single"/>
                </w:rPr>
                <w:t>Certification of John J. Zillmer, Chief Executive Officer, pursuant to Section 302 of the Sarbanes-Oxley Act of 2002.</w:t>
              </w:r>
            </w:hyperlink>
          </w:p>
        </w:tc>
      </w:tr>
      <w:tr>
        <w:trPr/>
        <w:tc>
          <w:tcPr>
            <w:tcW w:w="5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312q22025.htm">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2q22025.htm">
              <w:r>
                <w:rPr>
                  <w:rStyle w:val="InternetLink"/>
                  <w:rFonts w:ascii="Times New Roman;sans-serif" w:hAnsi="Times New Roman;sans-serif"/>
                  <w:b w:val="false"/>
                  <w:color w:val="0000FF"/>
                  <w:sz w:val="20"/>
                  <w:u w:val="single"/>
                </w:rPr>
                <w:t>Certification of James J. Tarangelo, Chief Financial Officer, pursuant to Section 302 of the Sarbanes-Oxley Act of 2002.</w:t>
              </w:r>
            </w:hyperlink>
          </w:p>
        </w:tc>
      </w:tr>
      <w:tr>
        <w:trPr/>
        <w:tc>
          <w:tcPr>
            <w:tcW w:w="5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321q22025.htm">
              <w:r>
                <w:rPr>
                  <w:rStyle w:val="InternetLink"/>
                  <w:rFonts w:ascii="Times New Roman;sans-serif" w:hAnsi="Times New Roman;sans-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1q22025.htm">
              <w:r>
                <w:rPr>
                  <w:rStyle w:val="InternetLink"/>
                  <w:rFonts w:ascii="Times New Roman;sans-serif" w:hAnsi="Times New Roman;sans-serif"/>
                  <w:b w:val="false"/>
                  <w:color w:val="0000FF"/>
                  <w:sz w:val="20"/>
                  <w:u w:val="single"/>
                </w:rPr>
                <w:t>Certification of John J. Zillmer, Chief Executive Officer, and James J. Tarangelo, Chief Financial Officer, pursuant to Section 906 of the Sarbanes-Oxley Act of 2002.</w:t>
              </w:r>
            </w:hyperlink>
          </w:p>
        </w:tc>
      </w:tr>
      <w:tr>
        <w:trPr/>
        <w:tc>
          <w:tcPr>
            <w:tcW w:w="5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4e28d6f97b94b71adbb4ccfd6dde946_16">
              <w:r>
                <w:rPr>
                  <w:rStyle w:val="InternetLink"/>
                  <w:rFonts w:ascii="Times New Roman;sans-serif" w:hAnsi="Times New Roman;sans-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e28d6f97b94b71adbb4ccfd6dde946_16">
              <w:r>
                <w:rPr>
                  <w:rStyle w:val="InternetLink"/>
                  <w:rFonts w:ascii="Times New Roman;sans-serif" w:hAnsi="Times New Roman;sans-serif"/>
                  <w:b w:val="false"/>
                  <w:color w:val="000080"/>
                  <w:sz w:val="20"/>
                  <w:u w:val="single"/>
                </w:rPr>
                <w:t xml:space="preserve">The following financial information from Aramark's Quarterly Report on Form 10-Q for the period ended </w:t>
              </w:r>
            </w:hyperlink>
            <w:hyperlink w:anchor="i34e28d6f97b94b71adbb4ccfd6dde946_16">
              <w:r>
                <w:rPr>
                  <w:rStyle w:val="InternetLink"/>
                  <w:rFonts w:ascii="Times New Roman;sans-serif" w:hAnsi="Times New Roman;sans-serif"/>
                  <w:b w:val="false"/>
                  <w:color w:val="000080"/>
                  <w:sz w:val="20"/>
                  <w:u w:val="single"/>
                </w:rPr>
                <w:t>March 28</w:t>
              </w:r>
            </w:hyperlink>
            <w:hyperlink w:anchor="i34e28d6f97b94b71adbb4ccfd6dde946_16">
              <w:r>
                <w:rPr>
                  <w:rStyle w:val="InternetLink"/>
                  <w:rFonts w:ascii="Times New Roman;sans-serif" w:hAnsi="Times New Roman;sans-serif"/>
                  <w:b w:val="false"/>
                  <w:color w:val="000080"/>
                  <w:sz w:val="20"/>
                  <w:u w:val="single"/>
                </w:rPr>
                <w:t>, 202</w:t>
              </w:r>
            </w:hyperlink>
            <w:hyperlink w:anchor="i34e28d6f97b94b71adbb4ccfd6dde946_16">
              <w:r>
                <w:rPr>
                  <w:rStyle w:val="InternetLink"/>
                  <w:rFonts w:ascii="Times New Roman;sans-serif" w:hAnsi="Times New Roman;sans-serif"/>
                  <w:b w:val="false"/>
                  <w:color w:val="000080"/>
                  <w:sz w:val="20"/>
                  <w:u w:val="single"/>
                </w:rPr>
                <w:t>5</w:t>
              </w:r>
            </w:hyperlink>
            <w:hyperlink w:anchor="i34e28d6f97b94b71adbb4ccfd6dde946_16">
              <w:r>
                <w:rPr>
                  <w:rStyle w:val="InternetLink"/>
                  <w:rFonts w:ascii="Times New Roman;sans-serif" w:hAnsi="Times New Roman;sans-serif"/>
                  <w:b w:val="false"/>
                  <w:color w:val="000080"/>
                  <w:sz w:val="20"/>
                  <w:u w:val="single"/>
                </w:rPr>
                <w:t xml:space="preserve"> formatted in inline XBRL: (i) Condensed Consolidated Balance Sheets as of </w:t>
              </w:r>
            </w:hyperlink>
            <w:hyperlink w:anchor="i34e28d6f97b94b71adbb4ccfd6dde946_16">
              <w:r>
                <w:rPr>
                  <w:rStyle w:val="InternetLink"/>
                  <w:rFonts w:ascii="Times New Roman;sans-serif" w:hAnsi="Times New Roman;sans-serif"/>
                  <w:b w:val="false"/>
                  <w:color w:val="000080"/>
                  <w:sz w:val="20"/>
                  <w:u w:val="single"/>
                </w:rPr>
                <w:t>March 28</w:t>
              </w:r>
            </w:hyperlink>
            <w:hyperlink w:anchor="i34e28d6f97b94b71adbb4ccfd6dde946_16">
              <w:r>
                <w:rPr>
                  <w:rStyle w:val="InternetLink"/>
                  <w:rFonts w:ascii="Times New Roman;sans-serif" w:hAnsi="Times New Roman;sans-serif"/>
                  <w:b w:val="false"/>
                  <w:color w:val="000080"/>
                  <w:sz w:val="20"/>
                  <w:u w:val="single"/>
                </w:rPr>
                <w:t>, 202</w:t>
              </w:r>
            </w:hyperlink>
            <w:hyperlink w:anchor="i34e28d6f97b94b71adbb4ccfd6dde946_16">
              <w:r>
                <w:rPr>
                  <w:rStyle w:val="InternetLink"/>
                  <w:rFonts w:ascii="Times New Roman;sans-serif" w:hAnsi="Times New Roman;sans-serif"/>
                  <w:b w:val="false"/>
                  <w:color w:val="000080"/>
                  <w:sz w:val="20"/>
                  <w:u w:val="single"/>
                </w:rPr>
                <w:t>5</w:t>
              </w:r>
            </w:hyperlink>
            <w:hyperlink w:anchor="i34e28d6f97b94b71adbb4ccfd6dde946_16">
              <w:r>
                <w:rPr>
                  <w:rStyle w:val="InternetLink"/>
                  <w:rFonts w:ascii="Times New Roman;sans-serif" w:hAnsi="Times New Roman;sans-serif"/>
                  <w:b w:val="false"/>
                  <w:color w:val="000080"/>
                  <w:sz w:val="20"/>
                  <w:u w:val="single"/>
                </w:rPr>
                <w:t xml:space="preserve"> and September 27, 2024; (ii) Condensed Consolidated Statements of Income for the three </w:t>
              </w:r>
            </w:hyperlink>
            <w:hyperlink w:anchor="i34e28d6f97b94b71adbb4ccfd6dde946_16">
              <w:r>
                <w:rPr>
                  <w:rStyle w:val="InternetLink"/>
                  <w:rFonts w:ascii="Times New Roman;sans-serif" w:hAnsi="Times New Roman;sans-serif"/>
                  <w:b w:val="false"/>
                  <w:color w:val="000080"/>
                  <w:sz w:val="20"/>
                  <w:u w:val="single"/>
                </w:rPr>
                <w:t xml:space="preserve">and six </w:t>
              </w:r>
            </w:hyperlink>
            <w:hyperlink w:anchor="i34e28d6f97b94b71adbb4ccfd6dde946_16">
              <w:r>
                <w:rPr>
                  <w:rStyle w:val="InternetLink"/>
                  <w:rFonts w:ascii="Times New Roman;sans-serif" w:hAnsi="Times New Roman;sans-serif"/>
                  <w:b w:val="false"/>
                  <w:color w:val="000080"/>
                  <w:sz w:val="20"/>
                  <w:u w:val="single"/>
                </w:rPr>
                <w:t xml:space="preserve">months ended </w:t>
              </w:r>
            </w:hyperlink>
            <w:hyperlink w:anchor="i34e28d6f97b94b71adbb4ccfd6dde946_16">
              <w:r>
                <w:rPr>
                  <w:rStyle w:val="InternetLink"/>
                  <w:rFonts w:ascii="Times New Roman;sans-serif" w:hAnsi="Times New Roman;sans-serif"/>
                  <w:b w:val="false"/>
                  <w:color w:val="000080"/>
                  <w:sz w:val="20"/>
                  <w:u w:val="single"/>
                </w:rPr>
                <w:t>March 28</w:t>
              </w:r>
            </w:hyperlink>
            <w:hyperlink w:anchor="i34e28d6f97b94b71adbb4ccfd6dde946_16">
              <w:r>
                <w:rPr>
                  <w:rStyle w:val="InternetLink"/>
                  <w:rFonts w:ascii="Times New Roman;sans-serif" w:hAnsi="Times New Roman;sans-serif"/>
                  <w:b w:val="false"/>
                  <w:color w:val="000080"/>
                  <w:sz w:val="20"/>
                  <w:u w:val="single"/>
                </w:rPr>
                <w:t>, 202</w:t>
              </w:r>
            </w:hyperlink>
            <w:hyperlink w:anchor="i34e28d6f97b94b71adbb4ccfd6dde946_16">
              <w:r>
                <w:rPr>
                  <w:rStyle w:val="InternetLink"/>
                  <w:rFonts w:ascii="Times New Roman;sans-serif" w:hAnsi="Times New Roman;sans-serif"/>
                  <w:b w:val="false"/>
                  <w:color w:val="000080"/>
                  <w:sz w:val="20"/>
                  <w:u w:val="single"/>
                </w:rPr>
                <w:t>5</w:t>
              </w:r>
            </w:hyperlink>
            <w:hyperlink w:anchor="i34e28d6f97b94b71adbb4ccfd6dde946_16">
              <w:r>
                <w:rPr>
                  <w:rStyle w:val="InternetLink"/>
                  <w:rFonts w:ascii="Times New Roman;sans-serif" w:hAnsi="Times New Roman;sans-serif"/>
                  <w:b w:val="false"/>
                  <w:color w:val="000080"/>
                  <w:sz w:val="20"/>
                  <w:u w:val="single"/>
                </w:rPr>
                <w:t xml:space="preserve"> and </w:t>
              </w:r>
            </w:hyperlink>
            <w:hyperlink w:anchor="i34e28d6f97b94b71adbb4ccfd6dde946_16">
              <w:r>
                <w:rPr>
                  <w:rStyle w:val="InternetLink"/>
                  <w:rFonts w:ascii="Times New Roman;sans-serif" w:hAnsi="Times New Roman;sans-serif"/>
                  <w:b w:val="false"/>
                  <w:color w:val="000080"/>
                  <w:sz w:val="20"/>
                  <w:u w:val="single"/>
                </w:rPr>
                <w:t>March 29</w:t>
              </w:r>
            </w:hyperlink>
            <w:hyperlink w:anchor="i34e28d6f97b94b71adbb4ccfd6dde946_16">
              <w:r>
                <w:rPr>
                  <w:rStyle w:val="InternetLink"/>
                  <w:rFonts w:ascii="Times New Roman;sans-serif" w:hAnsi="Times New Roman;sans-serif"/>
                  <w:b w:val="false"/>
                  <w:color w:val="000080"/>
                  <w:sz w:val="20"/>
                  <w:u w:val="single"/>
                </w:rPr>
                <w:t>, 202</w:t>
              </w:r>
            </w:hyperlink>
            <w:hyperlink w:anchor="i34e28d6f97b94b71adbb4ccfd6dde946_16">
              <w:r>
                <w:rPr>
                  <w:rStyle w:val="InternetLink"/>
                  <w:rFonts w:ascii="Times New Roman;sans-serif" w:hAnsi="Times New Roman;sans-serif"/>
                  <w:b w:val="false"/>
                  <w:color w:val="000080"/>
                  <w:sz w:val="20"/>
                  <w:u w:val="single"/>
                </w:rPr>
                <w:t>4</w:t>
              </w:r>
            </w:hyperlink>
            <w:hyperlink w:anchor="i34e28d6f97b94b71adbb4ccfd6dde946_16">
              <w:r>
                <w:rPr>
                  <w:rStyle w:val="InternetLink"/>
                  <w:rFonts w:ascii="Times New Roman;sans-serif" w:hAnsi="Times New Roman;sans-serif"/>
                  <w:b w:val="false"/>
                  <w:color w:val="000080"/>
                  <w:sz w:val="20"/>
                  <w:u w:val="single"/>
                </w:rPr>
                <w:t>; (iii) Condensed Consolidated Statements of Comprehensive Income for the three</w:t>
              </w:r>
            </w:hyperlink>
            <w:hyperlink w:anchor="i34e28d6f97b94b71adbb4ccfd6dde946_16">
              <w:r>
                <w:rPr>
                  <w:rStyle w:val="InternetLink"/>
                  <w:rFonts w:ascii="Times New Roman;sans-serif" w:hAnsi="Times New Roman;sans-serif"/>
                  <w:b w:val="false"/>
                  <w:color w:val="000080"/>
                  <w:sz w:val="20"/>
                  <w:u w:val="single"/>
                </w:rPr>
                <w:t xml:space="preserve"> and six</w:t>
              </w:r>
            </w:hyperlink>
            <w:hyperlink w:anchor="i34e28d6f97b94b71adbb4ccfd6dde946_16">
              <w:r>
                <w:rPr>
                  <w:rStyle w:val="InternetLink"/>
                  <w:rFonts w:ascii="Times New Roman;sans-serif" w:hAnsi="Times New Roman;sans-serif"/>
                  <w:b w:val="false"/>
                  <w:color w:val="000080"/>
                  <w:sz w:val="20"/>
                  <w:u w:val="single"/>
                </w:rPr>
                <w:t xml:space="preserve"> months ended </w:t>
              </w:r>
            </w:hyperlink>
            <w:hyperlink w:anchor="i34e28d6f97b94b71adbb4ccfd6dde946_16">
              <w:r>
                <w:rPr>
                  <w:rStyle w:val="InternetLink"/>
                  <w:rFonts w:ascii="Times New Roman;sans-serif" w:hAnsi="Times New Roman;sans-serif"/>
                  <w:b w:val="false"/>
                  <w:color w:val="000080"/>
                  <w:sz w:val="20"/>
                  <w:u w:val="single"/>
                </w:rPr>
                <w:t>March 28</w:t>
              </w:r>
            </w:hyperlink>
            <w:hyperlink w:anchor="i34e28d6f97b94b71adbb4ccfd6dde946_16">
              <w:r>
                <w:rPr>
                  <w:rStyle w:val="InternetLink"/>
                  <w:rFonts w:ascii="Times New Roman;sans-serif" w:hAnsi="Times New Roman;sans-serif"/>
                  <w:b w:val="false"/>
                  <w:color w:val="000080"/>
                  <w:sz w:val="20"/>
                  <w:u w:val="single"/>
                </w:rPr>
                <w:t>, 202</w:t>
              </w:r>
            </w:hyperlink>
            <w:hyperlink w:anchor="i34e28d6f97b94b71adbb4ccfd6dde946_16">
              <w:r>
                <w:rPr>
                  <w:rStyle w:val="InternetLink"/>
                  <w:rFonts w:ascii="Times New Roman;sans-serif" w:hAnsi="Times New Roman;sans-serif"/>
                  <w:b w:val="false"/>
                  <w:color w:val="000080"/>
                  <w:sz w:val="20"/>
                  <w:u w:val="single"/>
                </w:rPr>
                <w:t>5</w:t>
              </w:r>
            </w:hyperlink>
            <w:hyperlink w:anchor="i34e28d6f97b94b71adbb4ccfd6dde946_16">
              <w:r>
                <w:rPr>
                  <w:rStyle w:val="InternetLink"/>
                  <w:rFonts w:ascii="Times New Roman;sans-serif" w:hAnsi="Times New Roman;sans-serif"/>
                  <w:b w:val="false"/>
                  <w:color w:val="000080"/>
                  <w:sz w:val="20"/>
                  <w:u w:val="single"/>
                </w:rPr>
                <w:t xml:space="preserve"> and </w:t>
              </w:r>
            </w:hyperlink>
            <w:hyperlink w:anchor="i34e28d6f97b94b71adbb4ccfd6dde946_16">
              <w:r>
                <w:rPr>
                  <w:rStyle w:val="InternetLink"/>
                  <w:rFonts w:ascii="Times New Roman;sans-serif" w:hAnsi="Times New Roman;sans-serif"/>
                  <w:b w:val="false"/>
                  <w:color w:val="000080"/>
                  <w:sz w:val="20"/>
                  <w:u w:val="single"/>
                </w:rPr>
                <w:t>Ma</w:t>
              </w:r>
            </w:hyperlink>
            <w:hyperlink w:anchor="i34e28d6f97b94b71adbb4ccfd6dde946_16">
              <w:r>
                <w:rPr>
                  <w:rStyle w:val="InternetLink"/>
                  <w:rFonts w:ascii="Times New Roman;sans-serif" w:hAnsi="Times New Roman;sans-serif"/>
                  <w:b w:val="false"/>
                  <w:color w:val="000080"/>
                  <w:sz w:val="20"/>
                  <w:u w:val="single"/>
                </w:rPr>
                <w:t>rch 29</w:t>
              </w:r>
            </w:hyperlink>
            <w:hyperlink w:anchor="i34e28d6f97b94b71adbb4ccfd6dde946_16">
              <w:r>
                <w:rPr>
                  <w:rStyle w:val="InternetLink"/>
                  <w:rFonts w:ascii="Times New Roman;sans-serif" w:hAnsi="Times New Roman;sans-serif"/>
                  <w:b w:val="false"/>
                  <w:color w:val="000080"/>
                  <w:sz w:val="20"/>
                  <w:u w:val="single"/>
                </w:rPr>
                <w:t>, 202</w:t>
              </w:r>
            </w:hyperlink>
            <w:hyperlink w:anchor="i34e28d6f97b94b71adbb4ccfd6dde946_16">
              <w:r>
                <w:rPr>
                  <w:rStyle w:val="InternetLink"/>
                  <w:rFonts w:ascii="Times New Roman;sans-serif" w:hAnsi="Times New Roman;sans-serif"/>
                  <w:b w:val="false"/>
                  <w:color w:val="000080"/>
                  <w:sz w:val="20"/>
                  <w:u w:val="single"/>
                </w:rPr>
                <w:t>4</w:t>
              </w:r>
            </w:hyperlink>
            <w:hyperlink w:anchor="i34e28d6f97b94b71adbb4ccfd6dde946_16">
              <w:r>
                <w:rPr>
                  <w:rStyle w:val="InternetLink"/>
                  <w:rFonts w:ascii="Times New Roman;sans-serif" w:hAnsi="Times New Roman;sans-serif"/>
                  <w:b w:val="false"/>
                  <w:color w:val="000080"/>
                  <w:sz w:val="20"/>
                  <w:u w:val="single"/>
                </w:rPr>
                <w:t xml:space="preserve">; (iv) Condensed Consolidated Statements of Cash Flows for the </w:t>
              </w:r>
            </w:hyperlink>
            <w:hyperlink w:anchor="i34e28d6f97b94b71adbb4ccfd6dde946_16">
              <w:r>
                <w:rPr>
                  <w:rStyle w:val="InternetLink"/>
                  <w:rFonts w:ascii="Times New Roman;sans-serif" w:hAnsi="Times New Roman;sans-serif"/>
                  <w:b w:val="false"/>
                  <w:color w:val="000080"/>
                  <w:sz w:val="20"/>
                  <w:u w:val="single"/>
                </w:rPr>
                <w:t>six</w:t>
              </w:r>
            </w:hyperlink>
            <w:hyperlink w:anchor="i34e28d6f97b94b71adbb4ccfd6dde946_16">
              <w:r>
                <w:rPr>
                  <w:rStyle w:val="InternetLink"/>
                  <w:rFonts w:ascii="Times New Roman;sans-serif" w:hAnsi="Times New Roman;sans-serif"/>
                  <w:b w:val="false"/>
                  <w:color w:val="000080"/>
                  <w:sz w:val="20"/>
                  <w:u w:val="single"/>
                </w:rPr>
                <w:t xml:space="preserve"> months ended </w:t>
              </w:r>
            </w:hyperlink>
            <w:hyperlink w:anchor="i34e28d6f97b94b71adbb4ccfd6dde946_16">
              <w:r>
                <w:rPr>
                  <w:rStyle w:val="InternetLink"/>
                  <w:rFonts w:ascii="Times New Roman;sans-serif" w:hAnsi="Times New Roman;sans-serif"/>
                  <w:b w:val="false"/>
                  <w:color w:val="000080"/>
                  <w:sz w:val="20"/>
                  <w:u w:val="single"/>
                </w:rPr>
                <w:t>March 28</w:t>
              </w:r>
            </w:hyperlink>
            <w:hyperlink w:anchor="i34e28d6f97b94b71adbb4ccfd6dde946_16">
              <w:r>
                <w:rPr>
                  <w:rStyle w:val="InternetLink"/>
                  <w:rFonts w:ascii="Times New Roman;sans-serif" w:hAnsi="Times New Roman;sans-serif"/>
                  <w:b w:val="false"/>
                  <w:color w:val="000080"/>
                  <w:sz w:val="20"/>
                  <w:u w:val="single"/>
                </w:rPr>
                <w:t>, 202</w:t>
              </w:r>
            </w:hyperlink>
            <w:hyperlink w:anchor="i34e28d6f97b94b71adbb4ccfd6dde946_16">
              <w:r>
                <w:rPr>
                  <w:rStyle w:val="InternetLink"/>
                  <w:rFonts w:ascii="Times New Roman;sans-serif" w:hAnsi="Times New Roman;sans-serif"/>
                  <w:b w:val="false"/>
                  <w:color w:val="000080"/>
                  <w:sz w:val="20"/>
                  <w:u w:val="single"/>
                </w:rPr>
                <w:t>5</w:t>
              </w:r>
            </w:hyperlink>
            <w:hyperlink w:anchor="i34e28d6f97b94b71adbb4ccfd6dde946_16">
              <w:r>
                <w:rPr>
                  <w:rStyle w:val="InternetLink"/>
                  <w:rFonts w:ascii="Times New Roman;sans-serif" w:hAnsi="Times New Roman;sans-serif"/>
                  <w:b w:val="false"/>
                  <w:color w:val="000080"/>
                  <w:sz w:val="20"/>
                  <w:u w:val="single"/>
                </w:rPr>
                <w:t xml:space="preserve"> and </w:t>
              </w:r>
            </w:hyperlink>
            <w:hyperlink w:anchor="i34e28d6f97b94b71adbb4ccfd6dde946_16">
              <w:r>
                <w:rPr>
                  <w:rStyle w:val="InternetLink"/>
                  <w:rFonts w:ascii="Times New Roman;sans-serif" w:hAnsi="Times New Roman;sans-serif"/>
                  <w:b w:val="false"/>
                  <w:color w:val="000080"/>
                  <w:sz w:val="20"/>
                  <w:u w:val="single"/>
                </w:rPr>
                <w:t>March 29</w:t>
              </w:r>
            </w:hyperlink>
            <w:hyperlink w:anchor="i34e28d6f97b94b71adbb4ccfd6dde946_16">
              <w:r>
                <w:rPr>
                  <w:rStyle w:val="InternetLink"/>
                  <w:rFonts w:ascii="Times New Roman;sans-serif" w:hAnsi="Times New Roman;sans-serif"/>
                  <w:b w:val="false"/>
                  <w:color w:val="000080"/>
                  <w:sz w:val="20"/>
                  <w:u w:val="single"/>
                </w:rPr>
                <w:t>, 202</w:t>
              </w:r>
            </w:hyperlink>
            <w:hyperlink w:anchor="i34e28d6f97b94b71adbb4ccfd6dde946_16">
              <w:r>
                <w:rPr>
                  <w:rStyle w:val="InternetLink"/>
                  <w:rFonts w:ascii="Times New Roman;sans-serif" w:hAnsi="Times New Roman;sans-serif"/>
                  <w:b w:val="false"/>
                  <w:color w:val="000080"/>
                  <w:sz w:val="20"/>
                  <w:u w:val="single"/>
                </w:rPr>
                <w:t>4</w:t>
              </w:r>
            </w:hyperlink>
            <w:hyperlink w:anchor="i34e28d6f97b94b71adbb4ccfd6dde946_16">
              <w:r>
                <w:rPr>
                  <w:rStyle w:val="InternetLink"/>
                  <w:rFonts w:ascii="Times New Roman;sans-serif" w:hAnsi="Times New Roman;sans-serif"/>
                  <w:b w:val="false"/>
                  <w:color w:val="000080"/>
                  <w:sz w:val="20"/>
                  <w:u w:val="single"/>
                </w:rPr>
                <w:t>; (v) Condensed Consolidated Statements of Stockholders' Equity for the three</w:t>
              </w:r>
            </w:hyperlink>
            <w:hyperlink w:anchor="i34e28d6f97b94b71adbb4ccfd6dde946_16">
              <w:r>
                <w:rPr>
                  <w:rStyle w:val="InternetLink"/>
                  <w:rFonts w:ascii="Times New Roman;sans-serif" w:hAnsi="Times New Roman;sans-serif"/>
                  <w:b w:val="false"/>
                  <w:color w:val="000080"/>
                  <w:sz w:val="20"/>
                  <w:u w:val="single"/>
                </w:rPr>
                <w:t xml:space="preserve"> and six</w:t>
              </w:r>
            </w:hyperlink>
            <w:hyperlink w:anchor="i34e28d6f97b94b71adbb4ccfd6dde946_16">
              <w:r>
                <w:rPr>
                  <w:rStyle w:val="InternetLink"/>
                  <w:rFonts w:ascii="Times New Roman;sans-serif" w:hAnsi="Times New Roman;sans-serif"/>
                  <w:b w:val="false"/>
                  <w:color w:val="000080"/>
                  <w:sz w:val="20"/>
                  <w:u w:val="single"/>
                </w:rPr>
                <w:t xml:space="preserve"> months ended </w:t>
              </w:r>
            </w:hyperlink>
            <w:hyperlink w:anchor="i34e28d6f97b94b71adbb4ccfd6dde946_16">
              <w:r>
                <w:rPr>
                  <w:rStyle w:val="InternetLink"/>
                  <w:rFonts w:ascii="Times New Roman;sans-serif" w:hAnsi="Times New Roman;sans-serif"/>
                  <w:b w:val="false"/>
                  <w:color w:val="000080"/>
                  <w:sz w:val="20"/>
                  <w:u w:val="single"/>
                </w:rPr>
                <w:t>March 28</w:t>
              </w:r>
            </w:hyperlink>
            <w:hyperlink w:anchor="i34e28d6f97b94b71adbb4ccfd6dde946_16">
              <w:r>
                <w:rPr>
                  <w:rStyle w:val="InternetLink"/>
                  <w:rFonts w:ascii="Times New Roman;sans-serif" w:hAnsi="Times New Roman;sans-serif"/>
                  <w:b w:val="false"/>
                  <w:color w:val="000080"/>
                  <w:sz w:val="20"/>
                  <w:u w:val="single"/>
                </w:rPr>
                <w:t>, 202</w:t>
              </w:r>
            </w:hyperlink>
            <w:hyperlink w:anchor="i34e28d6f97b94b71adbb4ccfd6dde946_16">
              <w:r>
                <w:rPr>
                  <w:rStyle w:val="InternetLink"/>
                  <w:rFonts w:ascii="Times New Roman;sans-serif" w:hAnsi="Times New Roman;sans-serif"/>
                  <w:b w:val="false"/>
                  <w:color w:val="000080"/>
                  <w:sz w:val="20"/>
                  <w:u w:val="single"/>
                </w:rPr>
                <w:t>5</w:t>
              </w:r>
            </w:hyperlink>
            <w:hyperlink w:anchor="i34e28d6f97b94b71adbb4ccfd6dde946_16">
              <w:r>
                <w:rPr>
                  <w:rStyle w:val="InternetLink"/>
                  <w:rFonts w:ascii="Times New Roman;sans-serif" w:hAnsi="Times New Roman;sans-serif"/>
                  <w:b w:val="false"/>
                  <w:color w:val="000080"/>
                  <w:sz w:val="20"/>
                  <w:u w:val="single"/>
                </w:rPr>
                <w:t xml:space="preserve"> and </w:t>
              </w:r>
            </w:hyperlink>
            <w:hyperlink w:anchor="i34e28d6f97b94b71adbb4ccfd6dde946_16">
              <w:r>
                <w:rPr>
                  <w:rStyle w:val="InternetLink"/>
                  <w:rFonts w:ascii="Times New Roman;sans-serif" w:hAnsi="Times New Roman;sans-serif"/>
                  <w:b w:val="false"/>
                  <w:color w:val="000080"/>
                  <w:sz w:val="20"/>
                  <w:u w:val="single"/>
                </w:rPr>
                <w:t>March 29</w:t>
              </w:r>
            </w:hyperlink>
            <w:hyperlink w:anchor="i34e28d6f97b94b71adbb4ccfd6dde946_16">
              <w:r>
                <w:rPr>
                  <w:rStyle w:val="InternetLink"/>
                  <w:rFonts w:ascii="Times New Roman;sans-serif" w:hAnsi="Times New Roman;sans-serif"/>
                  <w:b w:val="false"/>
                  <w:color w:val="000080"/>
                  <w:sz w:val="20"/>
                  <w:u w:val="single"/>
                </w:rPr>
                <w:t>, 202</w:t>
              </w:r>
            </w:hyperlink>
            <w:hyperlink w:anchor="i34e28d6f97b94b71adbb4ccfd6dde946_16">
              <w:r>
                <w:rPr>
                  <w:rStyle w:val="InternetLink"/>
                  <w:rFonts w:ascii="Times New Roman;sans-serif" w:hAnsi="Times New Roman;sans-serif"/>
                  <w:b w:val="false"/>
                  <w:color w:val="000080"/>
                  <w:sz w:val="20"/>
                  <w:u w:val="single"/>
                </w:rPr>
                <w:t>4</w:t>
              </w:r>
            </w:hyperlink>
            <w:hyperlink w:anchor="i34e28d6f97b94b71adbb4ccfd6dde946_16">
              <w:r>
                <w:rPr>
                  <w:rStyle w:val="InternetLink"/>
                  <w:rFonts w:ascii="Times New Roman;sans-serif" w:hAnsi="Times New Roman;sans-serif"/>
                  <w:b w:val="false"/>
                  <w:color w:val="000080"/>
                  <w:sz w:val="20"/>
                  <w:u w:val="single"/>
                </w:rPr>
                <w:t>; and (vi) Notes to condensed consolidated financial statements.</w:t>
              </w:r>
            </w:hyperlink>
          </w:p>
        </w:tc>
      </w:tr>
      <w:tr>
        <w:trPr/>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for the cover page of this Quarterly Report on Form 10-Q; included in Exhibit 101 Inline XBRL document set.</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XBRL instance document does not appear in the interactive data file because the XBRL tags are embedded within the inline XBRL document.</w:t>
      </w:r>
    </w:p>
    <w:p>
      <w:pPr>
        <w:pStyle w:val="TextBody"/>
        <w:bidi w:val="0"/>
        <w:spacing w:lineRule="auto" w:line="288" w:before="10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The agreements and other documents filed as exhibits to this report are not intended to provide factual information or other disclosure other than with respect to the terms of the agreements or other documents themselves, and should not be relied upon for that purpose. In particular, any representations and warranties made by the Company in these agreements or other documents were made solely within the specific context of the relevant agreement or document and may not describe the actual state of affairs as of the date they were made or at any other time.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180" w:after="283"/>
        <w:jc w:val="right"/>
        <w:rPr/>
      </w:pPr>
      <w:r>
        <w:rPr>
          <w:color w:val="000000"/>
        </w:rPr>
        <w:t> </w:t>
      </w:r>
      <w:r>
        <w:rPr>
          <w:rFonts w:ascii="Times New Roman;sans-serif" w:hAnsi="Times New Roman;sans-serif"/>
          <w:b/>
          <w:color w:val="000000"/>
          <w:sz w:val="20"/>
        </w:rPr>
        <w:t xml:space="preserve">EXHIBIT 31.1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CERTIFICATIONS</w:t>
      </w:r>
    </w:p>
    <w:p>
      <w:pPr>
        <w:pStyle w:val="TextBody"/>
        <w:bidi w:val="0"/>
        <w:spacing w:before="100" w:after="283"/>
        <w:jc w:val="left"/>
        <w:rPr/>
      </w:pPr>
      <w:r>
        <w:rPr/>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John J. Zillmer, Chief Executive Officer, certify that:</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quarterly report on Form 10-Q of Aramark for the quarter ended March 28, 2025; </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6, 2025 </w:t>
      </w:r>
    </w:p>
    <w:tbl>
      <w:tblPr>
        <w:tblW w:w="2145" w:type="dxa"/>
        <w:jc w:val="left"/>
        <w:tblInd w:w="0" w:type="dxa"/>
        <w:tblLayout w:type="fixed"/>
        <w:tblCellMar>
          <w:top w:w="28" w:type="dxa"/>
          <w:left w:w="28" w:type="dxa"/>
          <w:bottom w:w="28" w:type="dxa"/>
          <w:right w:w="28" w:type="dxa"/>
        </w:tblCellMar>
      </w:tblPr>
      <w:tblGrid>
        <w:gridCol w:w="687"/>
        <w:gridCol w:w="603"/>
        <w:gridCol w:w="855"/>
      </w:tblGrid>
      <w:tr>
        <w:trPr/>
        <w:tc>
          <w:tcPr>
            <w:tcW w:w="687"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J. ZILLMER</w:t>
            </w:r>
          </w:p>
        </w:tc>
      </w:tr>
      <w:tr>
        <w:trPr/>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John J. Zillmer</w:t>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Chief Executive Officer</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31.2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CERTIFICATIONS</w:t>
      </w:r>
    </w:p>
    <w:p>
      <w:pPr>
        <w:pStyle w:val="TextBody"/>
        <w:bidi w:val="0"/>
        <w:spacing w:before="0" w:after="0"/>
        <w:jc w:val="center"/>
        <w:rPr/>
      </w:pPr>
      <w:r>
        <w:rPr/>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James J. Tarangelo, Senior Vice President and Chief Financial Officer, certify that:</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quarterly report on Form 10-Q of Aramark for the quarter ended March 28, 2025; </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6, 2025 </w:t>
      </w:r>
    </w:p>
    <w:tbl>
      <w:tblPr>
        <w:tblW w:w="2400" w:type="dxa"/>
        <w:jc w:val="left"/>
        <w:tblInd w:w="0" w:type="dxa"/>
        <w:tblLayout w:type="fixed"/>
        <w:tblCellMar>
          <w:top w:w="28" w:type="dxa"/>
          <w:left w:w="28" w:type="dxa"/>
          <w:bottom w:w="28" w:type="dxa"/>
          <w:right w:w="28" w:type="dxa"/>
        </w:tblCellMar>
      </w:tblPr>
      <w:tblGrid>
        <w:gridCol w:w="769"/>
        <w:gridCol w:w="675"/>
        <w:gridCol w:w="956"/>
      </w:tblGrid>
      <w:tr>
        <w:trPr/>
        <w:tc>
          <w:tcPr>
            <w:tcW w:w="76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J. TARANGELO</w:t>
            </w:r>
          </w:p>
        </w:tc>
      </w:tr>
      <w:tr>
        <w:trPr/>
        <w:tc>
          <w:tcPr>
            <w:tcW w:w="2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James J. Tarangelo</w:t>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Senior Vice President and</w:t>
              <w:br/>
              <w:t>Chief Financial Officer</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32.1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 SECTION 906 OF</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SARBANES-OXLEY ACT OF 2002</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Aramark (the “Company”) on Form 10-Q for the fiscal quarter ended March 28, 2025, as filed with the Securities and Exchange Commission on the date hereof (the “Report”), we, John J. Zillmer, Chief Executive Officer of the Company, and James J. Tarangelo, Senior Vice President and Chief Financial Officer of the Company, each certify, pursuant to 18 U.S.C. Section 1350, as adopted pursuant to Section 906 of the Sarbanes-Oxley Act of 2002, that, based on each of our knowledge:</w:t>
      </w:r>
    </w:p>
    <w:p>
      <w:pPr>
        <w:pStyle w:val="TextBody"/>
        <w:bidi w:val="0"/>
        <w:spacing w:before="100" w:after="283"/>
        <w:jc w:val="left"/>
        <w:rPr/>
      </w:pPr>
      <w:r>
        <w:rPr/>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(1)The Report fully complies with the requirements of Section 13(a) or 15(d) of the Securities Exchange Act of 1934; and </w:t>
      </w:r>
    </w:p>
    <w:p>
      <w:pPr>
        <w:pStyle w:val="TextBody"/>
        <w:bidi w:val="0"/>
        <w:spacing w:before="100" w:after="283"/>
        <w:ind w:left="0" w:right="0" w:firstLine="90"/>
        <w:jc w:val="left"/>
        <w:rPr/>
      </w:pPr>
      <w:r>
        <w:rPr/>
      </w:r>
    </w:p>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(2)The information contained in the Report fairly presents, in all material respects, the financial condition and results of operations of the Company. </w:t>
      </w:r>
    </w:p>
    <w:p>
      <w:pPr>
        <w:pStyle w:val="TextBody"/>
        <w:bidi w:val="0"/>
        <w:spacing w:before="100" w:after="283"/>
        <w:jc w:val="left"/>
        <w:rPr/>
      </w:pPr>
      <w:r>
        <w:rPr/>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6, 2025</w:t>
      </w:r>
    </w:p>
    <w:p>
      <w:pPr>
        <w:pStyle w:val="TextBody"/>
        <w:bidi w:val="0"/>
        <w:spacing w:lineRule="auto" w:line="288" w:before="0" w:after="0"/>
        <w:jc w:val="right"/>
        <w:rPr>
          <w:color w:val="000000"/>
        </w:rPr>
      </w:pPr>
      <w:r>
        <w:rPr>
          <w:color w:val="000000"/>
        </w:rPr>
        <w:t>                                </w:t>
      </w:r>
    </w:p>
    <w:tbl>
      <w:tblPr>
        <w:tblW w:w="2145" w:type="dxa"/>
        <w:jc w:val="right"/>
        <w:tblInd w:w="0" w:type="dxa"/>
        <w:tblLayout w:type="fixed"/>
        <w:tblCellMar>
          <w:top w:w="28" w:type="dxa"/>
          <w:left w:w="28" w:type="dxa"/>
          <w:bottom w:w="28" w:type="dxa"/>
          <w:right w:w="28" w:type="dxa"/>
        </w:tblCellMar>
      </w:tblPr>
      <w:tblGrid>
        <w:gridCol w:w="687"/>
        <w:gridCol w:w="603"/>
        <w:gridCol w:w="855"/>
      </w:tblGrid>
      <w:tr>
        <w:trPr/>
        <w:tc>
          <w:tcPr>
            <w:tcW w:w="687"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J. ZILLMER</w:t>
            </w:r>
          </w:p>
        </w:tc>
      </w:tr>
      <w:tr>
        <w:trPr/>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John J. Zillmer</w:t>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Chief Executive Officer</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color w:val="000000"/>
        </w:rPr>
      </w:pPr>
      <w:r>
        <w:rPr>
          <w:color w:val="000000"/>
        </w:rPr>
        <w:t> </w:t>
      </w:r>
    </w:p>
    <w:p>
      <w:pPr>
        <w:pStyle w:val="TextBody"/>
        <w:bidi w:val="0"/>
        <w:spacing w:lineRule="auto" w:line="288" w:before="0" w:after="0"/>
        <w:jc w:val="right"/>
        <w:rPr>
          <w:color w:val="000000"/>
        </w:rPr>
      </w:pPr>
      <w:r>
        <w:rPr>
          <w:color w:val="000000"/>
        </w:rPr>
        <w:t>                                </w:t>
      </w:r>
    </w:p>
    <w:tbl>
      <w:tblPr>
        <w:tblW w:w="2400" w:type="dxa"/>
        <w:jc w:val="right"/>
        <w:tblInd w:w="0" w:type="dxa"/>
        <w:tblLayout w:type="fixed"/>
        <w:tblCellMar>
          <w:top w:w="28" w:type="dxa"/>
          <w:left w:w="28" w:type="dxa"/>
          <w:bottom w:w="28" w:type="dxa"/>
          <w:right w:w="28" w:type="dxa"/>
        </w:tblCellMar>
      </w:tblPr>
      <w:tblGrid>
        <w:gridCol w:w="769"/>
        <w:gridCol w:w="675"/>
        <w:gridCol w:w="956"/>
      </w:tblGrid>
      <w:tr>
        <w:trPr/>
        <w:tc>
          <w:tcPr>
            <w:tcW w:w="76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J. TARANGELO</w:t>
            </w:r>
          </w:p>
        </w:tc>
      </w:tr>
      <w:tr>
        <w:trPr/>
        <w:tc>
          <w:tcPr>
            <w:tcW w:w="2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James J. Tarangelo</w:t>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Senior Vice President and</w:t>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Chief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584509/000158450925000099/ex41-armkeunotesindenture.htm" TargetMode="External"/><Relationship Id="rId4" Type="http://schemas.openxmlformats.org/officeDocument/2006/relationships/hyperlink" Target="https://www.sec.gov/Archives/edgar/data/1584509/000158450925000099/ex41-armkeunotesindenture.htm" TargetMode="External"/><Relationship Id="rId5" Type="http://schemas.openxmlformats.org/officeDocument/2006/relationships/hyperlink" Target="https://www.sec.gov/Archives/edgar/data/1584509/000158450925000099/ex41-armkeunotesindenture.htm" TargetMode="External"/><Relationship Id="rId6" Type="http://schemas.openxmlformats.org/officeDocument/2006/relationships/hyperlink" Target="https://www.sec.gov/Archives/edgar/data/1584509/000158450925000099/ex41-armkeunotesindenture.htm" TargetMode="External"/><Relationship Id="rId7" Type="http://schemas.openxmlformats.org/officeDocument/2006/relationships/hyperlink" Target="https://www.sec.gov/Archives/edgar/data/1584509/000158450925000099/ex41-armkeunotesindenture.htm" TargetMode="External"/><Relationship Id="rId8" Type="http://schemas.openxmlformats.org/officeDocument/2006/relationships/hyperlink" Target="https://www.sec.gov/Archives/edgar/data/1584509/000158450925000099/ex41-armkeunotesindenture.htm" TargetMode="External"/><Relationship Id="rId9" Type="http://schemas.openxmlformats.org/officeDocument/2006/relationships/hyperlink" Target="https://www.sec.gov/Archives/edgar/data/1584509/000158450925000099/ex41-armkeunotesindenture.htm" TargetMode="External"/><Relationship Id="rId10" Type="http://schemas.openxmlformats.org/officeDocument/2006/relationships/hyperlink" Target="https://www.sec.gov/Archives/edgar/data/1584509/000158450925000099/ex41-armkeunotesindenture.htm" TargetMode="External"/><Relationship Id="rId11" Type="http://schemas.openxmlformats.org/officeDocument/2006/relationships/hyperlink" Target="https://www.sec.gov/Archives/edgar/data/1584509/000158450925000056/aramarkam17-amendmentno1.htm" TargetMode="External"/><Relationship Id="rId12" Type="http://schemas.openxmlformats.org/officeDocument/2006/relationships/hyperlink" Target="https://www.sec.gov/Archives/edgar/data/1584509/000158450925000056/aramarkam17-amendmentno1.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19523</Words>
  <Characters>109375</Characters>
  <CharactersWithSpaces>127729</CharactersWithSpaces>
  <Paragraphs>2168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