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28, 2019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257810</wp:posOffset>
            </wp:positionV>
            <wp:extent cx="247015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420" w:type="dxa"/>
        <w:tblCellMar>
          <w:top w:w="0" w:type="dxa"/>
          <w:left w:w="0" w:type="dxa"/>
          <w:bottom w:w="0" w:type="dxa"/>
          <w:right w:w="0" w:type="dxa"/>
        </w:tblCellMar>
      </w:tblPr>
      <w:tr>
        <w:trPr>
          <w:trHeight w:val="421"/>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gridSpan w:val="2"/>
          </w:tcPr>
          <w:p>
            <w:pPr>
              <w:jc w:val="center"/>
              <w:ind w:right="580"/>
              <w:spacing w:after="0"/>
              <w:rPr>
                <w:sz w:val="20"/>
                <w:szCs w:val="20"/>
                <w:color w:val="auto"/>
              </w:rPr>
            </w:pPr>
            <w:r>
              <w:rPr>
                <w:rFonts w:ascii="Arial" w:cs="Arial" w:eastAsia="Arial" w:hAnsi="Arial"/>
                <w:sz w:val="32"/>
                <w:szCs w:val="32"/>
                <w:b w:val="1"/>
                <w:bCs w:val="1"/>
                <w:color w:val="auto"/>
              </w:rPr>
              <w:t>Aramark</w:t>
            </w:r>
          </w:p>
        </w:tc>
        <w:tc>
          <w:tcPr>
            <w:tcW w:w="348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80" w:type="dxa"/>
            <w:vAlign w:val="bottom"/>
            <w:gridSpan w:val="4"/>
          </w:tcPr>
          <w:p>
            <w:pPr>
              <w:jc w:val="center"/>
              <w:ind w:right="318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55"/>
        </w:trPr>
        <w:tc>
          <w:tcPr>
            <w:tcW w:w="1540" w:type="dxa"/>
            <w:vAlign w:val="bottom"/>
          </w:tcPr>
          <w:p>
            <w:pPr>
              <w:spacing w:after="0"/>
              <w:rPr>
                <w:sz w:val="22"/>
                <w:szCs w:val="22"/>
                <w:color w:val="auto"/>
              </w:rPr>
            </w:pPr>
          </w:p>
        </w:tc>
        <w:tc>
          <w:tcPr>
            <w:tcW w:w="2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Delaware</w:t>
            </w:r>
          </w:p>
        </w:tc>
        <w:tc>
          <w:tcPr>
            <w:tcW w:w="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80" w:type="dxa"/>
            <w:vAlign w:val="bottom"/>
          </w:tcPr>
          <w:p>
            <w:pPr>
              <w:jc w:val="right"/>
              <w:ind w:right="1460"/>
              <w:spacing w:after="0"/>
              <w:rPr>
                <w:sz w:val="20"/>
                <w:szCs w:val="20"/>
                <w:color w:val="auto"/>
              </w:rPr>
            </w:pPr>
            <w:r>
              <w:rPr>
                <w:rFonts w:ascii="Arial" w:cs="Arial" w:eastAsia="Arial" w:hAnsi="Arial"/>
                <w:sz w:val="18"/>
                <w:szCs w:val="18"/>
                <w:b w:val="1"/>
                <w:bCs w:val="1"/>
                <w:color w:val="auto"/>
              </w:rPr>
              <w:t>20-8236097</w:t>
            </w:r>
          </w:p>
        </w:tc>
      </w:tr>
      <w:tr>
        <w:trPr>
          <w:trHeight w:val="184"/>
        </w:trPr>
        <w:tc>
          <w:tcPr>
            <w:tcW w:w="1540" w:type="dxa"/>
            <w:vAlign w:val="bottom"/>
          </w:tcPr>
          <w:p>
            <w:pPr>
              <w:spacing w:after="0"/>
              <w:rPr>
                <w:sz w:val="15"/>
                <w:szCs w:val="15"/>
                <w:color w:val="auto"/>
              </w:rPr>
            </w:pPr>
          </w:p>
        </w:tc>
        <w:tc>
          <w:tcPr>
            <w:tcW w:w="22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(State or other jurisdiction of</w:t>
            </w: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80" w:type="dxa"/>
            <w:vAlign w:val="bottom"/>
          </w:tcPr>
          <w:p>
            <w:pPr>
              <w:jc w:val="center"/>
              <w:ind w:right="420"/>
              <w:spacing w:after="0"/>
              <w:rPr>
                <w:sz w:val="20"/>
                <w:szCs w:val="20"/>
                <w:color w:val="auto"/>
              </w:rPr>
            </w:pPr>
            <w:r>
              <w:rPr>
                <w:rFonts w:ascii="Arial" w:cs="Arial" w:eastAsia="Arial" w:hAnsi="Arial"/>
                <w:sz w:val="14"/>
                <w:szCs w:val="14"/>
                <w:color w:val="auto"/>
                <w:w w:val="95"/>
              </w:rPr>
              <w:t>(I.R.S. Employer</w:t>
            </w:r>
          </w:p>
        </w:tc>
      </w:tr>
      <w:tr>
        <w:trPr>
          <w:trHeight w:val="182"/>
        </w:trPr>
        <w:tc>
          <w:tcPr>
            <w:tcW w:w="1540" w:type="dxa"/>
            <w:vAlign w:val="bottom"/>
          </w:tcPr>
          <w:p>
            <w:pPr>
              <w:spacing w:after="0"/>
              <w:rPr>
                <w:sz w:val="15"/>
                <w:szCs w:val="15"/>
                <w:color w:val="auto"/>
              </w:rPr>
            </w:pPr>
          </w:p>
        </w:tc>
        <w:tc>
          <w:tcPr>
            <w:tcW w:w="224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incorporation or organization)</w:t>
            </w: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80" w:type="dxa"/>
            <w:vAlign w:val="bottom"/>
          </w:tcPr>
          <w:p>
            <w:pPr>
              <w:jc w:val="center"/>
              <w:ind w:right="400"/>
              <w:spacing w:after="0"/>
              <w:rPr>
                <w:sz w:val="20"/>
                <w:szCs w:val="20"/>
                <w:color w:val="auto"/>
              </w:rPr>
            </w:pPr>
            <w:r>
              <w:rPr>
                <w:rFonts w:ascii="Arial" w:cs="Arial" w:eastAsia="Arial" w:hAnsi="Arial"/>
                <w:sz w:val="14"/>
                <w:szCs w:val="14"/>
                <w:color w:val="auto"/>
                <w:w w:val="96"/>
              </w:rPr>
              <w:t>Identification Number)</w:t>
            </w:r>
          </w:p>
        </w:tc>
      </w:tr>
      <w:tr>
        <w:trPr>
          <w:trHeight w:val="255"/>
        </w:trPr>
        <w:tc>
          <w:tcPr>
            <w:tcW w:w="1540" w:type="dxa"/>
            <w:vAlign w:val="bottom"/>
          </w:tcPr>
          <w:p>
            <w:pPr>
              <w:spacing w:after="0"/>
              <w:rPr>
                <w:sz w:val="22"/>
                <w:szCs w:val="22"/>
                <w:color w:val="auto"/>
              </w:rPr>
            </w:pPr>
          </w:p>
        </w:tc>
        <w:tc>
          <w:tcPr>
            <w:tcW w:w="2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2400 Market Street</w:t>
            </w:r>
          </w:p>
        </w:tc>
        <w:tc>
          <w:tcPr>
            <w:tcW w:w="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70"/>
        </w:trPr>
        <w:tc>
          <w:tcPr>
            <w:tcW w:w="1540" w:type="dxa"/>
            <w:vAlign w:val="bottom"/>
          </w:tcPr>
          <w:p>
            <w:pPr>
              <w:spacing w:after="0"/>
              <w:rPr>
                <w:sz w:val="23"/>
                <w:szCs w:val="23"/>
                <w:color w:val="auto"/>
              </w:rPr>
            </w:pPr>
          </w:p>
        </w:tc>
        <w:tc>
          <w:tcPr>
            <w:tcW w:w="224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Philadelphia, Pennsylvania</w:t>
            </w:r>
          </w:p>
        </w:tc>
        <w:tc>
          <w:tcPr>
            <w:tcW w:w="8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80" w:type="dxa"/>
            <w:vAlign w:val="bottom"/>
          </w:tcPr>
          <w:p>
            <w:pPr>
              <w:jc w:val="right"/>
              <w:ind w:right="1680"/>
              <w:spacing w:after="0"/>
              <w:rPr>
                <w:sz w:val="20"/>
                <w:szCs w:val="20"/>
                <w:color w:val="auto"/>
              </w:rPr>
            </w:pPr>
            <w:r>
              <w:rPr>
                <w:rFonts w:ascii="Arial" w:cs="Arial" w:eastAsia="Arial" w:hAnsi="Arial"/>
                <w:sz w:val="18"/>
                <w:szCs w:val="18"/>
                <w:b w:val="1"/>
                <w:bCs w:val="1"/>
                <w:color w:val="auto"/>
              </w:rPr>
              <w:t>19103</w:t>
            </w:r>
          </w:p>
        </w:tc>
      </w:tr>
      <w:tr>
        <w:trPr>
          <w:trHeight w:val="218"/>
        </w:trPr>
        <w:tc>
          <w:tcPr>
            <w:tcW w:w="3780" w:type="dxa"/>
            <w:vAlign w:val="bottom"/>
            <w:gridSpan w:val="3"/>
          </w:tcPr>
          <w:p>
            <w:pPr>
              <w:jc w:val="center"/>
              <w:ind w:left="1419"/>
              <w:spacing w:after="0"/>
              <w:rPr>
                <w:sz w:val="20"/>
                <w:szCs w:val="20"/>
                <w:color w:val="auto"/>
              </w:rPr>
            </w:pPr>
            <w:r>
              <w:rPr>
                <w:rFonts w:ascii="Arial" w:cs="Arial" w:eastAsia="Arial" w:hAnsi="Arial"/>
                <w:sz w:val="14"/>
                <w:szCs w:val="14"/>
                <w:color w:val="auto"/>
                <w:w w:val="95"/>
              </w:rPr>
              <w:t>(Address of principal executive offices)</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80" w:type="dxa"/>
            <w:vAlign w:val="bottom"/>
          </w:tcPr>
          <w:p>
            <w:pPr>
              <w:jc w:val="center"/>
              <w:ind w:right="400"/>
              <w:spacing w:after="0"/>
              <w:rPr>
                <w:sz w:val="20"/>
                <w:szCs w:val="20"/>
                <w:color w:val="auto"/>
              </w:rPr>
            </w:pPr>
            <w:r>
              <w:rPr>
                <w:rFonts w:ascii="Arial" w:cs="Arial" w:eastAsia="Arial" w:hAnsi="Arial"/>
                <w:sz w:val="14"/>
                <w:szCs w:val="14"/>
                <w:color w:val="auto"/>
                <w:w w:val="96"/>
              </w:rPr>
              <w:t>(Zip Code)</w:t>
            </w:r>
          </w:p>
        </w:tc>
      </w:tr>
      <w:tr>
        <w:trPr>
          <w:trHeight w:val="282"/>
        </w:trPr>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(215) 238-3000</w:t>
            </w:r>
          </w:p>
        </w:tc>
        <w:tc>
          <w:tcPr>
            <w:tcW w:w="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2"/>
        </w:trPr>
        <w:tc>
          <w:tcPr>
            <w:tcW w:w="1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80" w:type="dxa"/>
            <w:vAlign w:val="bottom"/>
            <w:gridSpan w:val="4"/>
          </w:tcPr>
          <w:p>
            <w:pPr>
              <w:jc w:val="center"/>
              <w:ind w:right="316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10060" w:type="dxa"/>
            <w:vAlign w:val="bottom"/>
            <w:gridSpan w:val="7"/>
          </w:tcPr>
          <w:p>
            <w:pPr>
              <w:jc w:val="right"/>
              <w:ind w:right="2760"/>
              <w:spacing w:after="0"/>
              <w:rPr>
                <w:sz w:val="20"/>
                <w:szCs w:val="20"/>
                <w:color w:val="auto"/>
              </w:rPr>
            </w:pPr>
            <w:r>
              <w:rPr>
                <w:rFonts w:ascii="Arial" w:cs="Arial" w:eastAsia="Arial" w:hAnsi="Arial"/>
                <w:sz w:val="18"/>
                <w:szCs w:val="18"/>
                <w:color w:val="auto"/>
              </w:rPr>
              <w:t>___________________________________________</w:t>
            </w:r>
          </w:p>
        </w:tc>
      </w:tr>
      <w:tr>
        <w:trPr>
          <w:trHeight w:val="432"/>
        </w:trPr>
        <w:tc>
          <w:tcPr>
            <w:tcW w:w="65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473"/>
        </w:trPr>
        <w:tc>
          <w:tcPr>
            <w:tcW w:w="15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800" w:type="dxa"/>
            <w:vAlign w:val="bottom"/>
          </w:tcPr>
          <w:p>
            <w:pPr>
              <w:spacing w:after="0"/>
              <w:rPr>
                <w:sz w:val="24"/>
                <w:szCs w:val="24"/>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38"/>
        </w:trPr>
        <w:tc>
          <w:tcPr>
            <w:tcW w:w="3780" w:type="dxa"/>
            <w:vAlign w:val="bottom"/>
            <w:gridSpan w:val="3"/>
          </w:tcPr>
          <w:p>
            <w:pPr>
              <w:ind w:left="1220"/>
              <w:spacing w:after="0"/>
              <w:rPr>
                <w:sz w:val="20"/>
                <w:szCs w:val="20"/>
                <w:color w:val="auto"/>
              </w:rPr>
            </w:pPr>
            <w:r>
              <w:rPr>
                <w:rFonts w:ascii="Arial" w:cs="Arial" w:eastAsia="Arial" w:hAnsi="Arial"/>
                <w:sz w:val="14"/>
                <w:szCs w:val="14"/>
                <w:color w:val="auto"/>
                <w:w w:val="96"/>
              </w:rPr>
              <w:t>Common Stock, par value $0.01 per share</w:t>
            </w:r>
          </w:p>
        </w:tc>
        <w:tc>
          <w:tcPr>
            <w:tcW w:w="800" w:type="dxa"/>
            <w:vAlign w:val="bottom"/>
          </w:tcPr>
          <w:p>
            <w:pPr>
              <w:spacing w:after="0"/>
              <w:rPr>
                <w:sz w:val="20"/>
                <w:szCs w:val="20"/>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8"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ind w:right="80" w:firstLine="405"/>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jc w:val="center"/>
        <w:spacing w:after="0" w:line="207" w:lineRule="exact"/>
        <w:tabs>
          <w:tab w:leader="none" w:pos="240" w:val="left"/>
          <w:tab w:leader="none" w:pos="260" w:val="left"/>
          <w:tab w:leader="none" w:pos="220" w:val="left"/>
          <w:tab w:leader="none" w:pos="260" w:val="left"/>
          <w:tab w:leader="none" w:pos="220" w:val="left"/>
          <w:tab w:leader="none" w:pos="340" w:val="left"/>
          <w:tab w:leader="none" w:pos="340" w:val="left"/>
        </w:tabs>
        <w:rPr>
          <w:sz w:val="20"/>
          <w:szCs w:val="20"/>
          <w:color w:val="auto"/>
        </w:rPr>
      </w:pPr>
      <w:r>
        <w:rPr>
          <w:rFonts w:ascii="Arial" w:cs="Arial" w:eastAsia="Arial" w:hAnsi="Arial"/>
          <w:sz w:val="18"/>
          <w:szCs w:val="18"/>
          <w:color w:val="auto"/>
        </w:rPr>
        <w:t>Large Accelerated Filer  x</w:t>
        <w:tab/>
        <w:t>Accelerated filer</w:t>
      </w:r>
      <w:r>
        <w:rPr>
          <w:sz w:val="20"/>
          <w:szCs w:val="20"/>
          <w:color w:val="auto"/>
        </w:rPr>
        <w:tab/>
      </w:r>
      <w:r>
        <w:rPr>
          <w:rFonts w:ascii="Arial" w:cs="Arial" w:eastAsia="Arial" w:hAnsi="Arial"/>
          <w:sz w:val="18"/>
          <w:szCs w:val="18"/>
          <w:color w:val="auto"/>
        </w:rPr>
        <w:t>o</w:t>
        <w:tab/>
        <w:t>Non-accelerated filer</w:t>
      </w:r>
      <w:r>
        <w:rPr>
          <w:sz w:val="20"/>
          <w:szCs w:val="20"/>
          <w:color w:val="auto"/>
        </w:rPr>
        <w:tab/>
      </w:r>
      <w:r>
        <w:rPr>
          <w:rFonts w:ascii="Arial" w:cs="Arial" w:eastAsia="Arial" w:hAnsi="Arial"/>
          <w:sz w:val="18"/>
          <w:szCs w:val="18"/>
          <w:color w:val="auto"/>
        </w:rPr>
        <w:t>o</w:t>
        <w:tab/>
        <w:t>Smaller reporting company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right="22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20"/>
        <w:spacing w:after="0" w:line="207" w:lineRule="exact"/>
        <w:tabs>
          <w:tab w:leader="none" w:pos="87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58" w:lineRule="exact"/>
        <w:rPr>
          <w:sz w:val="24"/>
          <w:szCs w:val="24"/>
          <w:color w:val="auto"/>
        </w:rPr>
      </w:pPr>
    </w:p>
    <w:p>
      <w:pPr>
        <w:ind w:left="420"/>
        <w:spacing w:after="0"/>
        <w:rPr>
          <w:sz w:val="20"/>
          <w:szCs w:val="20"/>
          <w:color w:val="auto"/>
        </w:rPr>
      </w:pPr>
      <w:r>
        <w:rPr>
          <w:rFonts w:ascii="Arial" w:cs="Arial" w:eastAsia="Arial" w:hAnsi="Arial"/>
          <w:sz w:val="18"/>
          <w:szCs w:val="18"/>
          <w:color w:val="auto"/>
        </w:rPr>
        <w:t>As of July 26, 2019, the number of shares of the registrant's common stock outstanding is 246,908,555.</w:t>
      </w:r>
    </w:p>
    <w:p>
      <w:pPr>
        <w:sectPr>
          <w:pgSz w:w="11900" w:h="16838" w:orient="portrait"/>
          <w:cols w:equalWidth="0" w:num="1">
            <w:col w:w="11360"/>
          </w:cols>
          <w:pgMar w:left="240" w:top="549"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4"/>
          </w:tcPr>
          <w:p>
            <w:pPr>
              <w:ind w:left="6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 Financial Information</w:t>
              </w:r>
            </w:hyperlink>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60" w:type="dxa"/>
            <w:vAlign w:val="bottom"/>
            <w:tcBorders>
              <w:bottom w:val="single" w:sz="8" w:color="0000EE"/>
            </w:tcBorders>
            <w:gridSpan w:val="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4"/>
                <w:szCs w:val="24"/>
                <w:color w:val="auto"/>
              </w:rPr>
            </w:pPr>
          </w:p>
        </w:tc>
        <w:tc>
          <w:tcPr>
            <w:tcW w:w="12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460" w:type="dxa"/>
            <w:vAlign w:val="bottom"/>
            <w:gridSpan w:val="14"/>
          </w:tcPr>
          <w:p>
            <w:pPr>
              <w:ind w:left="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(Unaudited)</w:t>
              </w:r>
            </w:hyperlink>
          </w:p>
        </w:tc>
        <w:tc>
          <w:tcPr>
            <w:tcW w:w="1880" w:type="dxa"/>
            <w:vAlign w:val="bottom"/>
            <w:gridSpan w:val="2"/>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tcBorders>
              <w:top w:val="single" w:sz="8" w:color="0000EE"/>
            </w:tcBorders>
            <w:gridSpan w:val="10"/>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Notes to Condensed Consolidated Financial Statements (Unaudited)</w:t>
              </w:r>
            </w:hyperlink>
          </w:p>
        </w:tc>
        <w:tc>
          <w:tcPr>
            <w:tcW w:w="2100" w:type="dxa"/>
            <w:vAlign w:val="bottom"/>
            <w:gridSpan w:val="3"/>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 About Market Risk</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PART II - Other Information</w:t>
              </w:r>
            </w:hyperlink>
          </w:p>
        </w:tc>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1A.</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480" w:type="dxa"/>
            <w:vAlign w:val="bottom"/>
            <w:gridSpan w:val="11"/>
          </w:tcPr>
          <w:p>
            <w:pPr>
              <w:spacing w:after="0"/>
              <w:rPr>
                <w:sz w:val="21"/>
                <w:szCs w:val="21"/>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82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4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anticipated effects of our adoption of new accounting standards, the expected impact of strategic portfolio actions, the benefits and costs of our acquisitions of each of Avendra, LLC ("Avendra") and AmeriPride Services, Inc. ("AmeriPride"),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or continue to be confident," "have confidence," "estimate," "expect," "will be," "will continue," "will likely result," "project," "intend," "plan," "believe," "see," "look to" and other words and terms of similar meaning or the negative versions of such words.</w:t>
      </w:r>
    </w:p>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our results or the costs and benefits of the acquisitions include without limitation: unfavorable economic conditions; natural disasters, global calamities,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disruptions in the availability of our computer systems or privacy breaches; failure to achieve and maintain effective internal controls; our leverage; the inability to generate sufficient cash to service all of our indebtedness; debt agreements that limit our flexibility in operating our business;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disruption of the transactions to each of Avendra and AmeriPride and their respective managements; the effect of the transactions on each of Avendra's and AmeriPride's ability to retain and hire key personnel and maintain relationships with customers, suppliers and other third parties, our ability to attract new or maintain existing customer and supplier relationships at reasonable cost, our ability to retain key personnel and other factors set forth under the headings Item 1A "Risk Factors," Item 3 "Legal Proceedings" and Item 7 "Management's Discussion and Analysis of Financial Condition and Results of Operations" and other sections of our Annual Report on Form 10-K, filed with the SEC on November 21, 2018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ectPr>
          <w:pgSz w:w="11900" w:h="16838" w:orient="portrait"/>
          <w:cols w:equalWidth="0" w:num="1">
            <w:col w:w="11420"/>
          </w:cols>
          <w:pgMar w:left="240" w:top="17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200" w:type="dxa"/>
            <w:vAlign w:val="bottom"/>
          </w:tcPr>
          <w:p>
            <w:pPr>
              <w:spacing w:after="0"/>
              <w:rPr>
                <w:sz w:val="16"/>
                <w:szCs w:val="16"/>
                <w:color w:val="auto"/>
              </w:rPr>
            </w:pPr>
          </w:p>
        </w:tc>
        <w:tc>
          <w:tcPr>
            <w:tcW w:w="150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September 28, 2018</w:t>
            </w:r>
          </w:p>
        </w:tc>
      </w:tr>
      <w:tr>
        <w:trPr>
          <w:trHeight w:val="250"/>
        </w:trPr>
        <w:tc>
          <w:tcPr>
            <w:tcW w:w="7900" w:type="dxa"/>
            <w:vAlign w:val="bottom"/>
            <w:tcBorders>
              <w:top w:val="single" w:sz="8" w:color="CCEEFF"/>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Receivables (less allowances: 2019 - $48,666; 2018 - $52,682)</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1,832,911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1,790,433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724,802</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196,044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171,165</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2,642,125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2,901,425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2,143,765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1,378,094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5,526,301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2,064,637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2,136,844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1,352,674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1,693,171</w:t>
            </w:r>
          </w:p>
        </w:tc>
      </w:tr>
      <w:tr>
        <w:trPr>
          <w:trHeight w:val="237"/>
        </w:trPr>
        <w:tc>
          <w:tcPr>
            <w:tcW w:w="79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13,729,502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13,720,102</w:t>
            </w:r>
          </w:p>
        </w:tc>
      </w:tr>
      <w:tr>
        <w:trPr>
          <w:trHeight w:val="67"/>
        </w:trPr>
        <w:tc>
          <w:tcPr>
            <w:tcW w:w="79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30,907</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819,922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1,018,920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1,440,332</w:t>
            </w: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2,159,396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2,490,159</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7,198,918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1,075,198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977,215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4"/>
              </w:rPr>
              <w:t>Common stock, par value $.01 (authorized: 600,000,000 shares; issued: 2019—281,900,468</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79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9"/>
              </w:rPr>
              <w:t>shares and 2018—279,314,297 shares; and outstanding: 2019—246,891,550 shares and 2018</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—246,744,438 shares)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Capital surplus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3,208,399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3,132,421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710,519</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(170,838)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(91,223)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7"/>
              </w:rPr>
              <w:t>Treasury stock (shares held in treasury: 2019—35,008,918 shares and 2018—32,569,859</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57"/>
        </w:trPr>
        <w:tc>
          <w:tcPr>
            <w:tcW w:w="7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shares)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3,285,922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3,029,558</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13,729,502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20" w:type="dxa"/>
            <w:vAlign w:val="bottom"/>
          </w:tcPr>
          <w:p>
            <w:pPr>
              <w:spacing w:after="0"/>
              <w:rPr>
                <w:sz w:val="22"/>
                <w:szCs w:val="22"/>
                <w:color w:val="auto"/>
              </w:rPr>
            </w:pPr>
          </w:p>
        </w:tc>
        <w:tc>
          <w:tcPr>
            <w:tcW w:w="15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 2018</w:t>
            </w:r>
          </w:p>
        </w:tc>
      </w:tr>
      <w:tr>
        <w:trPr>
          <w:trHeight w:val="27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4,010,761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3,971,606</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3,594,978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3,526,293</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148,779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156,934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78,185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101,715</w:t>
            </w:r>
          </w:p>
        </w:tc>
      </w:tr>
      <w:tr>
        <w:trPr>
          <w:trHeight w:val="237"/>
        </w:trPr>
        <w:tc>
          <w:tcPr>
            <w:tcW w:w="7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3,821,942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3,784,942</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186,664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89,776</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96,888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23,535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24,172</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72,716</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72,577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Aramark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0.29</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r>
      <w:tr>
        <w:trPr>
          <w:trHeight w:val="243"/>
        </w:trPr>
        <w:tc>
          <w:tcPr>
            <w:tcW w:w="76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246,028</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251,147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251,857</w:t>
            </w:r>
          </w:p>
        </w:tc>
      </w:tr>
      <w:tr>
        <w:trPr>
          <w:trHeight w:val="426"/>
        </w:trPr>
        <w:tc>
          <w:tcPr>
            <w:tcW w:w="7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20" w:type="dxa"/>
            <w:vAlign w:val="bottom"/>
          </w:tcPr>
          <w:p>
            <w:pPr>
              <w:spacing w:after="0"/>
              <w:rPr>
                <w:sz w:val="22"/>
                <w:szCs w:val="22"/>
                <w:color w:val="auto"/>
              </w:rPr>
            </w:pPr>
          </w:p>
        </w:tc>
        <w:tc>
          <w:tcPr>
            <w:tcW w:w="15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 2018</w:t>
            </w:r>
          </w:p>
        </w:tc>
      </w:tr>
      <w:tr>
        <w:trPr>
          <w:trHeight w:val="27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12,276,097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11,876,035</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11,029,382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10,611,532</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447,408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443,646</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282,327</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Gain on sale of Healthcare Technologies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11,591,081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11,337,505</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685,016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538,530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249,375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256,562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435,641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281,968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(110,904)</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363,052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392,872</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r>
      <w:tr>
        <w:trPr>
          <w:trHeight w:val="237"/>
        </w:trPr>
        <w:tc>
          <w:tcPr>
            <w:tcW w:w="7660" w:type="dxa"/>
            <w:vAlign w:val="bottom"/>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362,992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392,430</w:t>
            </w:r>
          </w:p>
        </w:tc>
      </w:tr>
      <w:tr>
        <w:trPr>
          <w:trHeight w:val="67"/>
        </w:trPr>
        <w:tc>
          <w:tcPr>
            <w:tcW w:w="7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156"/>
        </w:trPr>
        <w:tc>
          <w:tcPr>
            <w:tcW w:w="7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Earnings per share attributable to Aramark stockholders: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246,665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245,588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252,231</w:t>
            </w:r>
          </w:p>
        </w:tc>
      </w:tr>
      <w:tr>
        <w:trPr>
          <w:trHeight w:val="270"/>
        </w:trPr>
        <w:tc>
          <w:tcPr>
            <w:tcW w:w="9600" w:type="dxa"/>
            <w:vAlign w:val="bottom"/>
            <w:gridSpan w:val="4"/>
          </w:tcPr>
          <w:p>
            <w:pPr>
              <w:ind w:left="2160"/>
              <w:spacing w:after="0"/>
              <w:rPr>
                <w:sz w:val="20"/>
                <w:szCs w:val="20"/>
                <w:color w:val="auto"/>
              </w:rPr>
            </w:pPr>
            <w:r>
              <w:rPr>
                <w:rFonts w:ascii="Arial" w:cs="Arial" w:eastAsia="Arial" w:hAnsi="Arial"/>
                <w:sz w:val="18"/>
                <w:szCs w:val="18"/>
                <w:color w:val="auto"/>
                <w:w w:val="93"/>
              </w:rPr>
              <w:t>The accompanying notes are an integral part of these condensed consolidated financial statements.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79"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22"/>
                <w:szCs w:val="22"/>
                <w:color w:val="auto"/>
              </w:rPr>
            </w:pPr>
          </w:p>
        </w:tc>
        <w:tc>
          <w:tcPr>
            <w:tcW w:w="152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72,716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(44,955)</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9,193</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53,877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37,345</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53,768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37,206</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488"/>
        </w:trPr>
        <w:tc>
          <w:tcPr>
            <w:tcW w:w="7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22"/>
                <w:szCs w:val="22"/>
                <w:color w:val="auto"/>
              </w:rPr>
            </w:pPr>
          </w:p>
        </w:tc>
        <w:tc>
          <w:tcPr>
            <w:tcW w:w="152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392,872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13,379</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(26,146)</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38,606</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loss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7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283,437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418,566</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283,377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418,124</w:t>
            </w:r>
          </w:p>
        </w:tc>
      </w:tr>
      <w:tr>
        <w:trPr>
          <w:trHeight w:val="27"/>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22"/>
                <w:szCs w:val="22"/>
                <w:color w:val="auto"/>
              </w:rPr>
            </w:pPr>
          </w:p>
        </w:tc>
        <w:tc>
          <w:tcPr>
            <w:tcW w:w="1400" w:type="dxa"/>
            <w:vAlign w:val="bottom"/>
          </w:tcPr>
          <w:p>
            <w:pPr>
              <w:jc w:val="right"/>
              <w:ind w:right="291"/>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363,052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392,872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447,408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443,646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(155,050)</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48,414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68,318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gain on sale of Healthcare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(101,538)</w:t>
            </w:r>
          </w:p>
        </w:tc>
      </w:tr>
      <w:tr>
        <w:trPr>
          <w:trHeight w:val="243"/>
        </w:trPr>
        <w:tc>
          <w:tcPr>
            <w:tcW w:w="790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(21,042)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16,092</w:t>
            </w:r>
          </w:p>
        </w:tc>
      </w:tr>
      <w:tr>
        <w:trPr>
          <w:trHeight w:val="243"/>
        </w:trPr>
        <w:tc>
          <w:tcPr>
            <w:tcW w:w="7900" w:type="dxa"/>
            <w:vAlign w:val="bottom"/>
          </w:tcPr>
          <w:p>
            <w:pPr>
              <w:ind w:left="9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(178,468)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(149,627)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(341,067)</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Payments made to clients on contracts (see Note 7)</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operating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145,512</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Purchases of property and equipment and other</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(432,779)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Disposals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7,686</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Proceeds from divestiture</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293,711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Acquisition of certain businesses,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(2,239,601)</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21,841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(7,485)</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(2,672,179)</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long-term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3,146,069</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Payments of long-term borrowings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(701,062)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change in funding under the Receivables Facility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145,800</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Payments of dividends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(77,317)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15,961</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Repurchase of stock</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(24,410)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2,457,928</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r>
      <w:tr>
        <w:trPr>
          <w:trHeight w:val="20"/>
        </w:trPr>
        <w:tc>
          <w:tcPr>
            <w:tcW w:w="7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79" w:right="239" w:bottom="1084" w:gutter="0" w:footer="0" w:header="0"/>
        </w:sectPr>
      </w:pPr>
    </w:p>
    <w:p>
      <w:pPr>
        <w:ind w:left="40"/>
        <w:spacing w:after="0"/>
        <w:rPr>
          <w:sz w:val="20"/>
          <w:szCs w:val="20"/>
          <w:color w:val="auto"/>
        </w:rPr>
      </w:pPr>
      <w:r>
        <w:rPr>
          <w:rFonts w:ascii="Arial" w:cs="Arial" w:eastAsia="Arial" w:hAnsi="Arial"/>
          <w:sz w:val="15"/>
          <w:szCs w:val="15"/>
          <w:color w:val="auto"/>
        </w:rPr>
        <w:t>Increase (decrease) in cash and cash equivalents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(72,829)</w:t>
            </w:r>
          </w:p>
        </w:tc>
      </w:tr>
      <w:tr>
        <w:trPr>
          <w:trHeight w:val="270"/>
        </w:trPr>
        <w:tc>
          <w:tcPr>
            <w:tcW w:w="5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215,025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238,797</w:t>
            </w:r>
          </w:p>
        </w:tc>
      </w:tr>
      <w:tr>
        <w:trPr>
          <w:trHeight w:val="27"/>
        </w:trPr>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220,055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165,968</w:t>
            </w:r>
          </w:p>
        </w:tc>
      </w:tr>
      <w:tr>
        <w:trPr>
          <w:trHeight w:val="27"/>
        </w:trPr>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179" w:right="239" w:bottom="1084"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22"/>
                <w:szCs w:val="22"/>
                <w:color w:val="auto"/>
              </w:rPr>
            </w:pPr>
          </w:p>
        </w:tc>
        <w:tc>
          <w:tcPr>
            <w:tcW w:w="1400" w:type="dxa"/>
            <w:vAlign w:val="bottom"/>
          </w:tcPr>
          <w:p>
            <w:pPr>
              <w:jc w:val="right"/>
              <w:ind w:right="296"/>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248.3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90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94.0</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79" w:right="239" w:bottom="1084"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79" w:right="239" w:bottom="1084"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June 28,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r>
              <w:rPr>
                <w:rFonts w:ascii="Arial" w:cs="Arial" w:eastAsia="Arial" w:hAnsi="Arial"/>
                <w:sz w:val="8"/>
                <w:szCs w:val="8"/>
                <w:b w:val="1"/>
                <w:bCs w:val="1"/>
                <w:color w:val="auto"/>
              </w:rPr>
              <w:t>1</w:t>
            </w:r>
          </w:p>
        </w:tc>
        <w:tc>
          <w:tcPr>
            <w:tcW w:w="2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Equity</w:t>
            </w:r>
            <w:r>
              <w:rPr>
                <w:rFonts w:ascii="Arial" w:cs="Arial" w:eastAsia="Arial" w:hAnsi="Arial"/>
                <w:sz w:val="8"/>
                <w:szCs w:val="8"/>
                <w:b w:val="1"/>
                <w:bCs w:val="1"/>
                <w:color w:val="auto"/>
                <w:w w:val="97"/>
              </w:rPr>
              <w:t>1</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2018</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3,132,421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w w:val="97"/>
              </w:rPr>
              <w:t>Adoption of new accounting standard</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58,395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28,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3,217,893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3,154,479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990,439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(796,836)</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29,353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29,353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11,790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 March 29, 2019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3,233,680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3,180,943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992,736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(801,160)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15,173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28,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3,285,922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3,208,399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1,048,606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(803,064)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May not foot due to rounding.</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June 29,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2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Equity</w:t>
            </w:r>
            <w:r>
              <w:rPr>
                <w:rFonts w:ascii="Arial" w:cs="Arial" w:eastAsia="Arial" w:hAnsi="Arial"/>
                <w:sz w:val="8"/>
                <w:szCs w:val="8"/>
                <w:b w:val="1"/>
                <w:bCs w:val="1"/>
                <w:color w:val="auto"/>
                <w:w w:val="97"/>
              </w:rPr>
              <w:t>1</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Loss</w:t>
            </w:r>
            <w:r>
              <w:rPr>
                <w:rFonts w:ascii="Arial" w:cs="Arial" w:eastAsia="Arial" w:hAnsi="Arial"/>
                <w:sz w:val="8"/>
                <w:szCs w:val="8"/>
                <w:b w:val="1"/>
                <w:bCs w:val="1"/>
                <w:color w:val="auto"/>
                <w:w w:val="91"/>
              </w:rPr>
              <w:t>1</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29,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2,459,061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3,014,546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247,050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(681,546)</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292,284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292,284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8,499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(38,463)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Balance, December 29, 2017</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2,722,394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3,039,523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512,254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(720,009)</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49,460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2,795,623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3,063,019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(721,542)</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72,577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72,577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7,088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Balance, June 29, 2018</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2,845,775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3,104,910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560,864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(724,723)</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May not foot due to rounding.</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7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w:t>
      </w:r>
    </w:p>
    <w:p>
      <w:pPr>
        <w:spacing w:after="0" w:line="46" w:lineRule="exact"/>
        <w:rPr>
          <w:sz w:val="20"/>
          <w:szCs w:val="20"/>
          <w:color w:val="auto"/>
        </w:rPr>
      </w:pPr>
    </w:p>
    <w:p>
      <w:pPr>
        <w:ind w:right="120" w:firstLine="8"/>
        <w:spacing w:after="0" w:line="277" w:lineRule="auto"/>
        <w:tabs>
          <w:tab w:leader="none" w:pos="18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21, 2018. The Condensed Consolidated Balance Sheet as of September 28, 2018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significant intercompany transactions and accounts have been eliminated.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October 2018, the Financial Accounting Standards Board ("FASB") issued an accounting standards update ("ASU") which permits the use of the Overnight Index Swap Rate based on the Secured Overnight Financing Rate as a U.S. benchmark interest rate for hedge accounting purposes. The guidance is effective for the Company in the first quarter of fiscal 2020. The Company early adopted the guidance in the first quarter of fiscal 2019, which did not have an impact on the condensed consolidated financial statements, as the Company's existing interest rate hedges use LIBOR as the benchmark interest rate. The use of the Secured Overnight Financing Rate Overnight Index Swap Rate as the benchmark interest rate may be contemplated in future hedging arrangements.</w:t>
      </w:r>
    </w:p>
    <w:p>
      <w:pPr>
        <w:spacing w:after="0" w:line="5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February 2018, the FASB issued an ASU which provides clarification regarding guidance related to the financial instrument standard. The guidance was effective for the Company in the first quarter of fiscal 2019. The Company adopted the guidance in the first quarter of fiscal 2019, which did not have an impact on the condensed consolidated financial statements.</w:t>
      </w:r>
    </w:p>
    <w:p>
      <w:pPr>
        <w:spacing w:after="0" w:line="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May 2017, the FASB issued an ASU to clarify the determination of the customer of the operation services in a service concession arrangement. The guidance was effective for the Company in the first quarter of fiscal 2019. The Company adopted this standard in the first quarter of fiscal 2019, which did not have a material impact on the condensed consolidated financial statements.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2017, the FASB issued an ASU to improve the presentation of net periodic pension cost and net periodic postretirement benefit cost. The guidance was effective for the Company in the first quarter of fiscal 2019. The Company adopted the guidance during the first quarter of fiscal 2019, which did not result in an impact to net income. However, certain balances, including $1.5 million and $5.2 million for the three and nine month period ended June 29, 2018, were reclassified from "Cost of services provided" to "Interest and Other Financing Costs, net" on the Condensed Consolidated Statements of Income. The Company applied the practical expedient allowing for the use of amounts disclosed in the pension footnote for prior comparative periods as an estimation basis for applying the retrospective presentation requirements.</w:t>
      </w:r>
    </w:p>
    <w:p>
      <w:pPr>
        <w:spacing w:after="0" w:line="8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February 2017, the FASB issued an ASU to clarify the accounting guidance for partial sales of nonfinancial assets. The guidance was effective for the Company in the first quarter of fiscal 2019. The Company adopted the guidance in the first quarter of fiscal 2019, which did not have an impact on the condensed consolidated financial statements.</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January 2017, the FASB issued an ASU to clarify the definition of a business. The guidance was effective for the Company in the first quarter of fiscal 2019. The Company adopted the guidance in the first quarter of fiscal 2019, using the prospective method, which did not have a material impact on the condensed consolidated financial statements.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FASB issued an ASU to address certain aspects of recognition, measurement, presentation and disclosure of financial instruments. Under this guidance, equity investments, other than those accounted for under the equity method of accounting or those that result in consolidation of the investee, are to be measured at fair value with the changes in fair value recognized in net income. The guidance was effective for the Company in the first quarter of fiscal 2019. The Company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79"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adopted the guidance in the first quarter of fiscal 2019. Due to the lack of readily available fair values for the Company's equity investments, other than those accounted for under the equity method of accounting, the Company elected to apply the practical expedient to measure these investments at cost minus impairment plus or minus changes resulting from observable price changes in orderly transactions for identical or similar investments of the same issuer. The guidance did not have an impact to the Company's condensed consolidated financial statements.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May 2014, the FASB issued an ASU on revenue from contracts with customers which supersedes most current revenue recognition guidance. The standard outlines a single comprehensive model which requires an entity to recognize the amount of revenue to which it expects to be entitled for the transfer of promised goods or services to customers. Additionally, the standard requires disclosures regarding the nature, amount, timing and uncertainty of revenue and cash flows arising from contracts with customers. The Company adopted this guidance on September 29, 2018.</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new revenue recognition guidance, the Company completed a comprehensive contract review project and an evaluation of the standard's impact on the timing and presentation of various financial aspects of its contractual arrangements. The Company identified and implemented appropriate changes to business processes, controls and systems to support recognition and disclosure under the new standard. The adoption of the guidance did not have a material impact on the timing of revenue recognition or net income, but it did have an impact on the financial statement line item classification of certain items (see Note 7).</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adopted the new revenue recognition guidance using the modified retrospective transition method. This method allows the new standard to be applied retrospectively through a cumulative catch up adjustment recognized upon adoption. As such, comparative information in the Company’s financial statements has not been restated and continues to be reported under the accounting standards in effect for those periods. The cumulative transition adjustment, net of tax, was an increase to retained earnings upon adoption (approximately $58.4 million) mainly to capitalize costs to obtain contracts related to employee commissions previously expensed. See Note 1 to the Company’s consolidated financial statements in its fiscal 2018 Form 10-K for further information on its significant accounting policies related to revenue recognition and see Note 7 for further information on the impact of adopting the new revenue recognition standard.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1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guidance is effective for the Company in the first quarter of fiscal 2021 when the credit losses on financial instruments standard will be adopted and early adoption is permitted. The Company is currently evaluating the impact of the pronouncement.</w:t>
      </w:r>
    </w:p>
    <w:p>
      <w:pPr>
        <w:spacing w:after="0" w:line="7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guidance related to the credit losses on financial instruments ASU is effective for the Company in the first quarter of 2021 when the related ASU is adopted, while the guidance related to the derivatives and hedging and the financial instruments ASUs are effective for the Company in the first quarter of fiscal 2020 and the first quarter of 2021, respectively. Early adoption is permitted. The Company is currently evaluating the impact of the pronouncement.</w:t>
      </w:r>
    </w:p>
    <w:p>
      <w:pPr>
        <w:spacing w:after="0" w:line="50"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 March 2019, the FASB issued an ASU which provides clarification regarding three issues related to the lease recognition standard. The guidance is effective for the Company in the first quarter of fiscal 2020 when the lease recognition standard will be adopted and early adoption is permitted. The Company is currently evaluating the impact of the pronouncement.</w:t>
      </w:r>
    </w:p>
    <w:p>
      <w:pPr>
        <w:spacing w:after="0" w:line="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the pronouncement.</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guidance is effective for the Company in the first quarter of fiscal 2021 and early adoption is permitted. The Company is currently evaluating the impact of the pronouncement.</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provides clarification on issues identified regarding the adoption of the standard, provides an additional transition method to adopt the standard and provides an additional practical expedient to lessors. The guidance is effective for the Company in the first quarter of fiscal 2020 and early adoption is permitted. The Company is currently evaluating the impact of the pronouncement.</w:t>
      </w:r>
    </w:p>
    <w:p>
      <w:pPr>
        <w:spacing w:after="0" w:line="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2018, the FASB issued an ASU which clarifies, corrects errors in or makes minor improvements to the Accounting Standards Codification. The guidance is effective for the Company either upon issuance or in the first quarter of fiscal 2020, depending on the amendment. There was no impact on the condensed consolidated financial statements related to the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79"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amendments that were effective upon issuance of the guidance and the Company is currently evaluating the impact of the remaining amendments of the pronouncement.</w:t>
      </w:r>
    </w:p>
    <w:p>
      <w:pPr>
        <w:spacing w:after="0" w:line="62"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from accumulated other comprehensive income to retained earnings. The guidance is effective for the Company in the first quarter of fiscal 2020 and early adoption is permitted. The Company is currently evaluating the impact of the pronouncement.</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September 2017, the FASB issued an ASU to provide additional implementation guidance with respect to the revenue recognition standard (see above) and the leases recognition standard (see below). The guidance is effective for the Company in the first quarter of fiscal 2019 with respect to the revenue recognition standard and in the first quarter of fiscal 2020 with respect to the lease recognition standard. Early adoption is permitted. The Company adopted the revenue related portions of this standard in conjunction with the revenue recognition standard during the first quarter of fiscal 2019, as described above. The lease related portions of this standard will be adopted in the first quarter of fiscal 2020 in conjunction with the lease recognition standard.</w:t>
      </w:r>
    </w:p>
    <w:p>
      <w:pPr>
        <w:spacing w:after="0" w:line="5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June 2016, the FASB issued an ASU to require entities to account for expected credit losses on financial instruments including trade receivables. The guidance is effective for the Company in the first quarter of fiscal 2021 and early adoption is permitted. The Company is currently evaluating the impact of the pronouncement.</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2016, the FASB issued an ASU requiring lessees to recognize most leases on their balance sheets as lease liabilities with corresponding right-of-use assets and to disclose key information about lease arrangements. Recognition of expense on the Condensed Consolidated Statements of Income will continue in a manner similar to current guidance. The Company will adopt this guidance using the modified retrospective approach with an adjustment to recognize lease liabilities offset by a right-of-use asset. This adjustment will be recorded at the beginning of the period of adoption in the first quarter of fiscal 2020; therefore, the Company will recognize and measure leases without revising comparative period information or disclosure.</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existing leases as of the effective date, the Company will elect the package of practical expedients available at transition to not reassess historical lease determinations, lease classifications and initial direct costs. Additionally, the Company will not elect the use of hindsight for determining the reasonably certain lease term. The Company will elect the short-term lease recognition exemption whereby lease-related assets and liabilities will not be recognized for arrangements with terms less than one year.</w:t>
      </w:r>
    </w:p>
    <w:p>
      <w:pPr>
        <w:spacing w:after="0" w:line="7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continues to review its lease arrangements in order to determine the impact the adoption of this ASU will have on its consolidated financial statements and related disclosures. The Company has also implemented a new lease system in connection with the adoption of this standard. The majority of the Company's lease spend relates to certain real estate, with the remaining lease spend primarily related to vehicles and equipment. Based on its assessment, the Company expects adoption of this standard will result in a material increase in lease-related assets and liabilities in its Condensed Consolidated Balance Sheets, but does not expect it to have a significant impact in its Condensed Consolidated Statements of Income or Cash Flows. The Company continues to assess the disclosure requirements and implement appropriate changes to business processes, controls and systems.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Comprehensive income includes all changes to stockholders' equity during a period, except those resulting from investments by and distributions to stockholders. Components of comprehensive income include net income (loss), changes in foreign currency translation adjustments (net of tax), pension plan adjustments (net of tax), changes in the fair value of cash flow hedges (net of tax) and changes to the share of any equity investees' comprehensive income or loss (net of tax).</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79"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June 28, 2019</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2018</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500" w:type="dxa"/>
            <w:vAlign w:val="bottom"/>
            <w:shd w:val="clear" w:color="auto" w:fill="CCEEFF"/>
          </w:tcPr>
          <w:p>
            <w:pPr>
              <w:spacing w:after="0"/>
              <w:rPr>
                <w:sz w:val="19"/>
                <w:szCs w:val="19"/>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4"/>
              </w:rPr>
              <w:t>After-Tax</w:t>
            </w: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Pre-Tax</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After-Tax</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9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Tax Effect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6"/>
              </w:rPr>
              <w:t>Amount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Amount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6"/>
              </w:rPr>
              <w:t>Tax Effect</w:t>
            </w:r>
          </w:p>
        </w:tc>
        <w:tc>
          <w:tcPr>
            <w:tcW w:w="8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83,064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72,716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(45,185)</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(36,089)</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Share of equity investee's comprehensive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21"/>
                <w:szCs w:val="21"/>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(38,527)</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0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(31,828)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53,877</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37,345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53,768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37,206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5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June 28, 2019</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2018</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500" w:type="dxa"/>
            <w:vAlign w:val="bottom"/>
            <w:shd w:val="clear" w:color="auto" w:fill="CCEEFF"/>
          </w:tcPr>
          <w:p>
            <w:pPr>
              <w:spacing w:after="0"/>
              <w:rPr>
                <w:sz w:val="19"/>
                <w:szCs w:val="19"/>
                <w:color w:val="auto"/>
              </w:rPr>
            </w:pPr>
          </w:p>
        </w:tc>
        <w:tc>
          <w:tcPr>
            <w:tcW w:w="1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w:t>
            </w: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4"/>
              </w:rPr>
              <w:t>After-Tax</w:t>
            </w: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Pre-Tax</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4"/>
              </w:rPr>
              <w:t>After-Tax</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w:t>
            </w:r>
          </w:p>
        </w:tc>
        <w:tc>
          <w:tcPr>
            <w:tcW w:w="9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Tax Effect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6"/>
              </w:rPr>
              <w:t>Amount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Amount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6"/>
              </w:rPr>
              <w:t>Tax Effect</w:t>
            </w:r>
          </w:p>
        </w:tc>
        <w:tc>
          <w:tcPr>
            <w:tcW w:w="8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363,052</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392,872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w:t>
            </w: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32,730</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(11,036)</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(11,036)</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(25,447)</w:t>
            </w:r>
          </w:p>
        </w:tc>
        <w:tc>
          <w:tcPr>
            <w:tcW w:w="880" w:type="dxa"/>
            <w:vAlign w:val="bottom"/>
          </w:tcPr>
          <w:p>
            <w:pPr>
              <w:jc w:val="right"/>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(92,642)</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54,451</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(15,845)</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38,606</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Share of equity investee's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(145)</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(103,591)</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(79,615)</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61,589</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(35,895)</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283,437</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418,566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283,377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418,124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 consists of the following (in thousands):</w:t>
            </w: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5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5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June 28, 2019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September 28, 2018</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10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(104,847)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Share of equity investee's accumulated other comprehensive loss</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(170,838)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fiscal 2018, Argentina was determined to have a highly inflationary economy. As a result, the Company remeasured the financial statements of Argentina's operations in accordance with the accounting guidance for highly inflationary economies. During both the three and nine month periods of fiscal 2019, the impact of the foreign currency transactions were immaterial to the condensed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assets consist primarily of costs to obtain or fulfill contracts, long-term prepaid rent, investments in 50% or less owned entities, computer software costs, long-term receivables and personalized work apparel, linens and other rental items in service.</w:t>
      </w:r>
    </w:p>
    <w:p>
      <w:pPr>
        <w:sectPr>
          <w:pgSz w:w="11900" w:h="16838" w:orient="portrait"/>
          <w:cols w:equalWidth="0" w:num="1">
            <w:col w:w="11420"/>
          </w:cols>
          <w:pgMar w:left="240" w:top="17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79"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$156.3 million (tax effected gain of $139.2 million) in the Condensed Consolidated Statements of Income for the nine months ended June 28, 2019. The Company evaluated the sale under the rules for discontinued operations and concluded it did not meet all of the criteria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2018, the Company commenced a new phase of strategic reinvestment and reorganization actions to streamline and improve efficiencies and effectiveness of its selling, general and administrative functions which resulted in a net severance charge of approximately $19.8 million and $39.5 million for the nine months ended June 28, 2019 and June 29, 2018, respectively. As of June 28, 2019 and September 28, 2018, the Company had an accrual of approximately $17.3 million and $16.6 million, respectively, related to unpaid severance obligations. These obligations are expected to be paid through fiscal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nine months ended June 28, 2019 is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28, 2018</w:t>
            </w: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Acquisitions and</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4"/>
                <w:szCs w:val="14"/>
                <w:color w:val="auto"/>
              </w:rPr>
            </w:pPr>
          </w:p>
        </w:tc>
        <w:tc>
          <w:tcPr>
            <w:tcW w:w="15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June 28, 2019</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Divestitures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FSS United States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4,028,454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3,942,174</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626,379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8,082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624,631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955,735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959,496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5,610,568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5,526,301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hanging="351"/>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the removal of approximately $87.0 million of goodwill related to the divestiture of HCT during the first quarter of fiscal 2019 (see Note 2).</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28, 2019</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28, 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1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assets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2,231,136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1,020,097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2,244,215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1,087,404</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1,047,425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1,044,540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1,050,825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1,049,440</w:t>
            </w:r>
          </w:p>
        </w:tc>
      </w:tr>
      <w:tr>
        <w:trPr>
          <w:trHeight w:val="27"/>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3,278,561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(1,213,924)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2,064,637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3,295,040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2,136,844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Amortization of intangible assets for the nine months ended June 28, 2019 and June 29, 2018 was approximately $87.7 million and $82.3 million,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28, 2019</w:t>
            </w:r>
          </w:p>
        </w:tc>
        <w:tc>
          <w:tcPr>
            <w:tcW w:w="300" w:type="dxa"/>
            <w:vAlign w:val="bottom"/>
          </w:tcPr>
          <w:p>
            <w:pPr>
              <w:spacing w:after="0"/>
              <w:rPr>
                <w:sz w:val="16"/>
                <w:szCs w:val="16"/>
                <w:color w:val="auto"/>
              </w:rPr>
            </w:pPr>
          </w:p>
        </w:tc>
        <w:tc>
          <w:tcPr>
            <w:tcW w:w="1860" w:type="dxa"/>
            <w:vAlign w:val="bottom"/>
          </w:tcPr>
          <w:p>
            <w:pPr>
              <w:jc w:val="right"/>
              <w:ind w:right="391"/>
              <w:spacing w:after="0"/>
              <w:rPr>
                <w:sz w:val="20"/>
                <w:szCs w:val="20"/>
                <w:color w:val="auto"/>
              </w:rPr>
            </w:pPr>
            <w:r>
              <w:rPr>
                <w:rFonts w:ascii="Arial" w:cs="Arial" w:eastAsia="Arial" w:hAnsi="Arial"/>
                <w:sz w:val="14"/>
                <w:szCs w:val="14"/>
                <w:b w:val="1"/>
                <w:bCs w:val="1"/>
                <w:color w:val="auto"/>
              </w:rPr>
              <w:t>September 28, 2018</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 due October 2023</w:t>
            </w: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October 2023</w:t>
            </w:r>
          </w:p>
        </w:tc>
        <w:tc>
          <w:tcPr>
            <w:tcW w:w="3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516,473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538,674</w:t>
            </w: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facility, due March 2024</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1,325,923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March 2025</w:t>
            </w:r>
          </w:p>
        </w:tc>
        <w:tc>
          <w:tcPr>
            <w:tcW w:w="3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1,657,745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1,656,919</w:t>
            </w: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January 2024</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902,908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5.000% senior notes, due April 2025</w:t>
            </w:r>
          </w:p>
        </w:tc>
        <w:tc>
          <w:tcPr>
            <w:tcW w:w="3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591,780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590,884</w:t>
            </w: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366,180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373,240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4.750% senior notes, due June 2026</w:t>
            </w:r>
          </w:p>
        </w:tc>
        <w:tc>
          <w:tcPr>
            <w:tcW w:w="3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494,566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494,082</w:t>
            </w: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February 2028</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1,136,472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Receivables Facility, due May 2021</w:t>
            </w:r>
          </w:p>
        </w:tc>
        <w:tc>
          <w:tcPr>
            <w:tcW w:w="3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143,388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5,296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4,494</w:t>
            </w:r>
          </w:p>
        </w:tc>
      </w:tr>
      <w:tr>
        <w:trPr>
          <w:trHeight w:val="27"/>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7,252,667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7,243,984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(30,907)</w:t>
            </w:r>
          </w:p>
        </w:tc>
      </w:tr>
      <w:tr>
        <w:trPr>
          <w:trHeight w:val="27"/>
        </w:trPr>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7,198,918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June 28, 2019, there was approximately $942.9 million of outstanding foreign currency borrowings.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Refinancing Transactions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fiscal 2019, the Company extended the maturity dates of the Revolving Credit Facility, Yen Term Loan due 2022, Canadian Term Loan due 2022, Canadian Term Loan due 2023 and Euro Term Loan due 2022 to October 1, 2023.</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Also during the first quarter of fiscal 2019, the Company made an optional prepayment of approximately $200.0 million on the U.S. dollar denominated term loan due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1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The Company also formally assesses, both at the hedge's inception and on an ongoing basis, whether the derivatives that are used in hedging transactions are highly effective in offsetting cash flows of hedged items.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has approximately $2.5 billion notional amount of outstanding interest rate swap agreements as of June 28, 2019, which fixes the rate on a like amount of variable rate borrowings through the first quarter of fiscal 2023. During the nine months ended June 28, 2019, the Company entered into approximately $500.0 million notional amount of forward starting interest rate swap agreements to hedge the cash flow risk of variability in interest payments on variable rate borrowings. In addition, interest rate swaps with a notional amount of $575.0 million matured during the nine months ended June 28, 2019.</w:t>
      </w:r>
    </w:p>
    <w:p>
      <w:pPr>
        <w:spacing w:after="0" w:line="7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w:t>
      </w:r>
    </w:p>
    <w:p>
      <w:pPr>
        <w:sectPr>
          <w:pgSz w:w="11900" w:h="16838" w:orient="portrait"/>
          <w:cols w:equalWidth="0" w:num="1">
            <w:col w:w="11420"/>
          </w:cols>
          <w:pgMar w:left="240" w:top="179"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79"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interest expense as interest payments are made on the Company’s variable-rate debt. As of June 28, 2019 and September 28, 2018, approximately ($32.5) million and $36.2 million of unrealized net of tax gains (losses) related to the interest rate swaps were included in "Accumulated other comprehensive loss," respectively.</w:t>
      </w:r>
    </w:p>
    <w:p>
      <w:pPr>
        <w:spacing w:after="0" w:line="10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summarizes the effect of our derivatives designated as cash flow hedging instruments on Other comprehensive income (loss)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60" w:type="dxa"/>
            <w:vAlign w:val="bottom"/>
          </w:tcPr>
          <w:p>
            <w:pPr>
              <w:spacing w:after="0"/>
              <w:rPr>
                <w:sz w:val="22"/>
                <w:szCs w:val="22"/>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12,257</w:t>
            </w:r>
          </w:p>
        </w:tc>
      </w:tr>
      <w:tr>
        <w:trPr>
          <w:trHeight w:val="534"/>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60" w:type="dxa"/>
            <w:vAlign w:val="bottom"/>
          </w:tcPr>
          <w:p>
            <w:pPr>
              <w:spacing w:after="0"/>
              <w:rPr>
                <w:sz w:val="22"/>
                <w:szCs w:val="22"/>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29, 2018</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48,825</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 June 28, 2019, the Company has contracts for approximately 16.3 million gallons outstanding through the third quarter of fiscal 2020. The Company does not record its gasoline and diesel fuel agreements as hedges for accounting purposes. The impact on earnings related to the change in fair value of these unsettled contracts was a gain of approximately $1.1 million and a loss of approximately $3.2 million for the three and nine months ended June 28, 2019, respectively. The impact on earnings related to the change in fair value of these unsettled contracts was a gain of approximately $0.1 million and a gain of approximately $0.3 million for the three and nine months ended June 29, 2018, respectively. The change in fair value for unsettled contracts is included in "Selling and general corporate expenses" in the Condensed Consolidated Statements of Income. When the contracts settle, the gain or loss is recorded to"Costs of services provided" in the Condensed Consolidated Statements of Income.</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28, 2019, the Company had foreign currency forward exchange contracts outstanding with notional amounts of €41.0 million and £9.0 million to mitigate the risk of changes in foreign currency exchange rates on short-term intercompany loans to certain international subsidiaries. Gains and losses on these foreign currency exchange contracts are recognized in earnings as the contracts were not designated as hedging instruments, substantially offsetting currency transaction gains and losses on the short-term intercompany loans.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14 for a description of the fair value levels), of the Company's derivatives designated and not designated as hedging instruments in the Condensed Consolidated Balance Sheets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40" w:type="dxa"/>
            <w:vAlign w:val="bottom"/>
            <w:gridSpan w:val="2"/>
          </w:tcPr>
          <w:p>
            <w:pPr>
              <w:ind w:left="100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28, 2019</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September 28, 2018</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54,708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59,999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34,824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36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34,853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summarizes the location of (gain) loss reclassified from "Accumulated other comprehensive loss" into earnings for derivatives designated as hedging instruments and the location of (gain) loss for our derivatives not designated as hedging instruments in the Condensed Consolidated Statements of Income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28, 2019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(2,114)</w:t>
            </w:r>
          </w:p>
        </w:tc>
        <w:tc>
          <w:tcPr>
            <w:tcW w:w="40" w:type="dxa"/>
            <w:vAlign w:val="bottom"/>
          </w:tcPr>
          <w:p>
            <w:pPr>
              <w:spacing w:after="0"/>
              <w:rPr>
                <w:sz w:val="21"/>
                <w:szCs w:val="21"/>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Gasoline and diesel fuel agreements</w:t>
            </w:r>
          </w:p>
        </w:tc>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Costs of services provided / Selling and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corporate expenses</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(792)</w:t>
            </w:r>
          </w:p>
        </w:tc>
        <w:tc>
          <w:tcPr>
            <w:tcW w:w="4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731"/>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0" w:type="dxa"/>
            <w:vAlign w:val="bottom"/>
          </w:tcPr>
          <w:p>
            <w:pPr>
              <w:ind w:left="88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40" w:type="dxa"/>
            <w:vAlign w:val="bottom"/>
          </w:tcPr>
          <w:p>
            <w:pPr>
              <w:spacing w:after="0"/>
              <w:rPr>
                <w:sz w:val="21"/>
                <w:szCs w:val="21"/>
                <w:color w:val="auto"/>
              </w:rPr>
            </w:pPr>
          </w:p>
        </w:tc>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(6,143)</w:t>
            </w:r>
          </w:p>
        </w:tc>
        <w:tc>
          <w:tcPr>
            <w:tcW w:w="40" w:type="dxa"/>
            <w:vAlign w:val="bottom"/>
          </w:tcPr>
          <w:p>
            <w:pPr>
              <w:spacing w:after="0"/>
              <w:rPr>
                <w:sz w:val="21"/>
                <w:szCs w:val="21"/>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5,626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Gasoline and diesel fuel agreements</w:t>
            </w:r>
          </w:p>
        </w:tc>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Costs of services provided / Selling and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general corporate expenses</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4,677</w:t>
            </w:r>
          </w:p>
        </w:tc>
        <w:tc>
          <w:tcPr>
            <w:tcW w:w="40" w:type="dxa"/>
            <w:vAlign w:val="bottom"/>
          </w:tcPr>
          <w:p>
            <w:pPr>
              <w:spacing w:after="0"/>
              <w:rPr>
                <w:sz w:val="20"/>
                <w:szCs w:val="20"/>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(5,547)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2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4,915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(5,699)</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79"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June 28, 2019, the net of tax loss expected to be reclassified from "Accumulated other comprehensive loss" into earnings over the next twelve months based on current market rates is approximately $6.3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14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our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Recognition Standard</w:t>
      </w:r>
    </w:p>
    <w:p>
      <w:pPr>
        <w:spacing w:after="0" w:line="14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a result of the adoption of ASC 606, the following changes occurred with respect to financial statement line item classification in the Company's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Adjustment</w:t>
      </w:r>
      <w:r>
        <w:rPr>
          <w:rFonts w:ascii="Arial" w:cs="Arial" w:eastAsia="Arial" w:hAnsi="Arial"/>
          <w:sz w:val="18"/>
          <w:szCs w:val="18"/>
          <w:color w:val="auto"/>
        </w:rPr>
        <w:t>:</w:t>
      </w:r>
    </w:p>
    <w:p>
      <w:pPr>
        <w:spacing w:after="0" w:line="144" w:lineRule="exact"/>
        <w:rPr>
          <w:sz w:val="20"/>
          <w:szCs w:val="20"/>
          <w:color w:val="auto"/>
        </w:rPr>
      </w:pPr>
    </w:p>
    <w:p>
      <w:pPr>
        <w:ind w:left="660" w:right="2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to obtain contracts related to employee sales commissions, previously expensed to “Cost of services provided” at contract inception, are now capitalized in “Other Assets” ($97.2 million and $105.4 million as of September 29, 2018 and June 28, 2019,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Reclassifications and Changes in Presentation:</w:t>
      </w:r>
    </w:p>
    <w:p>
      <w:pPr>
        <w:spacing w:after="0" w:line="144"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fees within the Uniform segment, $91.7 million and $282.8 million for the three and nine month periods of fiscal 2019, previously recognized as a reduction to “Cost of services provided,” are now recognized in “Revenue;”</w:t>
      </w:r>
    </w:p>
    <w:p>
      <w:pPr>
        <w:spacing w:after="0" w:line="89"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 contract investments, previously capitalized within “Other Assets” and amortized to “Depreciation and amortization” will continue to be expensed over the contract life as either a leasehold improvement in “Property and equipment, net” ($792.0 million as of June 28, 2019) or as long-term prepaid rent or costs to fulfill in “Other Assets” ($183.4 million and $110.1 million as of June 28, 2019, respectively) and primarily classified in “Depreciation and amortization” or “Cost of services provided;”</w:t>
      </w:r>
    </w:p>
    <w:p>
      <w:pPr>
        <w:spacing w:after="0" w:line="10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fulfill contracts related to personalized work apparel, linens and other rental items in service, previously capitalized within "Inventories" are now capitalized within "Other Assets" ($355.2 million as of June 28, 2019); and</w:t>
      </w:r>
    </w:p>
    <w:p>
      <w:pPr>
        <w:spacing w:after="0" w:line="89"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client contract investments, previously included within "Purchases of property and equipment and other" in Net cash provided by (used in) investing activities on the Condensed Consolidated Statements of Cash Flows, are now included within "Payments made to clients on contracts" in Net cash provided by operating activities.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7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compares the reported Condensed Consolidated Balance Sheet as of June 28, 2019, to the balances had the previous revenue accounting guidance remained in effect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28, 2019</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17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9"/>
              </w:rPr>
              <w:t>Adoption adjustments of</w:t>
            </w:r>
          </w:p>
        </w:tc>
        <w:tc>
          <w:tcPr>
            <w:tcW w:w="140" w:type="dxa"/>
            <w:vAlign w:val="bottom"/>
          </w:tcPr>
          <w:p>
            <w:pPr>
              <w:spacing w:after="0"/>
              <w:rPr>
                <w:sz w:val="12"/>
                <w:szCs w:val="12"/>
                <w:color w:val="auto"/>
              </w:rPr>
            </w:pPr>
          </w:p>
        </w:tc>
        <w:tc>
          <w:tcPr>
            <w:tcW w:w="1460" w:type="dxa"/>
            <w:vAlign w:val="bottom"/>
          </w:tcPr>
          <w:p>
            <w:pPr>
              <w:jc w:val="right"/>
              <w:ind w:right="191"/>
              <w:spacing w:after="0" w:line="147" w:lineRule="exact"/>
              <w:rPr>
                <w:sz w:val="20"/>
                <w:szCs w:val="20"/>
                <w:color w:val="auto"/>
              </w:rPr>
            </w:pPr>
            <w:r>
              <w:rPr>
                <w:rFonts w:ascii="Arial" w:cs="Arial" w:eastAsia="Arial" w:hAnsi="Arial"/>
                <w:sz w:val="14"/>
                <w:szCs w:val="14"/>
                <w:b w:val="1"/>
                <w:bCs w:val="1"/>
                <w:color w:val="auto"/>
              </w:rPr>
              <w:t>Balances without</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6"/>
                <w:szCs w:val="16"/>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adoption of ASC 606</w:t>
            </w:r>
          </w:p>
        </w:tc>
        <w:tc>
          <w:tcPr>
            <w:tcW w:w="0" w:type="dxa"/>
            <w:vAlign w:val="bottom"/>
          </w:tcPr>
          <w:p>
            <w:pPr>
              <w:spacing w:after="0"/>
              <w:rPr>
                <w:sz w:val="1"/>
                <w:szCs w:val="1"/>
                <w:color w:val="auto"/>
              </w:rPr>
            </w:pPr>
          </w:p>
        </w:tc>
      </w:tr>
      <w:tr>
        <w:trPr>
          <w:trHeight w:val="230"/>
        </w:trPr>
        <w:tc>
          <w:tcPr>
            <w:tcW w:w="5360" w:type="dxa"/>
            <w:vAlign w:val="bottom"/>
          </w:tcPr>
          <w:p>
            <w:pPr>
              <w:ind w:left="282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220,055</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220,055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Receivables, net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1,832,911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1,832,911</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393,115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355,154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748,269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Prepayments and other 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196,044</w:t>
            </w:r>
          </w:p>
        </w:tc>
        <w:tc>
          <w:tcPr>
            <w:tcW w:w="0" w:type="dxa"/>
            <w:vAlign w:val="bottom"/>
          </w:tcPr>
          <w:p>
            <w:pPr>
              <w:spacing w:after="0"/>
              <w:rPr>
                <w:sz w:val="1"/>
                <w:szCs w:val="1"/>
                <w:color w:val="auto"/>
              </w:rPr>
            </w:pPr>
          </w:p>
        </w:tc>
      </w:tr>
      <w:tr>
        <w:trPr>
          <w:trHeight w:val="237"/>
        </w:trPr>
        <w:tc>
          <w:tcPr>
            <w:tcW w:w="5360" w:type="dxa"/>
            <w:vAlign w:val="bottom"/>
          </w:tcPr>
          <w:p>
            <w:pPr>
              <w:ind w:left="134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2,642,125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355,154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2,997,279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1,351,743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5,526,301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5,526,301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2,064,637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2,064,637</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1,352,674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324,848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1,677,522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13,729,502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13,617,482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20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53,749</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819,922</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1,285,725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1,262,199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2,135,870</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7,198,918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7,198,918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1,051,225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Capital surplus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3,208,399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3,208,399</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1,048,606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984,085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(170,838)</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Treasury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(803,064)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(803,064)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3,285,922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3,221,401</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13,729,502</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13,617,482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3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compares the reported Condensed Consolidated Statements of Income for the three and nine month period ended June 28, 2019, to the balances had the previous revenue accounting guidance remained in effect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7"/>
          </w:tcPr>
          <w:p>
            <w:pPr>
              <w:jc w:val="center"/>
              <w:ind w:left="1092"/>
              <w:spacing w:after="0"/>
              <w:rPr>
                <w:sz w:val="20"/>
                <w:szCs w:val="20"/>
                <w:color w:val="auto"/>
              </w:rPr>
            </w:pPr>
            <w:r>
              <w:rPr>
                <w:rFonts w:ascii="Arial" w:cs="Arial" w:eastAsia="Arial" w:hAnsi="Arial"/>
                <w:sz w:val="14"/>
                <w:szCs w:val="14"/>
                <w:b w:val="1"/>
                <w:bCs w:val="1"/>
                <w:color w:val="auto"/>
                <w:w w:val="93"/>
              </w:rPr>
              <w:t>Three Months Ended June 28, 2019</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Adoption adjustments of</w:t>
            </w:r>
          </w:p>
        </w:tc>
        <w:tc>
          <w:tcPr>
            <w:tcW w:w="1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 adoption</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340" w:type="dxa"/>
            <w:vAlign w:val="bottom"/>
          </w:tcPr>
          <w:p>
            <w:pPr>
              <w:spacing w:after="0"/>
              <w:rPr>
                <w:sz w:val="16"/>
                <w:szCs w:val="16"/>
                <w:color w:val="auto"/>
              </w:rPr>
            </w:pPr>
          </w:p>
        </w:tc>
        <w:tc>
          <w:tcPr>
            <w:tcW w:w="1480" w:type="dxa"/>
            <w:vAlign w:val="bottom"/>
          </w:tcPr>
          <w:p>
            <w:pPr>
              <w:jc w:val="center"/>
              <w:ind w:right="251"/>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324"/>
        </w:trPr>
        <w:tc>
          <w:tcPr>
            <w:tcW w:w="50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4,010,761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(80,343)</w:t>
            </w:r>
          </w:p>
        </w:tc>
        <w:tc>
          <w:tcPr>
            <w:tcW w:w="12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3,930,418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Costs and Expenses:</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60"/>
              <w:spacing w:after="0"/>
              <w:rPr>
                <w:sz w:val="20"/>
                <w:szCs w:val="20"/>
                <w:color w:val="auto"/>
              </w:rPr>
            </w:pPr>
            <w:r>
              <w:rPr>
                <w:rFonts w:ascii="Arial" w:cs="Arial" w:eastAsia="Arial" w:hAnsi="Arial"/>
                <w:sz w:val="18"/>
                <w:szCs w:val="18"/>
                <w:color w:val="auto"/>
              </w:rPr>
              <w:t>Cost of services provided</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3,594,978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(82,624)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3,512,354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153,952</w:t>
            </w:r>
          </w:p>
        </w:tc>
        <w:tc>
          <w:tcPr>
            <w:tcW w:w="0" w:type="dxa"/>
            <w:vAlign w:val="bottom"/>
          </w:tcPr>
          <w:p>
            <w:pPr>
              <w:spacing w:after="0"/>
              <w:rPr>
                <w:sz w:val="1"/>
                <w:szCs w:val="1"/>
                <w:color w:val="auto"/>
              </w:rPr>
            </w:pPr>
          </w:p>
        </w:tc>
      </w:tr>
      <w:tr>
        <w:trPr>
          <w:trHeight w:val="243"/>
        </w:trPr>
        <w:tc>
          <w:tcPr>
            <w:tcW w:w="5040" w:type="dxa"/>
            <w:vAlign w:val="bottom"/>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78,185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78,185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3,821,942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3,744,491</w:t>
            </w:r>
          </w:p>
        </w:tc>
        <w:tc>
          <w:tcPr>
            <w:tcW w:w="0" w:type="dxa"/>
            <w:vAlign w:val="bottom"/>
          </w:tcPr>
          <w:p>
            <w:pPr>
              <w:spacing w:after="0"/>
              <w:rPr>
                <w:sz w:val="1"/>
                <w:szCs w:val="1"/>
                <w:color w:val="auto"/>
              </w:rPr>
            </w:pPr>
          </w:p>
        </w:tc>
      </w:tr>
      <w:tr>
        <w:trPr>
          <w:trHeight w:val="237"/>
        </w:trPr>
        <w:tc>
          <w:tcPr>
            <w:tcW w:w="504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185,927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82,220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82,220</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106,599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37"/>
        </w:trPr>
        <w:tc>
          <w:tcPr>
            <w:tcW w:w="5040" w:type="dxa"/>
            <w:vAlign w:val="bottom"/>
          </w:tcPr>
          <w:p>
            <w:pPr>
              <w:ind w:left="90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83,064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80,921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Less: Net income attributable to noncontrolling interest</w:t>
            </w: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5040" w:type="dxa"/>
            <w:vAlign w:val="bottom"/>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82,955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80,812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196"/>
              <w:spacing w:after="0"/>
              <w:rPr>
                <w:sz w:val="20"/>
                <w:szCs w:val="20"/>
                <w:color w:val="auto"/>
              </w:rPr>
            </w:pPr>
            <w:r>
              <w:rPr>
                <w:rFonts w:ascii="Arial" w:cs="Arial" w:eastAsia="Arial" w:hAnsi="Arial"/>
                <w:sz w:val="14"/>
                <w:szCs w:val="14"/>
                <w:b w:val="1"/>
                <w:bCs w:val="1"/>
                <w:color w:val="auto"/>
                <w:w w:val="93"/>
              </w:rPr>
              <w:t>Nine Months Ended June 28, 2019</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As Reported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Adoption adjustments of</w:t>
            </w:r>
          </w:p>
        </w:tc>
        <w:tc>
          <w:tcPr>
            <w:tcW w:w="1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0"/>
              </w:rPr>
              <w:t>Balances without adoption</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340" w:type="dxa"/>
            <w:vAlign w:val="bottom"/>
          </w:tcPr>
          <w:p>
            <w:pPr>
              <w:spacing w:after="0"/>
              <w:rPr>
                <w:sz w:val="16"/>
                <w:szCs w:val="16"/>
                <w:color w:val="auto"/>
              </w:rPr>
            </w:pPr>
          </w:p>
        </w:tc>
        <w:tc>
          <w:tcPr>
            <w:tcW w:w="1480" w:type="dxa"/>
            <w:vAlign w:val="bottom"/>
          </w:tcPr>
          <w:p>
            <w:pPr>
              <w:jc w:val="center"/>
              <w:ind w:right="251"/>
              <w:spacing w:after="0"/>
              <w:rPr>
                <w:sz w:val="20"/>
                <w:szCs w:val="20"/>
                <w:color w:val="auto"/>
              </w:rPr>
            </w:pPr>
            <w:r>
              <w:rPr>
                <w:rFonts w:ascii="Arial" w:cs="Arial" w:eastAsia="Arial" w:hAnsi="Arial"/>
                <w:sz w:val="14"/>
                <w:szCs w:val="14"/>
                <w:b w:val="1"/>
                <w:bCs w:val="1"/>
                <w:color w:val="auto"/>
                <w:w w:val="94"/>
              </w:rPr>
              <w:t>of ASC 606</w:t>
            </w:r>
          </w:p>
        </w:tc>
        <w:tc>
          <w:tcPr>
            <w:tcW w:w="0" w:type="dxa"/>
            <w:vAlign w:val="bottom"/>
          </w:tcPr>
          <w:p>
            <w:pPr>
              <w:spacing w:after="0"/>
              <w:rPr>
                <w:sz w:val="1"/>
                <w:szCs w:val="1"/>
                <w:color w:val="auto"/>
              </w:rPr>
            </w:pPr>
          </w:p>
        </w:tc>
      </w:tr>
      <w:tr>
        <w:trPr>
          <w:trHeight w:val="324"/>
        </w:trPr>
        <w:tc>
          <w:tcPr>
            <w:tcW w:w="50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12,276,097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(260,433)</w:t>
            </w:r>
          </w:p>
        </w:tc>
        <w:tc>
          <w:tcPr>
            <w:tcW w:w="12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12,015,664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60"/>
              <w:spacing w:after="0"/>
              <w:rPr>
                <w:sz w:val="20"/>
                <w:szCs w:val="20"/>
                <w:color w:val="auto"/>
              </w:rPr>
            </w:pPr>
            <w:r>
              <w:rPr>
                <w:rFonts w:ascii="Arial" w:cs="Arial" w:eastAsia="Arial" w:hAnsi="Arial"/>
                <w:sz w:val="18"/>
                <w:szCs w:val="18"/>
                <w:color w:val="auto"/>
              </w:rPr>
              <w:t>Cost of services provided</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11,029,382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(265,821)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10,763,561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460,480</w:t>
            </w:r>
          </w:p>
        </w:tc>
        <w:tc>
          <w:tcPr>
            <w:tcW w:w="0" w:type="dxa"/>
            <w:vAlign w:val="bottom"/>
          </w:tcPr>
          <w:p>
            <w:pPr>
              <w:spacing w:after="0"/>
              <w:rPr>
                <w:sz w:val="1"/>
                <w:szCs w:val="1"/>
                <w:color w:val="auto"/>
              </w:rPr>
            </w:pPr>
          </w:p>
        </w:tc>
      </w:tr>
      <w:tr>
        <w:trPr>
          <w:trHeight w:val="243"/>
        </w:trPr>
        <w:tc>
          <w:tcPr>
            <w:tcW w:w="5040" w:type="dxa"/>
            <w:vAlign w:val="bottom"/>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270,600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(156,309)</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11,591,081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(252,749)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11,338,332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685,016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677,332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249,375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249,375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427,957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72,589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70,599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357,358</w:t>
            </w:r>
          </w:p>
        </w:tc>
        <w:tc>
          <w:tcPr>
            <w:tcW w:w="0" w:type="dxa"/>
            <w:vAlign w:val="bottom"/>
          </w:tcPr>
          <w:p>
            <w:pPr>
              <w:spacing w:after="0"/>
              <w:rPr>
                <w:sz w:val="1"/>
                <w:szCs w:val="1"/>
                <w:color w:val="auto"/>
              </w:rPr>
            </w:pPr>
          </w:p>
        </w:tc>
      </w:tr>
      <w:tr>
        <w:trPr>
          <w:trHeight w:val="243"/>
        </w:trPr>
        <w:tc>
          <w:tcPr>
            <w:tcW w:w="5040" w:type="dxa"/>
            <w:vAlign w:val="bottom"/>
          </w:tcPr>
          <w:p>
            <w:pPr>
              <w:ind w:left="460"/>
              <w:spacing w:after="0"/>
              <w:rPr>
                <w:sz w:val="20"/>
                <w:szCs w:val="20"/>
                <w:color w:val="auto"/>
              </w:rPr>
            </w:pPr>
            <w:r>
              <w:rPr>
                <w:rFonts w:ascii="Arial" w:cs="Arial" w:eastAsia="Arial" w:hAnsi="Arial"/>
                <w:sz w:val="18"/>
                <w:szCs w:val="18"/>
                <w:color w:val="auto"/>
              </w:rPr>
              <w:t>Less: Net income attributable to noncontrolling interest</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362,992</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357,298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040" w:type="dxa"/>
            <w:vAlign w:val="bottom"/>
          </w:tcPr>
          <w:p>
            <w:pPr>
              <w:spacing w:after="0"/>
              <w:rPr>
                <w:sz w:val="24"/>
                <w:szCs w:val="24"/>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17</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ectPr>
          <w:pgSz w:w="11900" w:h="16838" w:orient="portrait"/>
          <w:cols w:equalWidth="0" w:num="1">
            <w:col w:w="11420"/>
          </w:cols>
          <w:pgMar w:left="240" w:top="179" w:right="239" w:bottom="1440" w:gutter="0" w:footer="0" w:header="0"/>
        </w:sectPr>
      </w:pPr>
    </w:p>
    <w:p>
      <w:pPr>
        <w:spacing w:after="0" w:line="338" w:lineRule="exact"/>
        <w:rPr>
          <w:sz w:val="20"/>
          <w:szCs w:val="20"/>
          <w:color w:val="auto"/>
        </w:rPr>
      </w:pPr>
    </w:p>
    <w:p>
      <w:pPr>
        <w:jc w:val="center"/>
        <w:ind w:left="714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31115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1"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31115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June 28, 2019</w:t>
      </w:r>
    </w:p>
    <w:p>
      <w:pPr>
        <w:spacing w:after="0" w:line="63" w:lineRule="exact"/>
        <w:rPr>
          <w:sz w:val="20"/>
          <w:szCs w:val="20"/>
          <w:color w:val="auto"/>
        </w:rPr>
      </w:pPr>
    </w:p>
    <w:p>
      <w:pPr>
        <w:sectPr>
          <w:pgSz w:w="11900" w:h="16838" w:orient="portrait"/>
          <w:cols w:equalWidth="0" w:num="2">
            <w:col w:w="9000" w:space="720"/>
            <w:col w:w="1700"/>
          </w:cols>
          <w:pgMar w:left="240" w:top="179"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shd w:val="clear" w:color="auto" w:fill="CCEEFF"/>
        </w:rPr>
        <w:t>FSS United States: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Business &amp; Industry</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1,199.1</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Education</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2,625.5</w:t>
            </w: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708.7</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Sports, Leisure &amp; Corrections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1,780.4</w:t>
            </w: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Facilities &amp; Other</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1,177.1</w:t>
            </w:r>
          </w:p>
        </w:tc>
      </w:tr>
      <w:tr>
        <w:trPr>
          <w:trHeight w:val="27"/>
        </w:trPr>
        <w:tc>
          <w:tcPr>
            <w:tcW w:w="7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rPr>
              <w:t>Total FSS United States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7,490.8</w:t>
            </w:r>
          </w:p>
        </w:tc>
      </w:tr>
      <w:tr>
        <w:trPr>
          <w:trHeight w:val="324"/>
        </w:trPr>
        <w:tc>
          <w:tcPr>
            <w:tcW w:w="7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FSS International:</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20"/>
              <w:spacing w:after="0"/>
              <w:rPr>
                <w:sz w:val="20"/>
                <w:szCs w:val="20"/>
                <w:color w:val="auto"/>
              </w:rPr>
            </w:pPr>
            <w:r>
              <w:rPr>
                <w:rFonts w:ascii="Arial" w:cs="Arial" w:eastAsia="Arial" w:hAnsi="Arial"/>
                <w:sz w:val="18"/>
                <w:szCs w:val="18"/>
                <w:color w:val="auto"/>
              </w:rPr>
              <w:t>Europe</w:t>
            </w: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1,559.2</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1,285.9</w:t>
            </w:r>
          </w:p>
        </w:tc>
      </w:tr>
      <w:tr>
        <w:trPr>
          <w:trHeight w:val="237"/>
        </w:trPr>
        <w:tc>
          <w:tcPr>
            <w:tcW w:w="7000" w:type="dxa"/>
            <w:vAlign w:val="bottom"/>
          </w:tcPr>
          <w:p>
            <w:pPr>
              <w:jc w:val="right"/>
              <w:ind w:right="4750"/>
              <w:spacing w:after="0"/>
              <w:rPr>
                <w:sz w:val="20"/>
                <w:szCs w:val="20"/>
                <w:color w:val="auto"/>
              </w:rPr>
            </w:pPr>
            <w:r>
              <w:rPr>
                <w:rFonts w:ascii="Arial" w:cs="Arial" w:eastAsia="Arial" w:hAnsi="Arial"/>
                <w:sz w:val="18"/>
                <w:szCs w:val="18"/>
                <w:color w:val="auto"/>
              </w:rPr>
              <w:t>Total FSS International</w:t>
            </w: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2,845.1</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Uniform</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1,940.2</w:t>
            </w:r>
          </w:p>
        </w:tc>
      </w:tr>
      <w:tr>
        <w:trPr>
          <w:trHeight w:val="27"/>
        </w:trPr>
        <w:tc>
          <w:tcPr>
            <w:tcW w:w="7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4,010.8</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12,276.1</w:t>
            </w:r>
          </w:p>
        </w:tc>
      </w:tr>
      <w:tr>
        <w:trPr>
          <w:trHeight w:val="20"/>
        </w:trPr>
        <w:tc>
          <w:tcPr>
            <w:tcW w:w="7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defers sales commissions earned by its sales force that are considered to be incremental and recoverable costs of obtaining a contract tied to its food, facilities and uniform services. The deferred costs are amortized using the portfolio approach on a straight line basis over the average period of benefit and are assessed for impairment on a periodic basis. Determination of the amortization period and the subsequent assessment for impairment of the contract cost asset requires judgment. During the three and nine months ended June 28, 2019, the Company expensed approximately $3.8 million and $11.0 million of these costs to “Cost of services provided” in the Condensed Consolidated Statements of Income.</w:t>
      </w:r>
    </w:p>
    <w:p>
      <w:pPr>
        <w:spacing w:after="0" w:line="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Costs to fulfill contracts includes payments made by the Company to enhance the service resources used by the Company to satisfy its performance obligation. These amounts are amortized over the contract period. If a contract is terminated prior to its maturity date, the Company is typically reimbursed for the unamortized amount. During the three and nine months ended June 28, 2019, the Company expensed approximately $5.2 million and $15.1 million of these costs to "Depreciation and amortization" in the Condensed Consolidated Statements of Income.</w:t>
      </w:r>
    </w:p>
    <w:p>
      <w:pPr>
        <w:spacing w:after="0" w:line="6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Other costs to fulfill contracts represent personalized work apparel, linens and other rental items in service in the Uniform segment. The amounts are recorded at cost and are amortized over their estimated useful lives, which primarily range from one to four years. The amortization rates used are based on the Company's specific experience. The Company recorded expense of approximately $79.5 million and $237.0 million during the three and nine months ended June 28, 2019 related to these costs, which was recorded in "Costs of services provided" in the Condensed Consolidated Statements of Income.</w:t>
      </w:r>
    </w:p>
    <w:p>
      <w:pPr>
        <w:spacing w:after="0" w:line="4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Deferred income is recognized in "Accrued expenses and other current liabilities" in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9"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nine months ended June 28, 2019, deferred income increased related to customer prepayments and decreased related to income recognized during the period as a result of satisfying the performance obligation. Below is a summary of the changes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September 28,</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Add: Net increase in current period</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Less: Recognition of deferred</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Balance, June 28,</w:t>
            </w:r>
          </w:p>
        </w:tc>
      </w:tr>
      <w:tr>
        <w:trPr>
          <w:trHeight w:val="192"/>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deferred income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r>
      <w:tr>
        <w:trPr>
          <w:trHeight w:val="229"/>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income</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828.6</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133.3</w:t>
            </w:r>
          </w:p>
        </w:tc>
      </w:tr>
      <w:tr>
        <w:trPr>
          <w:trHeight w:val="41"/>
        </w:trPr>
        <w:tc>
          <w:tcPr>
            <w:tcW w:w="39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2017, “H.R.1,” commonly referred to as the “Tax Cuts and Jobs Act” (the “Tax Legislation”) was signed into U.S. law. The Tax Legislation, which was effective on January 1, 2018, significantly revised the U.S. tax code by, among other things, lowering the corporate income tax rate from 35.0% to 21.0% and implementing new international tax provisions that included a one-time transition tax on deemed repatriated earnings of foreign subsidiaries. Though certain key aspects of the new law were effective January 1, 2018 and had an immediate accounting impact, other significant provisions were not effective or did not result in accounting implications for the Company until after the fiscal year-end September 28, 2018. The provisions effective for fiscal 2019 are the tax on "Global Intangible Low-Taxed Income" ("GILTI"), the deduction for "Foreign-Derived Intangible Income" ("FDII"), the 163(j) limitation on interest expense and the 162(m) limitation on certain executive compensation.</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2018, the Company made reasonable estimates related to certain impacts of the Tax Legislation and, in accordance with the Securities and Exchange Commission (“SEC”) Staff Accountant Bulletin No. 118, Income Tax Accounting Implications of the Tax Cut and Jobs Act (“SAB 118”), recorded provisional estimates during a measurement period when it did not have the necessary information available, prepared, or analyzed in reasonable detail to complete its accounting for the change in tax law.</w:t>
      </w:r>
    </w:p>
    <w:p>
      <w:pPr>
        <w:spacing w:after="0" w:line="13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result of the Tax Legislation, the Company reassessed during fiscal 2018 the ability to recover its $27.2 million of foreign tax credit ("FTC") carryforwards. Based on currently available information, the Company believed it would not generate sufficient foreign source income in the carryforward period to utilize a portion of these credits. As a result, the Company recorded a valuation allowance of $13.1 million against its foreign tax credit carryforward during fiscal 2018 as a provisional estimate. On the basis of proposed Treasury Regulations issued subsequent to the filing of the Company's Annual Report on Form 10-K on November 21, 2018, the Company recorded an adjustment to reduce the $13.1 million valuation allowance by $9.5 million, which was recorded as a tax benefit to the provision for income taxes during the first quarter of fiscal 2019. During the second quarter of fiscal 2019, the Company reduced the remaining $3.6 million valuation allowance and recorded a related uncertain tax position of $2.7 million, resulting in a net benefit to the provision for income taxes of $0.9 million.</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Legislation contains additional international provisions which impact the Company beginning in the period ended December 28, 2018, including the tax on “Global Intangible Low-Taxed Income” (“GILTI”). The impact of the GILTI liability is not expected to have a significant impact on the financial statements for the fiscal year ending September 27, 2019. The Company is electing to treat taxes due on future U.S. inclusions in taxable income related to GILTI as a current-period expense when incurred (the “period cost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for the impact of the Tax Legislation is complete and the Company closed the measurement period related to SAB 118.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nine months ended June 28, 2019 and June 29, 2018, the Company paid dividends of approximately $81.3 million and $77.3 million to its stockholders, respectively. On July 31, 2019, the Company's Board declared a $0.110 dividend per share of common stock, payable on August 29, 2019, to shareholders of record on the close of business on August 15, 2019. During the first quarter of fiscal 2019, the Company completed a repurchase of 1.6 million shares of its common stock for $50.0 million. During the first quarter of fiscal 2018, the Company completed a repurchase of 0.6 million shares of its common stock for $24.4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following table summarizes the share-based compensation expense and related information for Time-Based Options ("TBOs"), Time-Based Restricted Stock Units ("RSUs"), Performance Stock Units and Performance Restricted Stock ("PSUs"), and Deferred Stock and Other Units classified as "Selling and general corporate expenses" in the Condensed Consolidated Statements of Income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2018</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40" w:type="dxa"/>
            <w:vAlign w:val="bottom"/>
          </w:tcPr>
          <w:p>
            <w:pPr>
              <w:spacing w:after="0"/>
              <w:rPr>
                <w:sz w:val="22"/>
                <w:szCs w:val="22"/>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b w:val="1"/>
                <w:bCs w:val="1"/>
                <w:color w:val="auto"/>
              </w:rPr>
              <w:t>June 29, 2018</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TBOs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2"/>
                <w:shd w:val="clear" w:color="auto" w:fill="CCEEFF"/>
              </w:rPr>
              <w:t>PSUs</w:t>
            </w:r>
          </w:p>
        </w:tc>
        <w:tc>
          <w:tcPr>
            <w:tcW w:w="4720" w:type="dxa"/>
            <w:vAlign w:val="bottom"/>
            <w:shd w:val="clear" w:color="auto" w:fill="CCEEFF"/>
          </w:tcPr>
          <w:p>
            <w:pPr>
              <w:jc w:val="right"/>
              <w:ind w:right="4517"/>
              <w:spacing w:after="0"/>
              <w:rPr>
                <w:sz w:val="20"/>
                <w:szCs w:val="20"/>
                <w:color w:val="auto"/>
              </w:rPr>
            </w:pPr>
            <w:r>
              <w:rPr>
                <w:rFonts w:ascii="Arial" w:cs="Arial" w:eastAsia="Arial" w:hAnsi="Arial"/>
                <w:sz w:val="13"/>
                <w:szCs w:val="13"/>
                <w:color w:val="auto"/>
                <w:w w:val="75"/>
                <w:shd w:val="clear" w:color="auto" w:fill="CCEEFF"/>
              </w:rPr>
              <w:t>(1)</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vMerge w:val="continue"/>
            <w:shd w:val="clear" w:color="auto" w:fill="CCEEFF"/>
          </w:tcPr>
          <w:p>
            <w:pPr>
              <w:spacing w:after="0"/>
              <w:rPr>
                <w:sz w:val="6"/>
                <w:szCs w:val="6"/>
                <w:color w:val="auto"/>
              </w:rPr>
            </w:pPr>
          </w:p>
        </w:tc>
        <w:tc>
          <w:tcPr>
            <w:tcW w:w="47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Deferred Stock and Other Units</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Taxes related to share-based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00" w:right="380" w:hanging="351"/>
        <w:spacing w:after="0" w:line="237"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During the third quarter of fiscal 2018, the Company increased the adjusted earnings per share target attainment percentage for both the fiscal 2016 and fiscal 2017 PSU grants, and recognized an additional $18.9 million of share-based compensation expense.</w:t>
      </w:r>
    </w:p>
    <w:p>
      <w:pPr>
        <w:spacing w:after="0" w:line="1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below table summarizes the number of shares granted and the weighted-average grant-date fair value per unit during the nine months ended June 28,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Granted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 (dollars per</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TBOs</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PSUs</w:t>
            </w:r>
            <w:r>
              <w:rPr>
                <w:rFonts w:ascii="Arial" w:cs="Arial" w:eastAsia="Arial" w:hAnsi="Arial"/>
                <w:sz w:val="25"/>
                <w:szCs w:val="25"/>
                <w:color w:val="auto"/>
                <w:vertAlign w:val="superscript"/>
              </w:rPr>
              <w:t>(2)</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Stock Units</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00" w:hanging="351"/>
        <w:spacing w:after="0"/>
        <w:tabs>
          <w:tab w:leader="none" w:pos="400" w:val="left"/>
        </w:tabs>
        <w:numPr>
          <w:ilvl w:val="0"/>
          <w:numId w:val="7"/>
        </w:numPr>
        <w:rPr>
          <w:rFonts w:ascii="Arial" w:cs="Arial" w:eastAsia="Arial" w:hAnsi="Arial"/>
          <w:sz w:val="25"/>
          <w:szCs w:val="25"/>
          <w:color w:val="auto"/>
          <w:vertAlign w:val="superscript"/>
        </w:rPr>
      </w:pPr>
      <w:r>
        <w:rPr>
          <w:rFonts w:ascii="Arial" w:cs="Arial" w:eastAsia="Arial" w:hAnsi="Arial"/>
          <w:sz w:val="13"/>
          <w:szCs w:val="13"/>
          <w:color w:val="auto"/>
        </w:rPr>
        <w:t>Includes approximately 0.5 million shares resulting from the payout of the 2016 PSU grants due to exceeding the adjusted earnings per share target.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7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4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attributable to the Company's stockholders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29, 2018</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2019</w:t>
            </w:r>
          </w:p>
        </w:tc>
        <w:tc>
          <w:tcPr>
            <w:tcW w:w="240" w:type="dxa"/>
            <w:vAlign w:val="bottom"/>
          </w:tcPr>
          <w:p>
            <w:pPr>
              <w:spacing w:after="0"/>
              <w:rPr>
                <w:sz w:val="22"/>
                <w:szCs w:val="22"/>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82,955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72,577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362,992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392,430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4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246,928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246,028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246,665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245,588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6,643</w:t>
            </w:r>
          </w:p>
        </w:tc>
      </w:tr>
      <w:tr>
        <w:trPr>
          <w:trHeight w:val="297"/>
        </w:trPr>
        <w:tc>
          <w:tcPr>
            <w:tcW w:w="51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251,147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251,857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251,271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252,231</w:t>
            </w:r>
          </w:p>
        </w:tc>
      </w:tr>
      <w:tr>
        <w:trPr>
          <w:trHeight w:val="311"/>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Share-based awards to purchase 7.3 million and 3.7 million shares were outstanding for the three months ended June 28, 2019 and June 29, 2018, respectively, but were not included in the computation of diluted earnings per common share, as their effect would have been antidilutive. In addition, PSUs related to 1.6 million shares and 1.8 million shares were outstanding for the three month periods of June 28, 2019 and June 29, 2018, respectively, but were not included in the computation of diluted earnings per common share, as the performance targets were not yet met.</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Share-based awards to purchase 7.8 million and 1.6 million shares were outstanding for the nine months ended June 28, 2019 and June 29, 2018, respectively, but were not included in the computation of diluted earnings per common share, as their effect would have been antidilutive. In addition, PSUs related to 1.6 million shares and 1.8 million shares were outstanding for the nine month periods of June 28, 2019 and June 29, 2018, respectively, but were not included in the computation of diluted earnings per common share, as the performance targets were not yet met.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Company's lease arrangements, primarily vehicle leases, with terms of one to eight years, contain provisions related to residual value guarantees. The maximum potential liability to the Company under such arrangements was approximately $36.2 million at June 28, 2019 if the terminal fair value of vehicles coming off lease was zero. Consistent with past experience, management does not expect any significant payments will be required pursuant to these arrangements. No amounts have been accrued for guarantee arrangements at June 28, 2019.</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7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reported its operating results in three reportable segments: FSS United States, FSS International and Uniform. Corporate includes general expenses not specifically allocated to an individual segment and share-based compensation expense (see Note 10). In the Company's food and support services segments, approximately 77% of the global revenue is related to food services and 23% is related to facilities services. Financial information by segment follows (in millions):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1056"/>
              <w:spacing w:after="0"/>
              <w:rPr>
                <w:sz w:val="20"/>
                <w:szCs w:val="20"/>
                <w:color w:val="auto"/>
              </w:rPr>
            </w:pPr>
            <w:r>
              <w:rPr>
                <w:rFonts w:ascii="Arial" w:cs="Arial" w:eastAsia="Arial" w:hAnsi="Arial"/>
                <w:sz w:val="14"/>
                <w:szCs w:val="14"/>
                <w:b w:val="1"/>
                <w:bCs w:val="1"/>
                <w:color w:val="auto"/>
                <w:w w:val="89"/>
              </w:rPr>
              <w:t>Revenue</w:t>
            </w:r>
            <w:r>
              <w:rPr>
                <w:rFonts w:ascii="Arial" w:cs="Arial" w:eastAsia="Arial" w:hAnsi="Arial"/>
                <w:sz w:val="8"/>
                <w:szCs w:val="8"/>
                <w:b w:val="1"/>
                <w:bCs w:val="1"/>
                <w:color w:val="auto"/>
                <w:w w:val="89"/>
              </w:rPr>
              <w:t>1</w:t>
            </w:r>
          </w:p>
        </w:tc>
        <w:tc>
          <w:tcPr>
            <w:tcW w:w="1320" w:type="dxa"/>
            <w:vAlign w:val="bottom"/>
            <w:tcBorders>
              <w:bottom w:val="single" w:sz="8" w:color="auto"/>
            </w:tcBorders>
          </w:tcPr>
          <w:p>
            <w:pPr>
              <w:spacing w:after="0"/>
              <w:rPr>
                <w:sz w:val="16"/>
                <w:szCs w:val="16"/>
                <w:color w:val="auto"/>
              </w:rPr>
            </w:pPr>
          </w:p>
        </w:tc>
      </w:tr>
      <w:tr>
        <w:trPr>
          <w:trHeight w:val="250"/>
        </w:trPr>
        <w:tc>
          <w:tcPr>
            <w:tcW w:w="7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r>
      <w:tr>
        <w:trPr>
          <w:trHeight w:val="264"/>
        </w:trPr>
        <w:tc>
          <w:tcPr>
            <w:tcW w:w="7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80" w:type="dxa"/>
            <w:vAlign w:val="bottom"/>
          </w:tcPr>
          <w:p>
            <w:pPr>
              <w:spacing w:after="0"/>
              <w:rPr>
                <w:sz w:val="22"/>
                <w:szCs w:val="22"/>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929.9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540.7</w:t>
            </w:r>
          </w:p>
        </w:tc>
      </w:tr>
      <w:tr>
        <w:trPr>
          <w:trHeight w:val="237"/>
        </w:trPr>
        <w:tc>
          <w:tcPr>
            <w:tcW w:w="79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4,010.8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3,971.6</w:t>
            </w: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15"/>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Operating Income</w:t>
            </w:r>
            <w:r>
              <w:rPr>
                <w:rFonts w:ascii="Arial" w:cs="Arial" w:eastAsia="Arial" w:hAnsi="Arial"/>
                <w:sz w:val="8"/>
                <w:szCs w:val="8"/>
                <w:b w:val="1"/>
                <w:bCs w:val="1"/>
                <w:color w:val="auto"/>
                <w:w w:val="93"/>
              </w:rPr>
              <w:t>1</w:t>
            </w:r>
          </w:p>
        </w:tc>
      </w:tr>
      <w:tr>
        <w:trPr>
          <w:trHeight w:val="250"/>
        </w:trPr>
        <w:tc>
          <w:tcPr>
            <w:tcW w:w="7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r>
      <w:tr>
        <w:trPr>
          <w:trHeight w:val="264"/>
        </w:trPr>
        <w:tc>
          <w:tcPr>
            <w:tcW w:w="7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80" w:type="dxa"/>
            <w:vAlign w:val="bottom"/>
          </w:tcPr>
          <w:p>
            <w:pPr>
              <w:spacing w:after="0"/>
              <w:rPr>
                <w:sz w:val="22"/>
                <w:szCs w:val="22"/>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r>
      <w:tr>
        <w:trPr>
          <w:trHeight w:val="237"/>
        </w:trPr>
        <w:tc>
          <w:tcPr>
            <w:tcW w:w="79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96.9</w:t>
            </w: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31"/>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1056"/>
              <w:spacing w:after="0"/>
              <w:rPr>
                <w:sz w:val="20"/>
                <w:szCs w:val="20"/>
                <w:color w:val="auto"/>
              </w:rPr>
            </w:pPr>
            <w:r>
              <w:rPr>
                <w:rFonts w:ascii="Arial" w:cs="Arial" w:eastAsia="Arial" w:hAnsi="Arial"/>
                <w:sz w:val="14"/>
                <w:szCs w:val="14"/>
                <w:b w:val="1"/>
                <w:bCs w:val="1"/>
                <w:color w:val="auto"/>
                <w:w w:val="89"/>
              </w:rPr>
              <w:t>Revenue</w:t>
            </w:r>
            <w:r>
              <w:rPr>
                <w:rFonts w:ascii="Arial" w:cs="Arial" w:eastAsia="Arial" w:hAnsi="Arial"/>
                <w:sz w:val="8"/>
                <w:szCs w:val="8"/>
                <w:b w:val="1"/>
                <w:bCs w:val="1"/>
                <w:color w:val="auto"/>
                <w:w w:val="89"/>
              </w:rPr>
              <w:t>1</w:t>
            </w:r>
          </w:p>
        </w:tc>
        <w:tc>
          <w:tcPr>
            <w:tcW w:w="1320" w:type="dxa"/>
            <w:vAlign w:val="bottom"/>
            <w:tcBorders>
              <w:bottom w:val="single" w:sz="8" w:color="auto"/>
            </w:tcBorders>
          </w:tcPr>
          <w:p>
            <w:pPr>
              <w:spacing w:after="0"/>
              <w:rPr>
                <w:sz w:val="24"/>
                <w:szCs w:val="24"/>
                <w:color w:val="auto"/>
              </w:rPr>
            </w:pPr>
          </w:p>
        </w:tc>
      </w:tr>
      <w:tr>
        <w:trPr>
          <w:trHeight w:val="250"/>
        </w:trPr>
        <w:tc>
          <w:tcPr>
            <w:tcW w:w="7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Nine Months Ended</w:t>
            </w:r>
          </w:p>
        </w:tc>
      </w:tr>
      <w:tr>
        <w:trPr>
          <w:trHeight w:val="264"/>
        </w:trPr>
        <w:tc>
          <w:tcPr>
            <w:tcW w:w="7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80" w:type="dxa"/>
            <w:vAlign w:val="bottom"/>
          </w:tcPr>
          <w:p>
            <w:pPr>
              <w:spacing w:after="0"/>
              <w:rPr>
                <w:sz w:val="22"/>
                <w:szCs w:val="22"/>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2,845.1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2,768.1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1,450.9</w:t>
            </w:r>
          </w:p>
        </w:tc>
      </w:tr>
      <w:tr>
        <w:trPr>
          <w:trHeight w:val="237"/>
        </w:trPr>
        <w:tc>
          <w:tcPr>
            <w:tcW w:w="79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12,276.1</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11,876.0</w:t>
            </w: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731"/>
        </w:trPr>
        <w:tc>
          <w:tcPr>
            <w:tcW w:w="7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Operating Income</w:t>
            </w:r>
            <w:r>
              <w:rPr>
                <w:rFonts w:ascii="Arial" w:cs="Arial" w:eastAsia="Arial" w:hAnsi="Arial"/>
                <w:sz w:val="8"/>
                <w:szCs w:val="8"/>
                <w:b w:val="1"/>
                <w:bCs w:val="1"/>
                <w:color w:val="auto"/>
                <w:w w:val="93"/>
              </w:rPr>
              <w:t>1</w:t>
            </w:r>
          </w:p>
        </w:tc>
      </w:tr>
      <w:tr>
        <w:trPr>
          <w:trHeight w:val="250"/>
        </w:trPr>
        <w:tc>
          <w:tcPr>
            <w:tcW w:w="79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Nine Months Ended</w:t>
            </w:r>
          </w:p>
        </w:tc>
      </w:tr>
      <w:tr>
        <w:trPr>
          <w:trHeight w:val="264"/>
        </w:trPr>
        <w:tc>
          <w:tcPr>
            <w:tcW w:w="79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28, 2019</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101.5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131.2</w:t>
            </w:r>
          </w:p>
        </w:tc>
      </w:tr>
      <w:tr>
        <w:trPr>
          <w:trHeight w:val="237"/>
        </w:trPr>
        <w:tc>
          <w:tcPr>
            <w:tcW w:w="79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686.3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538.5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282.0</w:t>
            </w: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420" w:right="360" w:hanging="351"/>
        <w:spacing w:after="0" w:line="291"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3"/>
          <w:szCs w:val="13"/>
          <w:color w:val="auto"/>
        </w:rPr>
        <w:t>The adoption of ASC 606 impacted revenue and operating income for all segments in the three and nine month periods of fiscal 2019 (see Note 7). Revenue and operating income in the three and nine month periods of fiscal 2019 for the FSS United States segment were impacted by the sale of Healthcare Technologies in the first quarter of fiscal 2019 (see Note 2).</w:t>
      </w:r>
    </w:p>
    <w:p>
      <w:pPr>
        <w:sectPr>
          <w:pgSz w:w="11900" w:h="16838" w:orient="portrait"/>
          <w:cols w:equalWidth="0" w:num="1">
            <w:col w:w="11420"/>
          </w:cols>
          <w:pgMar w:left="240" w:top="179" w:right="239" w:bottom="46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79" w:right="239" w:bottom="46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ASSETS AND FINANCIAL LIABILITIES:</w:t>
      </w:r>
    </w:p>
    <w:p>
      <w:pPr>
        <w:spacing w:after="0" w:line="14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44"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June 28, 2019 and September 28, 2018 was $7,379.8 million and $7,303.1 million, respectively. The carrying value of the Company's debt at June 28, 2019 and September 28, 2018 was $7,252.7 million and $7,244.0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79"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 OF ARAMARK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consolidating financial statements of the Company have been prepared pursuant to Rule 3-10 of Regulation S-X.</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condensed consolidating financial statements are presented for: (i) Aramark (the "Parent"); (ii) Aramark Services, Inc. and Aramark International Finance S.à r.l. (the "Issuers"); (iii) the guarantors; (iv) the non guarantors; (v) elimination entries necessary to consolidate the Parent with the Issuers, the guarantors and non guarantors; and (vi) the Company on a consolidated basis. Each of the guarantors is wholly-owned, directly or indirectly, by the Company.</w:t>
      </w:r>
    </w:p>
    <w:p>
      <w:pPr>
        <w:ind w:right="20"/>
        <w:spacing w:after="0" w:line="268" w:lineRule="auto"/>
        <w:rPr>
          <w:sz w:val="20"/>
          <w:szCs w:val="20"/>
          <w:color w:val="auto"/>
        </w:rPr>
      </w:pPr>
      <w:r>
        <w:rPr>
          <w:rFonts w:ascii="Arial" w:cs="Arial" w:eastAsia="Arial" w:hAnsi="Arial"/>
          <w:sz w:val="17"/>
          <w:szCs w:val="17"/>
          <w:color w:val="auto"/>
        </w:rPr>
        <w:t>The 5.125% Senior Notes due 2024 (the "2024 Notes"), 5.000% Senior Notes due April 1, 2025 (the "5.000% 2025 Notes"), 3.125% Senior Notes due April 1, 2025 (the "3.125% 2025 Notes" and, together with the 5.000% 2025 Notes, the "2025 Notes"), 4.75% Senior Notes due June 1, 2026 ("2026 Notes") and 5.000% Senior Notes due February 1, 2028 (the "2028 Notes") are obligations of the Company's wholly-owned subsidiary, Aramark Services, Inc., (other than the 3.125% 2025 Notes, which are obligations of the Company's wholly owned subsidiary, Aramark International Finance S.a.r.l) and are each jointly and severally guaranteed on a senior unsecured basis by the Company and substantially all of the Company's existing and future domestic subsidiaries (excluding the Receivables Facility subsidiary) ("Guarantors"). All other subsidiaries of the Company, either direct or indirect, do not guarantee the 2024 Notes, 2025 Notes, 2026 Notes or 2028 Notes ("Non Guarantors"). The Guarantors also guarantee certain other debt. These condensed consolidating financial statements have been prepared from the Company's financial information on the same basis of accounting as the condensed consolidated financial statements. Interest expense and certain other costs are partially allocated to all of the subsidiaries of the Company. Goodwill and other intangible assets have been allocated to the subsidiaries based on management's estimates.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28, 2019</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220,055</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588,382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1,242,418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1,832,911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393,115</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196,044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1,569,251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2,642,125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1,739,272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360,894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2,143,765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4,702,583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5,526,301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Investment in and Advances to Subsidiaries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3,285,917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6,865,245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762,770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(10,913,932)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199,979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2,064,637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973,747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360,044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1,352,674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3,285,922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7,237,702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10,218,260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3,903,552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(10,915,934)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13,729,502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22,148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316,697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819,922</w:t>
            </w: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177,816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737,534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370,287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1,285,725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301,398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1,148,778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2,159,396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6,368,352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753,326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7,198,918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Deferred Income Taxes and Other Noncurrent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421,092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529,391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1,075,198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4,710,831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419,352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(5,130,183)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3,285,922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146,860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3,741,952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1,897,027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(5,785,839)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3,285,922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3,285,922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7,237,702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10,218,260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3,903,552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(10,915,934)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13,729,502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1,345,796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1,790,433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724,802</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w w:val="96"/>
              </w:rPr>
              <w:t>Prepayments and other current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171,165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1,151,802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2,901,425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1,013,523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336,230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1,378,094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4,783,547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5,610,568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6"/>
              </w:rPr>
              <w:t>Investment in and Advances to Subsidiaries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3,029,553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7,441,605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844,245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(11,405,452)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2,136,844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100,754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1,264,976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329,443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1,693,171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940"/>
              <w:spacing w:after="0"/>
              <w:rPr>
                <w:sz w:val="20"/>
                <w:szCs w:val="20"/>
                <w:color w:val="auto"/>
              </w:rPr>
            </w:pPr>
            <w:r>
              <w:rPr>
                <w:rFonts w:ascii="Arial" w:cs="Arial" w:eastAsia="Arial" w:hAnsi="Arial"/>
                <w:sz w:val="18"/>
                <w:szCs w:val="18"/>
                <w:b w:val="1"/>
                <w:bCs w:val="1"/>
                <w:color w:val="auto"/>
              </w:rPr>
              <w:t>LIABILITIES AND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30,907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1,018,920</w:t>
            </w: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205,807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926,794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307,643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1,440,332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1,436,964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2,490,159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6,651,110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479,870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7,213,077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Deferred Income Taxes and Other Noncurrent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466,331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977,215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4,827,084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955,407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(5,782,491)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444,550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3,401,123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1,779,378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(5,625,051)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3,029,558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28,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271,186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2,589,449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4,010,761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1,051,915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3,594,978</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148,779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78,185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77,896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82,220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294,685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2,517,831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1,091,646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3,904,162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106,599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23,535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82,955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82,955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43,970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82,955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0" w:type="dxa"/>
            <w:vAlign w:val="bottom"/>
          </w:tcPr>
          <w:p>
            <w:pPr>
              <w:spacing w:after="0"/>
              <w:rPr>
                <w:sz w:val="1"/>
                <w:szCs w:val="1"/>
                <w:color w:val="auto"/>
              </w:rPr>
            </w:pPr>
          </w:p>
        </w:tc>
      </w:tr>
      <w:tr>
        <w:trPr>
          <w:trHeight w:val="209"/>
        </w:trPr>
        <w:tc>
          <w:tcPr>
            <w:tcW w:w="4000" w:type="dxa"/>
            <w:vAlign w:val="bottom"/>
          </w:tcPr>
          <w:p>
            <w:pPr>
              <w:ind w:left="46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53,768</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(47,180)</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56,103</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64,030</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(72,953)</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53,768</w:t>
            </w:r>
          </w:p>
        </w:tc>
        <w:tc>
          <w:tcPr>
            <w:tcW w:w="0" w:type="dxa"/>
            <w:vAlign w:val="bottom"/>
          </w:tcPr>
          <w:p>
            <w:pPr>
              <w:spacing w:after="0"/>
              <w:rPr>
                <w:sz w:val="1"/>
                <w:szCs w:val="1"/>
                <w:color w:val="auto"/>
              </w:rPr>
            </w:pPr>
          </w:p>
        </w:tc>
      </w:tr>
      <w:tr>
        <w:trPr>
          <w:trHeight w:val="242"/>
        </w:trPr>
        <w:tc>
          <w:tcPr>
            <w:tcW w:w="4000" w:type="dxa"/>
            <w:vAlign w:val="bottom"/>
          </w:tcPr>
          <w:p>
            <w:pPr>
              <w:ind w:left="68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799,765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8,067,783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3,408,549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12,276,097</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7,125,488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3,165,286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11,029,382</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358,772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447,408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270,600</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Gain on sale of Healthcare Technologies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(156,309)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249,375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(215,792)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203,680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887,653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7,665,934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3,286,869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11,840,456</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401,849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121,680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362,992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363,052</w:t>
            </w:r>
          </w:p>
        </w:tc>
        <w:tc>
          <w:tcPr>
            <w:tcW w:w="0" w:type="dxa"/>
            <w:vAlign w:val="bottom"/>
          </w:tcPr>
          <w:p>
            <w:pPr>
              <w:spacing w:after="0"/>
              <w:rPr>
                <w:sz w:val="1"/>
                <w:szCs w:val="1"/>
                <w:color w:val="auto"/>
              </w:rPr>
            </w:pPr>
          </w:p>
        </w:tc>
      </w:tr>
      <w:tr>
        <w:trPr>
          <w:trHeight w:val="229"/>
        </w:trPr>
        <w:tc>
          <w:tcPr>
            <w:tcW w:w="4000" w:type="dxa"/>
            <w:vAlign w:val="bottom"/>
          </w:tcPr>
          <w:p>
            <w:pPr>
              <w:ind w:left="460"/>
              <w:spacing w:after="0"/>
              <w:rPr>
                <w:sz w:val="20"/>
                <w:szCs w:val="20"/>
                <w:color w:val="auto"/>
              </w:rPr>
            </w:pPr>
            <w:r>
              <w:rPr>
                <w:rFonts w:ascii="Arial" w:cs="Arial" w:eastAsia="Arial" w:hAnsi="Arial"/>
                <w:sz w:val="18"/>
                <w:szCs w:val="18"/>
                <w:color w:val="auto"/>
                <w:w w:val="95"/>
              </w:rPr>
              <w:t>Less: Net income attributable to noncontrolling</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68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362,992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326,085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362,992</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(79,615)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Comprehensive income (loss) attributable 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283,377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(128,977)</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326,085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60,616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(257,724)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283,377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29,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2,580,276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1,129,947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3,971,606</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3,526,293</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156,934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101,715</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85,080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89,776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299,308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2,505,837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1,069,573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3,874,718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24,172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72,577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44,060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72,577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56,830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44,060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72,577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Other comprehensive income (loss),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w w:val="98"/>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37,206</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(14,792)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56,830</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(56,676)</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14,638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37,206</w:t>
            </w:r>
          </w:p>
        </w:tc>
        <w:tc>
          <w:tcPr>
            <w:tcW w:w="0" w:type="dxa"/>
            <w:vAlign w:val="bottom"/>
          </w:tcPr>
          <w:p>
            <w:pPr>
              <w:spacing w:after="0"/>
              <w:rPr>
                <w:sz w:val="1"/>
                <w:szCs w:val="1"/>
                <w:color w:val="auto"/>
              </w:rPr>
            </w:pPr>
          </w:p>
        </w:tc>
      </w:tr>
      <w:tr>
        <w:trPr>
          <w:trHeight w:val="242"/>
        </w:trPr>
        <w:tc>
          <w:tcPr>
            <w:tcW w:w="4000" w:type="dxa"/>
            <w:vAlign w:val="bottom"/>
          </w:tcPr>
          <w:p>
            <w:pPr>
              <w:ind w:left="50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7,828,692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3,275,335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11,876,035</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6,889,070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3,040,701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10,611,532</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360,485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68,516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443,646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282,327</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244,475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256,562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(223,650)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870,665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7,572,008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3,151,394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11,594,067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(110,904)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392,430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392,430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369,604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84,409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392,872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392,430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369,162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84,409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(392,430)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392,430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Other comprehensive income (loss),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25,694</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w w:val="98"/>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418,124</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(24,797)</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371,343</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50,550</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(397,096)</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418,124</w:t>
            </w:r>
          </w:p>
        </w:tc>
        <w:tc>
          <w:tcPr>
            <w:tcW w:w="0" w:type="dxa"/>
            <w:vAlign w:val="bottom"/>
          </w:tcPr>
          <w:p>
            <w:pPr>
              <w:spacing w:after="0"/>
              <w:rPr>
                <w:sz w:val="1"/>
                <w:szCs w:val="1"/>
                <w:color w:val="auto"/>
              </w:rPr>
            </w:pPr>
          </w:p>
        </w:tc>
      </w:tr>
      <w:tr>
        <w:trPr>
          <w:trHeight w:val="242"/>
        </w:trPr>
        <w:tc>
          <w:tcPr>
            <w:tcW w:w="4000" w:type="dxa"/>
            <w:vAlign w:val="bottom"/>
          </w:tcPr>
          <w:p>
            <w:pPr>
              <w:ind w:left="50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28,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40" w:type="dxa"/>
            <w:vAlign w:val="bottom"/>
          </w:tcPr>
          <w:p>
            <w:pPr>
              <w:spacing w:after="0"/>
              <w:rPr>
                <w:sz w:val="14"/>
                <w:szCs w:val="14"/>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241,852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208,187</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(340,449)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divestiture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293,711</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investing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107,796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107,796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(372,168)</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(81,305)</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21,339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Repurchase of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541,140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120,784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(150,660)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Effect of foreign exchange rates on cash and cash</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46,698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23,405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149,947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220,055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29,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180" w:type="dxa"/>
            <w:vAlign w:val="bottom"/>
          </w:tcPr>
          <w:p>
            <w:pPr>
              <w:spacing w:after="0"/>
              <w:rPr>
                <w:sz w:val="14"/>
                <w:szCs w:val="14"/>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194,501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145,512</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(432,779)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(2,381,800)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(2,239,601)</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(2,392,798)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(2,672,179)</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2,982,209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3,146,069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(701,062)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(77,317)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Repurchase of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107,363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141,746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2,320,038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2,457,928</w:t>
            </w:r>
          </w:p>
        </w:tc>
        <w:tc>
          <w:tcPr>
            <w:tcW w:w="0" w:type="dxa"/>
            <w:vAlign w:val="bottom"/>
          </w:tcPr>
          <w:p>
            <w:pPr>
              <w:spacing w:after="0"/>
              <w:rPr>
                <w:sz w:val="1"/>
                <w:szCs w:val="1"/>
                <w:color w:val="auto"/>
              </w:rPr>
            </w:pPr>
          </w:p>
        </w:tc>
      </w:tr>
      <w:tr>
        <w:trPr>
          <w:trHeight w:val="209"/>
        </w:trPr>
        <w:tc>
          <w:tcPr>
            <w:tcW w:w="3780" w:type="dxa"/>
            <w:vAlign w:val="bottom"/>
          </w:tcPr>
          <w:p>
            <w:pPr>
              <w:ind w:left="40"/>
              <w:spacing w:after="0"/>
              <w:rPr>
                <w:sz w:val="20"/>
                <w:szCs w:val="20"/>
                <w:color w:val="auto"/>
              </w:rPr>
            </w:pPr>
            <w:r>
              <w:rPr>
                <w:rFonts w:ascii="Arial" w:cs="Arial" w:eastAsia="Arial" w:hAnsi="Arial"/>
                <w:sz w:val="18"/>
                <w:szCs w:val="18"/>
                <w:color w:val="auto"/>
                <w:w w:val="92"/>
              </w:rPr>
              <w:t>Effect of foreign exchange rates on cash and cash</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111,512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89,767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238,797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nine months ended June 28, 2019 and June 29, 2018 should be read in conjunction with our audited consolidated financial statements, and the notes to those statements for the fiscal year ended September 28, 2018 included in the Company's Annual Report on Form 10-K, filed with the Securities and Exchange Commission ("SEC") on November 21, 2018.</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quarter of fiscal 2018, we acquired Avendra, LLC ("Avendra") and during the second quarter of fiscal 2018, we acquired AmeriPride Services, Inc. ("AmeriPride") in separate transactions. The Avendra acquisition consideration was $1,386.4 million, partially offset by $87.3 million of cash and restricted investments acquired. The AmeriPride acquisition consideration was $995.4 million, partially offset by $84.9 million of cash acquired. We incurred new debt to finance both the Avendra and AmeriPride acquisitions. We expect our earnings for some period following the closings to be impacted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expect to incur approximately $30 million to $35 million of additional charges over the next 15 months.</w:t>
      </w:r>
    </w:p>
    <w:p>
      <w:pPr>
        <w:spacing w:after="0" w:line="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second quarter of fiscal 2018, we launched the next phase of our program related to food, labor and selling and general administrative initiatives to generate additional cost savings. These initiatives include a reduction in headcount through reorganization and integration, the relocation of our headquarters facility and certain other costs. Efforts related to this phase have resulted in charges of approximately $47 million in the nine months ended June 28, 2019. We currently expect to incur additional charges related to this phase of approximately $5 million within the remaining months of fiscal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44"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On November 9, 2018, we completed the sale of our wholly-owned Healthcare Technologies ("HCT") business for $293.7 million in cash. The transaction resulted in a pretax gain of $156.3 million (tax effected gain of $139.2 million) in the Condensed Consolidated Statements of Income for the nine months ended June 28, 2019. We evaluated the sale under the rules for discontinued operations and concluded it did not meet all of the criteria required.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w:t>
      </w:r>
    </w:p>
    <w:p>
      <w:pPr>
        <w:ind w:right="660"/>
        <w:spacing w:after="0" w:line="290" w:lineRule="auto"/>
        <w:rPr>
          <w:sz w:val="20"/>
          <w:szCs w:val="20"/>
          <w:color w:val="auto"/>
        </w:rPr>
      </w:pPr>
      <w:r>
        <w:rPr>
          <w:rFonts w:ascii="Arial" w:cs="Arial" w:eastAsia="Arial" w:hAnsi="Arial"/>
          <w:sz w:val="17"/>
          <w:szCs w:val="17"/>
          <w:color w:val="auto"/>
        </w:rPr>
        <w:t>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years ending September 27, 2019 and September 28, 2018 are each fifty-two week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nine months ended June 28, 2019 and June 29, 2018 (dollars in millions).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2019</w:t>
            </w:r>
          </w:p>
        </w:tc>
        <w:tc>
          <w:tcPr>
            <w:tcW w:w="320" w:type="dxa"/>
            <w:vAlign w:val="bottom"/>
          </w:tcPr>
          <w:p>
            <w:pPr>
              <w:spacing w:after="0"/>
              <w:rPr>
                <w:sz w:val="22"/>
                <w:szCs w:val="22"/>
                <w:color w:val="auto"/>
              </w:rPr>
            </w:pP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29, 2018</w:t>
            </w:r>
          </w:p>
        </w:tc>
        <w:tc>
          <w:tcPr>
            <w:tcW w:w="360" w:type="dxa"/>
            <w:vAlign w:val="bottom"/>
          </w:tcPr>
          <w:p>
            <w:pPr>
              <w:spacing w:after="0"/>
              <w:rPr>
                <w:sz w:val="22"/>
                <w:szCs w:val="22"/>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7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4,010.8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3,971.6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840" w:type="dxa"/>
            <w:vAlign w:val="bottom"/>
          </w:tcPr>
          <w:p>
            <w:pPr>
              <w:ind w:left="4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484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84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54"/>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77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28, 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29, 2018</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FSS 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2,413.5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2,501.0</w:t>
            </w:r>
          </w:p>
        </w:tc>
        <w:tc>
          <w:tcPr>
            <w:tcW w:w="120" w:type="dxa"/>
            <w:vAlign w:val="bottom"/>
          </w:tcPr>
          <w:p>
            <w:pPr>
              <w:spacing w:after="0"/>
              <w:rPr>
                <w:sz w:val="21"/>
                <w:szCs w:val="21"/>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(87.5)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929.9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Uniform</w:t>
            </w: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106.7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4,010.8</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3,971.6</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7"/>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24"/>
                <w:szCs w:val="24"/>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28, 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29, 2018</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16" w:lineRule="exact"/>
        <w:rPr>
          <w:sz w:val="20"/>
          <w:szCs w:val="20"/>
          <w:color w:val="auto"/>
        </w:rPr>
      </w:pPr>
    </w:p>
    <w:p>
      <w:pPr>
        <w:ind w:right="60" w:firstLine="8"/>
        <w:spacing w:after="0" w:line="332"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60% and 63%, FSS International represented 24% and 23% and Uniform represented 16% and 14% for the three month periods ended June 28, 2019 and June 29, 2018, respectively. The fiscal 2019 percentages were impacted by the adoption of ASC 606 (see Note 7 to the condensed consolidated financial statements). Revenue and operating income in the three and nine month periods of fiscal 2019 for the FSS United States segment were also impacted by the sale of Healthcare Technologies in the first quarter of fiscal 2019 (see Note 2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28, 2019</w:t>
            </w:r>
          </w:p>
        </w:tc>
        <w:tc>
          <w:tcPr>
            <w:tcW w:w="320" w:type="dxa"/>
            <w:vAlign w:val="bottom"/>
          </w:tcPr>
          <w:p>
            <w:pPr>
              <w:spacing w:after="0"/>
              <w:rPr>
                <w:sz w:val="22"/>
                <w:szCs w:val="22"/>
                <w:color w:val="auto"/>
              </w:rPr>
            </w:pPr>
          </w:p>
        </w:tc>
        <w:tc>
          <w:tcPr>
            <w:tcW w:w="16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29, 2018</w:t>
            </w:r>
          </w:p>
        </w:tc>
        <w:tc>
          <w:tcPr>
            <w:tcW w:w="380" w:type="dxa"/>
            <w:vAlign w:val="bottom"/>
          </w:tcPr>
          <w:p>
            <w:pPr>
              <w:spacing w:after="0"/>
              <w:rPr>
                <w:sz w:val="22"/>
                <w:szCs w:val="22"/>
                <w:color w:val="auto"/>
              </w:rPr>
            </w:pPr>
          </w:p>
        </w:tc>
        <w:tc>
          <w:tcPr>
            <w:tcW w:w="86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r>
      <w:tr>
        <w:trPr>
          <w:trHeight w:val="27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12,276.1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11,876.0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48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840" w:type="dxa"/>
            <w:vAlign w:val="bottom"/>
          </w:tcPr>
          <w:p>
            <w:pPr>
              <w:ind w:left="46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8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11,591.1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11,337.5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00"/>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jc w:val="right"/>
              <w:ind w:right="77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8"/>
                <w:szCs w:val="8"/>
                <w:b w:val="1"/>
                <w:bCs w:val="1"/>
                <w:color w:val="auto"/>
              </w:rPr>
              <w:t>(2)</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28, 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29, 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FSS 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7,490.8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7,657.0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Uniform</w:t>
            </w: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1,940.2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1,450.9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12,276.1</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11,876.0</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5"/>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7"/>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11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24"/>
                <w:szCs w:val="24"/>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June 28, 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June 29, 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685.0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5" w:lineRule="exact"/>
        <w:rPr>
          <w:sz w:val="20"/>
          <w:szCs w:val="20"/>
          <w:color w:val="auto"/>
        </w:rPr>
      </w:pPr>
    </w:p>
    <w:p>
      <w:pPr>
        <w:ind w:right="60" w:firstLine="8"/>
        <w:spacing w:after="0" w:line="252"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61% and 65%, FSS International represented 23% and 23% and Uniform represented 16% and 12% for the nine month periods ended June 28, 2019 and June 29, 2018, respectively. The fiscal 2019 percentages were impacted by the adoption of ASC 606 (see Note 7 to the condensed consolidated financial statements). Revenue and operating income in the three and nine month periods of fiscal 2019 for the FSS United States segment were also impacted by the sale of Healthcare Technologies in the first quarter of fiscal 2019 (see Note 2 to the condensed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increased by approximately 1% and 3% during the three and nine month periods of fiscal 2019, compared to the prior year periods, respectively. The increase was attributable to:</w:t>
      </w:r>
    </w:p>
    <w:p>
      <w:pPr>
        <w:spacing w:after="0" w:line="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in our FSS International and Uniforms segments;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growth in the Sports, Leisure &amp; Corrections, Business &amp; Industry and Education sectors in our FSS United States segment; and</w:t>
      </w:r>
    </w:p>
    <w:p>
      <w:pPr>
        <w:spacing w:after="0" w:line="144"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the new revenue recognition standard as certain fees previously recognized as a reduction to “Cost of services provided,” are now recognized in “Revenue" (approximately 2% for both periods);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the divestiture of HCT (approximately -3% and -2%);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-2% for both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2019, the Avendra and AmeriPride acquisitions contributed approximately 2% revenue growth.</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three and nine month periods ended June 28, 2019 and June 29, 2018.</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28, 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June 29, 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June 28, 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June 29, 2018</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Cost of services provided</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2,170.5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2,238.1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6,719.4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6,834.0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888.6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864.7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2,686.8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2,603.3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535.9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1,623.2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1,174.3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3,595.0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3,526.3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11,029.4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10,611.6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gridSpan w:val="2"/>
            <w:vMerge w:val="restart"/>
          </w:tcPr>
          <w:p>
            <w:pPr>
              <w:jc w:val="right"/>
              <w:ind w:right="68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for the three and nine month periods ended June 28, 2019 and June 29,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 of services provided components</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0"/>
              </w:rPr>
              <w:t>June 28, 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0"/>
              </w:rPr>
              <w:t>June 29, 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28, 2019</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support service costs</w:t>
            </w: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Personnel costs</w:t>
            </w:r>
          </w:p>
        </w:tc>
        <w:tc>
          <w:tcPr>
            <w:tcW w:w="1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direct costs</w:t>
            </w: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Operating income increased by approximately $2.1 million and $146.5 million during the three and nine month periods of fiscal 2019, compared to the prior year periods, respectively. The increase in operating income during the three month period of fiscal 2019 was attributable to:</w:t>
      </w:r>
    </w:p>
    <w:p>
      <w:pPr>
        <w:spacing w:after="0" w:line="66" w:lineRule="exact"/>
        <w:rPr>
          <w:sz w:val="20"/>
          <w:szCs w:val="20"/>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in share-based compensation expense primarily related to the increase in Performance Stock Unit ("PSU") attainment percentages during fiscal 2018 (approximately $19.6 million);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profit growth in our Sports, Leisure &amp; Corrections and Education sectors within our FSS U.S. segment; partially offset by</w:t>
      </w:r>
    </w:p>
    <w:p>
      <w:pPr>
        <w:spacing w:after="0" w:line="14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personnel costs (approximately $36.0 million), including employee incentive expenses and expenses for employee reinvestments funded by benefits from U.S. tax reform;</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profit decline from the divestiture of HCT;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closing costs mainly related to customer contracts within our FSS International segment (approximately $8.5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during the nine month period of fiscal 2019 was attributable to:</w:t>
      </w:r>
    </w:p>
    <w:p>
      <w:pPr>
        <w:spacing w:after="0" w:line="14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gain from the divestiture of the HCT business (approximately $156.3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profit related to the acquisitions of Avendra and AmeriPride and lower merger and integration costs (approximately $38.5 million);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severance and consulting costs related to streamlining initiatives (approximately $23.4 million);</w:t>
      </w:r>
    </w:p>
    <w:p>
      <w:pPr>
        <w:spacing w:after="0" w:line="14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share-based compensation expense primarily related to the increase in PSU attainment percentages during fiscal 2018 (approximately $19.9 million); and</w:t>
      </w:r>
    </w:p>
    <w:p>
      <w:pPr>
        <w:spacing w:after="0" w:line="8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relating to the recovery of our investment (possessory interest) at one of the National Park Service ("NPS") sites in the FSS United States segment (approximately $16.2 million); partially offset by</w:t>
      </w:r>
    </w:p>
    <w:p>
      <w:pPr>
        <w:spacing w:after="0" w:line="8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personnel costs (approximately $117.2 million), including employee incentive expenses and expenses for employee reinvestments funded by benefits from U.S. tax reform;</w:t>
      </w:r>
    </w:p>
    <w:p>
      <w:pPr>
        <w:spacing w:after="0" w:line="8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profit decline in the Business &amp; Industry sector, primarily due to reinvestment costs for new and retained business, and from the divestiture of HCT;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closing costs mainly related to customer contracts within our FSS International segment (approximately $10.5 million).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and Other Financing Costs, net, decreased 8% and 3% during the three and nine month periods of fiscal 2019, respectively, compared to the prior year periods. The decrease was primarily due to an increase in favorable returns on our interest rate swaps of $2.8 million and $11.8 million for the three and nine month periods of fiscal 2019, respectively. The decrease for the nine month period of fiscal 2019 was partially offset by higher borrowings from the financing in fiscal 2018 for the Avendra and AmeriPride acquisitions.</w:t>
      </w:r>
    </w:p>
    <w:p>
      <w:pPr>
        <w:spacing w:after="0" w:line="10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effective income tax rate for the three and nine month periods of fiscal 2019 were 22.1% and 16.7%, respectively, compared to 24.9% and (39.3)% in the prior year periods, respectively. The increase in the effective tax rate during the nine month period of fiscal 2019 was driven by prior year one-time benefits resulting from a reduction in the U.S. federal statutory rate from 35% to 21% and the re-measurement of our deferred tax assets and liabilities as a result of the “Tax Cuts and Jobs Act." A benefit of approximately $183.8 million was recorded to the (benefit) provision for income taxes for the nine month period of fiscal 2018 in the Condensed Consolidated Statements of Income as a result of U.S. tax reform, the impact of certain permanently reinvested foreign earnings and certain other tax adjustments. The effective tax rate for the nine month period of fiscal 2019 also includes a tax benefit of approximately $10.4 million, mainly as a result of U.S. tax reform (see Note 8 to the condensed consolidated financial statements) and a $17 million tax provision related to the sale of HCT (see Note 2 to the condensed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282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64"/>
        </w:trPr>
        <w:tc>
          <w:tcPr>
            <w:tcW w:w="27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28, 2019</w:t>
            </w: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June 29, 2018</w:t>
            </w:r>
          </w:p>
        </w:tc>
        <w:tc>
          <w:tcPr>
            <w:tcW w:w="12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28, 2019</w:t>
            </w: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29, 2018</w:t>
            </w:r>
          </w:p>
        </w:tc>
        <w:tc>
          <w:tcPr>
            <w:tcW w:w="12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r>
      <w:tr>
        <w:trPr>
          <w:trHeight w:val="250"/>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394.0</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1,168.5</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Education</w:t>
            </w: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703.0</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2,625.5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2,609.9</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977.2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20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662.6</w:t>
            </w: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1,780.4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1,714.0</w:t>
            </w: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413.3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1,187.4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27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2,413.5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2,501.0</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7,490.8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7,657.0</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FSS United States segment revenue decreased by approximately 3% and 2% during the three and nine month periods of fiscal 2019 compared to the prior year periods, respectively. The decrease during the three and nine month periods of fiscal 2019 was attributable to:</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decrease in Healthcare sector revenue resulting from the divestiture of HCT (approximately -33% and -28% of Healthcare sector); and</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decrease in Facilities &amp; Other sector revenue resulting from a decline in base business within our facilities business; which more than offset</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Sports, Leisure &amp; Corrections sector revenue resulting from net new business and base business growth in stadiums and arenas;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Business &amp; Industry sector revenue resulting from net new business and base business growth in business dining;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Education sector revenue resulting from base business growth.</w:t>
      </w:r>
    </w:p>
    <w:p>
      <w:pPr>
        <w:spacing w:after="0" w:line="14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Operating income decreased by approximately $7.9 million and increased by approximately $106.8 million during the three and nine month periods of fiscal 2019 compared to the prior year periods, respectively. The decrease in operating income during the three month period of fiscal 2019 was attributable to:</w:t>
      </w:r>
    </w:p>
    <w:p>
      <w:pPr>
        <w:spacing w:after="0" w:line="43" w:lineRule="exact"/>
        <w:rPr>
          <w:sz w:val="20"/>
          <w:szCs w:val="20"/>
          <w:color w:val="auto"/>
        </w:rPr>
      </w:pPr>
    </w:p>
    <w:p>
      <w:pPr>
        <w:ind w:left="660" w:right="3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personnel costs (approximately $9.6 million), including employee incentive expenses and expenses for employee reinvestments funded by benefits from U.S. tax reform;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 decline from the divestiture of HCT (approximately $7.8 million); which more than offset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 growth in our Education, Sports, Leisure &amp; Corrections and Facilities &amp; Other sectors.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during the nine month period of fiscal 2019 was attributable to:</w:t>
      </w:r>
    </w:p>
    <w:p>
      <w:pPr>
        <w:spacing w:after="0" w:line="14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gain from the divestiture of the HCT business (approximately $156.3 million);</w:t>
      </w:r>
    </w:p>
    <w:p>
      <w:pPr>
        <w:spacing w:after="0" w:line="144"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relating to the recovery of our investment (possessory interest) at one of the NPS sites within our Sports, Leisure &amp; Corrections sector (approximately $16.2 million);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severance charges related to streamlining initiatives (approximately $11.7 million); and</w:t>
      </w:r>
    </w:p>
    <w:p>
      <w:pPr>
        <w:spacing w:after="0" w:line="144"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profit related to the acquisition of Avendra and lower merger and integration costs (approximately $6.1 million); which more than offset</w:t>
      </w:r>
    </w:p>
    <w:p>
      <w:pPr>
        <w:spacing w:after="0" w:line="89"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personnel costs (approximately $69.4 million), including employee incentive expenses and expenses for employee reinvestments funded by benefits from U.S. tax reform;</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profit decline from the divestiture of HCT (approximately $22.1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settlement charges related to exiting a joint venture arrangement (approximately $4.5 million); and</w:t>
      </w:r>
    </w:p>
    <w:p>
      <w:pPr>
        <w:sectPr>
          <w:pgSz w:w="11900" w:h="16838" w:orient="portrait"/>
          <w:cols w:equalWidth="0" w:num="1">
            <w:col w:w="11420"/>
          </w:cols>
          <w:pgMar w:left="240" w:top="17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79"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proceeds from our casualty insurance program (approximately $3.5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FSS International segment revenue increased by approximately 2% and 3% during the three and nine month periods of fiscal 2019 compared to the prior year periods, respectively. The increase was attributable to:</w:t>
      </w:r>
    </w:p>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growth across regions;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-8% for both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2019, the consolidation of a joint venture contributed approximately 2% revenue growth.</w:t>
      </w:r>
    </w:p>
    <w:p>
      <w:pPr>
        <w:spacing w:after="0" w:line="14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Operating income decreased by approximately $3.5 million and $8.0 million during the three and nine month periods of fiscal 2019 compared to the prior year periods, respectively. The decrease in operating income during the three and nine month periods of fiscal 2019 was attributable to:</w:t>
      </w:r>
    </w:p>
    <w:p>
      <w:pPr>
        <w:spacing w:after="0" w:line="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personnel costs (approximately $11.0 million and $20.8 million), including employee incentive expenses;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closing costs mainly related to customer contracts (approximately $8.5 million and $10.5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-$2.7 and -$3.6 million);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profit growth in Germany, Canada and South America;</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charges related to a joint venture partner liquidation and related acquisition (approximately $1.9 million and $7.5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severance costs related to streamlining initiatives (approximately $5.6 million for the nine month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44"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Uniform segment revenue increased by approximately 20% and 34% during the three and nine month periods of fiscal 2019 compared to the prior year periods, respectively. The increase was primarily from the adoption of the new revenue recognition standard as certain fees previously recognized as a reduction to “Cost of services provided” are now recognized in “Revenue” (approximately 17% and 19%) and growth within our uniform rental business. During the nine month period of fiscal 2019, the acquisition of AmeriPride contributed approximately 12% to revenue growth.</w:t>
      </w:r>
    </w:p>
    <w:p>
      <w:pPr>
        <w:spacing w:after="0" w:line="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Operating income decreased by approximately $3.1 million and increased by approximately $13.3 million during the three and nine month periods of fiscal 2019 compared to the prior year periods, respectively. The decrease for the three month period of fiscal 2019 was attributable to:</w:t>
      </w:r>
    </w:p>
    <w:p>
      <w:pPr>
        <w:spacing w:after="0" w:line="66" w:lineRule="exact"/>
        <w:rPr>
          <w:sz w:val="20"/>
          <w:szCs w:val="20"/>
          <w:color w:val="auto"/>
        </w:rPr>
      </w:pPr>
    </w:p>
    <w:p>
      <w:pPr>
        <w:ind w:left="660" w:right="3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personnel costs (approximately $8.4 million), including employee incentive expenses and expenses for employee reinvestments funded by benefits from U.S. tax reform;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profit growth within our uniform rental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during the nine month period of fiscal 2019 was attributable to:</w:t>
      </w:r>
    </w:p>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profit growth related to the acquisition of AmeriPride and our legacy uniform rental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merger and integration related costs from the AmeriPride acquisition (approximately $6.3 million); which more than offset</w:t>
      </w:r>
    </w:p>
    <w:p>
      <w:pPr>
        <w:spacing w:after="0" w:line="14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personnel costs (approximately $20.3 million), including employee incentive expenses and expenses for employee reinvestments funded by benefits from U.S. tax reform ;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proceeds from our casualty insurance program (approximately $3.4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Corporate expenses, those administrative expenses not allocated to the business segments, decreased by approximately $16.6 million and $34.4 million during the three and nine month periods of fiscal 2019 compared to the prior year periods, respectively. The change for the three month period of fiscal 2019 was attributable to a decrease in share-based compensation expense primarily related to the increase in PSU attainment percentages during fiscal 2018 (approximately $19.6 million) and lower consulting costs (approximately $2.2 million), partially offset by higher personnel costs, including employee incentive expenses (approximately $7.0 million). The change for the nine month period of fiscal 2019 was attributable to:</w:t>
      </w:r>
    </w:p>
    <w:p>
      <w:pPr>
        <w:spacing w:after="0" w:line="9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acquisition related costs from the Avendra and AmeriPride acquisitions (approximately $26.0 million);</w:t>
      </w:r>
    </w:p>
    <w:p>
      <w:pPr>
        <w:spacing w:after="0" w:line="14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share-based compensation expense primarily related to the increase in PSU attainment percentages during fiscal 2018 (approximately $19.9 million);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9"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consulting costs (approximately $3.6 million); partially offset by</w:t>
      </w:r>
    </w:p>
    <w:p>
      <w:pPr>
        <w:spacing w:after="0" w:line="144"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personnel costs (approximately $6.7 million), including employee incentive expenses and expenses for employee reinvestments funded by benefits from U.S. tax reform;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banker fees related to the divestiture of Healthcare Technologies (approximately $6.1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change in fair value of certain gasoline and diesel agreements (a loss of approximately $4.5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June 28, 2019, we had $220.1 million of cash and cash equivalents and approximately $891.0 million of availability under our senior secured revolving credit facility. A significant portion of our cash and cash equivalents is held in mature, liquid markets where we have operations. As of June 28, 2019, there was approximately $942.9 million of outstanding foreign currency borrowings.</w:t>
      </w:r>
    </w:p>
    <w:p>
      <w:pPr>
        <w:spacing w:after="0" w:line="10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believe that our cash generated from operations, cash and cash equivalents and the unused portion of our committed credit availability under the senior secured revolving credit facility will be adequate to meet anticipated cash requirements to fund working capital, capital spending, debt service obligations, refinancings, dividends and other cash needs. As part of our ongoing liquidity assessments, we routinely monitor our cash flow (including the mix of domestic and international inflows and outflows) and the condition of the capital markets in order to be prepared to respond to changing conditions.</w:t>
      </w:r>
    </w:p>
    <w:p>
      <w:pPr>
        <w:spacing w:after="0" w:line="4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February 5, 2019, we announced that we would invest $90 million in our workforce through targeted wage adjustments, retirement contributions and special recognition awards, as well as employee training programs and scholarships. We expect to fund the majority of these investments during fiscal 2019 of which $62.5 million was paid during the nine month period of fiscal 2019 in special recognition awards and employee training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28, 2019</w:t>
            </w:r>
          </w:p>
        </w:tc>
        <w:tc>
          <w:tcPr>
            <w:tcW w:w="280" w:type="dxa"/>
            <w:vAlign w:val="bottom"/>
          </w:tcPr>
          <w:p>
            <w:pPr>
              <w:spacing w:after="0"/>
              <w:rPr>
                <w:sz w:val="22"/>
                <w:szCs w:val="22"/>
                <w:color w:val="auto"/>
              </w:rPr>
            </w:pPr>
          </w:p>
        </w:tc>
        <w:tc>
          <w:tcPr>
            <w:tcW w:w="142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29,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(2,672.2)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2,457.9</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200"/>
        <w:spacing w:after="0" w:line="391"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Provided by Operating Activities</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cash flows provided by operating activities was primarily attributable to the change in operating assets and liabilities ($95.2 million). The change in operating assets and liabilities compared to the prior year period was primarily due to the following:</w:t>
      </w:r>
    </w:p>
    <w:p>
      <w:pPr>
        <w:spacing w:after="0" w:line="89" w:lineRule="exact"/>
        <w:rPr>
          <w:sz w:val="20"/>
          <w:szCs w:val="20"/>
          <w:color w:val="auto"/>
        </w:rPr>
      </w:pPr>
    </w:p>
    <w:p>
      <w:pPr>
        <w:jc w:val="both"/>
        <w:ind w:left="660" w:right="12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Accrued expenses were less of a use of cash primarily due to the timing of one-time payments made during the nine month period of fiscal 2018 for certain liabilities assumed related to the Avendra and AmeriPride acquisitions and from lower accrued payroll and related expenses, partially offset by the timing of insurance payments;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Prepayments were a greater use of cash due to the timing of prepayments made related to income tax payments;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payable were a greater use of cash compared to the prior year period due to the timing of disbursements;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Inventories were a greater use of cash due to new business within our Uniform segment;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receivable were less of a use of cash due to the timing of collections and sales growth;</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nine month period of fiscal 2019, we paid approximately $62.5 million of special recognition awards and employee training costs funded by benefits from U.S. tax reform. The Company also received gross proceeds of approximately $14.6 million related to our casualty insurance program from our loss experience being favorable related to a prior year during the nine month period of fiscal 2019. We received approximately $18.9 million of comparable insurance proceeds during the prior year period. During the nine month period of fiscal 2018, we incurred approximately $58.2 million of acquisition related costs. The "Other operating activities" caption in the current year also reflects an adjustment to net income related to a non-operating gain. As a result of the adoption of the new revenue recognition standard in the first quarter of fiscal 2019, certain payments made to our clients, previously included within "Purchases of property and equipment and other" in Cash Flows Used in Investing Activities, are now included within "Payments made to clients on contracts" in Cash Flows Provided by Operating Activities. These client payments were approximately $30.2 million during the nine months ended June 28, 2019.</w:t>
      </w:r>
    </w:p>
    <w:p>
      <w:pPr>
        <w:sectPr>
          <w:pgSz w:w="11900" w:h="16838" w:orient="portrait"/>
          <w:cols w:equalWidth="0" w:num="1">
            <w:col w:w="11420"/>
          </w:cols>
          <w:pgMar w:left="240" w:top="179"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79"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decrease in net cash flows used in investing activities during the nine month period of fiscal 2019 compared to the nine month period of fiscal 2018 relates primarily to the proceeds from the sale of Healthcare Technologies in the first quarter of fiscal 2019 and lower levels of capital expenditures and spending for acquisitions for the nine month period of fiscal 2019 compared to the spending for Avendra and AmeriPride in the nine month period of fiscal 2018. The "Other investing activities" includes $16.2 million of proceeds relating to the recovery of our investment (possessory interest) at one of the NPS sites within our Sports, Leisure &amp; Corrections sector.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2019, cash used in financing activities was impacted by the following:</w:t>
      </w:r>
    </w:p>
    <w:p>
      <w:pPr>
        <w:spacing w:after="0" w:line="144" w:lineRule="exact"/>
        <w:rPr>
          <w:sz w:val="20"/>
          <w:szCs w:val="20"/>
          <w:color w:val="auto"/>
        </w:rPr>
      </w:pPr>
    </w:p>
    <w:p>
      <w:pPr>
        <w:ind w:left="660" w:right="2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repayment of borrowings on term loans and the revolving credit facility ($297.0 million, which includes $200.0 million of optional prepayments from the proceeds of the HCT divestiture);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($255.0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 period of fiscal 2018, cash provided by financing activities was impacted by the following:</w:t>
      </w:r>
    </w:p>
    <w:p>
      <w:pPr>
        <w:spacing w:after="0" w:line="14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a new $1.785 billion U.S. Term Loan B due 2025;</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$1.150 billion aggregate principal amount of 5.000% senior unsecured notes due 2028;</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 of the U.S. dollar denominated term loan to Aramark Services, Inc. ("ASI") due 2022 ($633.8 million of principal);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payment of fees related to the U.S. Term Loan B due 2025 and the 5.000% senior unsecured notes due 2028 (approximately $24.7 million).</w:t>
      </w:r>
    </w:p>
    <w:p>
      <w:pPr>
        <w:spacing w:after="0" w:line="1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fiscal 2017, the Board of Directors authorized a new share repurchase program providing for purchases of up to $250 million of Aramark common stock through February 1, 2019. During the nine month period of fiscal 2019, we completed a repurchase of 1.6 million shares of our common stock for $50.0 million. During the nine month period of fiscal 2018, we completed a repurchase of 0.6 million shares of our common stock for $24.4 million.</w:t>
      </w:r>
    </w:p>
    <w:p>
      <w:pPr>
        <w:spacing w:after="0" w:line="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"Other financing activities" also reflects a use of cash during the nine month periods of fiscal 2019 and fiscal 2018, primarily related to taxes paid by the Company when the Company withholds shares upon an employee's exercise or vesting of equity awards to cover income taxes.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4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June 28, 2019, we were in compliance with these covenants.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Aramark Services, Inc.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79"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10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following is a reconciliation of net income attributable to Aramark Services, Inc. ("ASI") stockholder, which is a U.S. GAAP measure of Aramark Services, Inc.'s operating results, to Covenant Adjusted EBITDA as defined in our debt agreements. The terms and related calculations are defined in the Credit Agreement and the indentures governing our senior notes. Covenant Adjusted EBITDA is a measure of Aramark Services, Inc. and its restricted subsidiaries only and does not include the results of Aramark.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Three Months Ended</w:t>
            </w:r>
          </w:p>
        </w:tc>
        <w:tc>
          <w:tcPr>
            <w:tcW w:w="1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Three Months Ended</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Twelve Months Ended</w:t>
            </w:r>
          </w:p>
        </w:tc>
        <w:tc>
          <w:tcPr>
            <w:tcW w:w="0" w:type="dxa"/>
            <w:vAlign w:val="bottom"/>
          </w:tcPr>
          <w:p>
            <w:pPr>
              <w:spacing w:after="0"/>
              <w:rPr>
                <w:sz w:val="1"/>
                <w:szCs w:val="1"/>
                <w:color w:val="auto"/>
              </w:rPr>
            </w:pPr>
          </w:p>
        </w:tc>
      </w:tr>
      <w:tr>
        <w:trPr>
          <w:trHeight w:val="280"/>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June 28, 2019</w:t>
            </w: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March 29, 2019</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28, 2018</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September 28, 2018</w:t>
            </w:r>
          </w:p>
        </w:tc>
        <w:tc>
          <w:tcPr>
            <w:tcW w:w="220" w:type="dxa"/>
            <w:vAlign w:val="bottom"/>
          </w:tcPr>
          <w:p>
            <w:pPr>
              <w:spacing w:after="0"/>
              <w:rPr>
                <w:sz w:val="24"/>
                <w:szCs w:val="24"/>
                <w:color w:val="auto"/>
              </w:rPr>
            </w:pPr>
          </w:p>
        </w:tc>
        <w:tc>
          <w:tcPr>
            <w:tcW w:w="1140" w:type="dxa"/>
            <w:vAlign w:val="bottom"/>
          </w:tcPr>
          <w:p>
            <w:pPr>
              <w:jc w:val="right"/>
              <w:ind w:right="232"/>
              <w:spacing w:after="0"/>
              <w:rPr>
                <w:sz w:val="20"/>
                <w:szCs w:val="20"/>
                <w:color w:val="auto"/>
              </w:rPr>
            </w:pPr>
            <w:r>
              <w:rPr>
                <w:rFonts w:ascii="Arial" w:cs="Arial" w:eastAsia="Arial" w:hAnsi="Arial"/>
                <w:sz w:val="13"/>
                <w:szCs w:val="13"/>
                <w:b w:val="1"/>
                <w:bCs w:val="1"/>
                <w:color w:val="auto"/>
                <w:w w:val="94"/>
              </w:rPr>
              <w:t>June 28, 2019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ASI stockholder</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62"/>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8"/>
                <w:szCs w:val="18"/>
                <w:color w:val="auto"/>
                <w:vertAlign w:val="superscript"/>
              </w:rPr>
              <w:t>(1)</w:t>
            </w:r>
          </w:p>
        </w:tc>
        <w:tc>
          <w:tcPr>
            <w:tcW w:w="120" w:type="dxa"/>
            <w:vAlign w:val="bottom"/>
          </w:tcPr>
          <w:p>
            <w:pPr>
              <w:spacing w:after="0"/>
              <w:rPr>
                <w:sz w:val="22"/>
                <w:szCs w:val="22"/>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Unusual or non-recurring (gains) and losses</w:t>
            </w:r>
          </w:p>
        </w:tc>
        <w:tc>
          <w:tcPr>
            <w:tcW w:w="58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75"/>
                <w:shd w:val="clear" w:color="auto" w:fill="CCEEFF"/>
              </w:rPr>
              <w:t>(2)</w:t>
            </w: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160" w:type="dxa"/>
            <w:vAlign w:val="bottom"/>
            <w:tcBorders>
              <w:bottom w:val="single" w:sz="8" w:color="CCEEFF"/>
            </w:tcBorders>
            <w:vMerge w:val="continue"/>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gridSpan w:val="2"/>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gridSpan w:val="2"/>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 forma EBITDA for equity method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8"/>
                <w:szCs w:val="18"/>
                <w:color w:val="auto"/>
              </w:rPr>
              <w:t>investees</w:t>
            </w:r>
            <w:r>
              <w:rPr>
                <w:rFonts w:ascii="Arial" w:cs="Arial" w:eastAsia="Arial" w:hAnsi="Arial"/>
                <w:sz w:val="18"/>
                <w:szCs w:val="18"/>
                <w:color w:val="auto"/>
                <w:vertAlign w:val="superscript"/>
              </w:rPr>
              <w:t>(3)</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8"/>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18"/>
                <w:szCs w:val="18"/>
                <w:color w:val="auto"/>
                <w:vertAlign w:val="superscript"/>
              </w:rPr>
              <w:t>(4)</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(5)</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5"/>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Covenant Adjusted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right="6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share-based compensation expense resulting from the application of accounting for stock options, restricted stock units, performance stock, performance stock units, and deferred stock unit awards (see Note 10 to the condensed consolidated financial statements).</w:t>
      </w:r>
    </w:p>
    <w:p>
      <w:pPr>
        <w:spacing w:after="0" w:line="65" w:lineRule="exact"/>
        <w:rPr>
          <w:rFonts w:ascii="Arial" w:cs="Arial" w:eastAsia="Arial" w:hAnsi="Arial"/>
          <w:sz w:val="17"/>
          <w:szCs w:val="17"/>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gain from the divestiture of Healthcare Technologies.</w:t>
      </w:r>
    </w:p>
    <w:p>
      <w:pPr>
        <w:spacing w:after="0" w:line="144" w:lineRule="exact"/>
        <w:rPr>
          <w:rFonts w:ascii="Arial" w:cs="Arial" w:eastAsia="Arial" w:hAnsi="Arial"/>
          <w:sz w:val="18"/>
          <w:szCs w:val="18"/>
          <w:color w:val="auto"/>
        </w:rPr>
      </w:pPr>
    </w:p>
    <w:p>
      <w:pPr>
        <w:ind w:left="500" w:right="36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100"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and divestitures made during the period.</w:t>
      </w:r>
    </w:p>
    <w:p>
      <w:pPr>
        <w:spacing w:after="0" w:line="144" w:lineRule="exact"/>
        <w:rPr>
          <w:rFonts w:ascii="Arial" w:cs="Arial" w:eastAsia="Arial" w:hAnsi="Arial"/>
          <w:sz w:val="18"/>
          <w:szCs w:val="18"/>
          <w:color w:val="auto"/>
        </w:rPr>
      </w:pPr>
    </w:p>
    <w:p>
      <w:pPr>
        <w:ind w:left="500" w:right="40" w:hanging="492"/>
        <w:spacing w:after="0" w:line="270"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Other for the twelve months ended June 28, 2019 includes organizational streamlining initiatives ($16.7 million), the impact of the change in fair value related to certain gasoline and diesel agreements ($4.2 million loss), expenses related to merger and integration related charges ($39.6 million), compensation expense for employee reinvestments funded by benefits from U.S. tax reform ($70.5 million), adjustments to remove the impact attributable to the adoption of certain new accounting standards, including Accounting Standards Codification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in accordance with the Credit Agreement and indentures ($16.2 million), duplicate rent charges, moving costs, opening costs to build out</w:t>
      </w:r>
      <w:r>
        <w:rPr>
          <w:rFonts w:ascii="Arial" w:cs="Arial" w:eastAsia="Arial" w:hAnsi="Arial"/>
          <w:sz w:val="17"/>
          <w:szCs w:val="17"/>
          <w:i w:val="1"/>
          <w:iCs w:val="1"/>
          <w:color w:val="auto"/>
        </w:rPr>
        <w:t xml:space="preserve"> </w:t>
      </w:r>
      <w:r>
        <w:rPr>
          <w:rFonts w:ascii="Arial" w:cs="Arial" w:eastAsia="Arial" w:hAnsi="Arial"/>
          <w:sz w:val="17"/>
          <w:szCs w:val="17"/>
          <w:color w:val="auto"/>
        </w:rPr>
        <w:t>and ready the Company's new headquarters while occupying its existing headquarters and closing costs ($11.1 million), banker fees and other charges related to the sale of Healthcare Technologies ($8.0 million), closing costs mainly related to customer contracts ($8.5 million), certain environmental charges ($5.0 million), settlement charges related to exiting a joint venture arrangement ($4.5 million), the impact of hyperinflation in Argentina ($3.8 million) and other miscellaneous expenses.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June 28,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Covenant</w:t>
            </w: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Actual</w:t>
            </w:r>
          </w:p>
        </w:tc>
      </w:tr>
      <w:tr>
        <w:trPr>
          <w:trHeight w:val="192"/>
        </w:trPr>
        <w:tc>
          <w:tcPr>
            <w:tcW w:w="492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Ratios</w:t>
            </w: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5"/>
                <w:szCs w:val="25"/>
                <w:color w:val="auto"/>
                <w:vertAlign w:val="superscript"/>
              </w:rPr>
              <w:t>(1)</w:t>
            </w:r>
          </w:p>
        </w:tc>
        <w:tc>
          <w:tcPr>
            <w:tcW w:w="298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5.125x</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341"/>
        </w:trPr>
        <w:tc>
          <w:tcPr>
            <w:tcW w:w="4920" w:type="dxa"/>
            <w:vAlign w:val="bottom"/>
          </w:tcPr>
          <w:p>
            <w:pPr>
              <w:ind w:left="4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5"/>
                <w:szCs w:val="25"/>
                <w:color w:val="auto"/>
                <w:vertAlign w:val="superscript"/>
              </w:rPr>
              <w:t>(2)</w:t>
            </w:r>
          </w:p>
        </w:tc>
        <w:tc>
          <w:tcPr>
            <w:tcW w:w="2980" w:type="dxa"/>
            <w:vAlign w:val="bottom"/>
          </w:tcPr>
          <w:p>
            <w:pPr>
              <w:spacing w:after="0"/>
              <w:rPr>
                <w:sz w:val="24"/>
                <w:szCs w:val="24"/>
                <w:color w:val="auto"/>
              </w:rPr>
            </w:pPr>
          </w:p>
        </w:tc>
        <w:tc>
          <w:tcPr>
            <w:tcW w:w="1820" w:type="dxa"/>
            <w:vAlign w:val="bottom"/>
            <w:gridSpan w:val="2"/>
          </w:tcPr>
          <w:p>
            <w:pPr>
              <w:ind w:left="1180"/>
              <w:spacing w:after="0"/>
              <w:rPr>
                <w:sz w:val="20"/>
                <w:szCs w:val="20"/>
                <w:color w:val="auto"/>
              </w:rPr>
            </w:pPr>
            <w:r>
              <w:rPr>
                <w:rFonts w:ascii="Arial" w:cs="Arial" w:eastAsia="Arial" w:hAnsi="Arial"/>
                <w:sz w:val="18"/>
                <w:szCs w:val="18"/>
                <w:color w:val="auto"/>
              </w:rPr>
              <w:t>2.000x</w:t>
            </w:r>
          </w:p>
        </w:tc>
        <w:tc>
          <w:tcPr>
            <w:tcW w:w="170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496"/>
        </w:trPr>
        <w:tc>
          <w:tcPr>
            <w:tcW w:w="4920" w:type="dxa"/>
            <w:vAlign w:val="bottom"/>
          </w:tcPr>
          <w:p>
            <w:pPr>
              <w:spacing w:after="0"/>
              <w:rPr>
                <w:sz w:val="24"/>
                <w:szCs w:val="24"/>
                <w:color w:val="auto"/>
              </w:rPr>
            </w:pPr>
          </w:p>
        </w:tc>
        <w:tc>
          <w:tcPr>
            <w:tcW w:w="2980" w:type="dxa"/>
            <w:vAlign w:val="bottom"/>
          </w:tcPr>
          <w:p>
            <w:pPr>
              <w:jc w:val="right"/>
              <w:ind w:right="2010"/>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right="60" w:hanging="492"/>
        <w:spacing w:after="0" w:line="290"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capital leases, debt in respect of sale-leaseback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our Credit Agreement, which, if ASI's lenders under the Credit Agreement (other than the lenders in respect of ASI's U.S. Term Loan B, which lenders do not benefit from the maximum Consolidated Secured Debt Ratio covenant) failed to waive any such default, would also constitute a default under the indentures governing our senior notes.</w:t>
      </w:r>
    </w:p>
    <w:p>
      <w:pPr>
        <w:spacing w:after="0" w:line="85" w:lineRule="exact"/>
        <w:rPr>
          <w:rFonts w:ascii="Arial" w:cs="Arial" w:eastAsia="Arial" w:hAnsi="Arial"/>
          <w:sz w:val="16"/>
          <w:szCs w:val="16"/>
          <w:color w:val="auto"/>
        </w:rPr>
      </w:pPr>
    </w:p>
    <w:p>
      <w:pPr>
        <w:ind w:left="500" w:hanging="492"/>
        <w:spacing w:after="0" w:line="270"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the Credit Agreement and pursuant to specified exceptions, and make certain restricted payments, other than pursuant to certain exceptions. The minimum Interest Coverage Ratio is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and its subsidiaries and affiliates may from time to time, in their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fiscal 2019, we extended the maturity dates of the Revolving Credit Facility, Yen Term Loan due 2022, Canadian Term Loan due 2022, Canadian Term Loan due 2023 and Euro Term Loan due 2022 to October 1, 2023.</w:t>
      </w:r>
    </w:p>
    <w:p>
      <w:pPr>
        <w:spacing w:after="0" w:line="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August 6, 2019, we announced a share repurchase program authorizing us to repurchase up to $200.0 million of our common stock, expiring in July 2022. We may utilize various methods to effect repurchases of our common stock under the repurchase program, which could include open market repurchases, privately negotiated transactions, block transactions, accelerated share repurchase or open market solicitations for shares, some of which may be effected through Rule 10b5-1 plans. Repurchases will be made based on ongoing assessments of the capital needs of the business, the market price of our common stock and general market conditions. The program may be suspended or discontinued at any time.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significant accounting policies are described in the notes to the consolidated financial statements included in our Form 10-K filed with the SEC on November 21, 2018. As described in such notes, we recognize revenue in the period in which the performance obligation is satisfied. During the first quarter of fiscal 2019, we adopted the new accounting standard related to revenue recognition. See Notes 1 and 7 to the condensed consolidated financial statement for more information on the impact of adoption.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21, 2018.</w:t>
      </w:r>
    </w:p>
    <w:p>
      <w:pPr>
        <w:spacing w:after="0" w:line="9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instruments. The market risk associated with debt obligations as of June 28, 2019 has not materially changed from September 28, 2018 (see Item 7A "Quantitative and Qualitative Disclosure About Market Risk" in our Form 10-K for the fiscal year ended September 28, 2018 filed with the SEC</w:t>
      </w:r>
    </w:p>
    <w:p>
      <w:pPr>
        <w:ind w:right="60"/>
        <w:spacing w:after="0" w:line="261" w:lineRule="auto"/>
        <w:rPr>
          <w:sz w:val="20"/>
          <w:szCs w:val="20"/>
          <w:color w:val="auto"/>
        </w:rPr>
      </w:pPr>
      <w:r>
        <w:rPr>
          <w:rFonts w:ascii="Arial" w:cs="Arial" w:eastAsia="Arial" w:hAnsi="Arial"/>
          <w:sz w:val="18"/>
          <w:szCs w:val="18"/>
          <w:color w:val="auto"/>
        </w:rPr>
        <w:t>on November 21, 2018). See Note 6 to the condensed consolidated financial statements for a discussion of the Company's derivative instruments and Note 14 for the disclosure of the fair value and related carrying value of the Company's debt obligations as of June 28, 2019.</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the Company's internal control over financial reporting occurred during the Company's third quarter of fiscal 2019 that has materially affected, or is reasonably likely to materially affect, the Company's internal control over financial reporting.</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June 28, 2019.</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From time to time, the Company and its subsidiaries are party to various legal actions, proceedings and investigations involving claims incidental to the conduct of their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proceedings or investigations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the Form 10-K for the fiscal year ended September 28, 2018 and filed with the SEC on November 21, 2018.</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6, 2019.</w:t>
      </w:r>
    </w:p>
    <w:p>
      <w:pPr>
        <w:spacing w:after="0" w:line="25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Aramark</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/s/ STEPHEN P. BRAMLAGE, JR.</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00" w:type="dxa"/>
            <w:vAlign w:val="bottom"/>
            <w:vMerge w:val="continue"/>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Stephen P. Bramlage, Jr.</w:t>
            </w:r>
          </w:p>
        </w:tc>
        <w:tc>
          <w:tcPr>
            <w:tcW w:w="0" w:type="dxa"/>
            <w:vAlign w:val="bottom"/>
          </w:tcPr>
          <w:p>
            <w:pPr>
              <w:spacing w:after="0"/>
              <w:rPr>
                <w:sz w:val="1"/>
                <w:szCs w:val="1"/>
                <w:color w:val="auto"/>
              </w:rPr>
            </w:pPr>
          </w:p>
        </w:tc>
      </w:tr>
      <w:tr>
        <w:trPr>
          <w:trHeight w:val="219"/>
        </w:trPr>
        <w:tc>
          <w:tcPr>
            <w:tcW w:w="10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Executive Vice President and Chief Financial Officer (Principal Financial</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4"/>
              </w:rPr>
              <w:t>Officer, Principal Accounting Officer and Authorized Signatory)</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18" w:right="239" w:bottom="1440" w:gutter="0" w:footer="0" w:header="0"/>
        </w:sectPr>
      </w:pPr>
    </w:p>
    <w:bookmarkStart w:id="49" w:name="page50"/>
    <w:bookmarkEnd w:id="49"/>
    <w:p>
      <w:pPr>
        <w:jc w:val="center"/>
        <w:ind w:right="1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p>
      <w:pPr>
        <w:spacing w:after="0"/>
        <w:tabs>
          <w:tab w:leader="none" w:pos="55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19685</wp:posOffset>
            </wp:positionV>
            <wp:extent cx="7160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7" w:lineRule="exact"/>
        <w:rPr>
          <w:sz w:val="20"/>
          <w:szCs w:val="20"/>
          <w:color w:val="auto"/>
        </w:rPr>
      </w:pPr>
    </w:p>
    <w:p>
      <w:pPr>
        <w:ind w:left="300"/>
        <w:spacing w:after="0"/>
        <w:tabs>
          <w:tab w:leader="none" w:pos="760" w:val="left"/>
        </w:tabs>
        <w:rPr>
          <w:rFonts w:ascii="Arial" w:cs="Arial" w:eastAsia="Arial" w:hAnsi="Arial"/>
          <w:sz w:val="16"/>
          <w:szCs w:val="16"/>
          <w:u w:val="single" w:color="auto"/>
          <w:color w:val="0000FF"/>
        </w:rPr>
      </w:pPr>
      <w:hyperlink w:anchor="page51">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51">
        <w:r>
          <w:rPr>
            <w:rFonts w:ascii="Arial" w:cs="Arial" w:eastAsia="Arial" w:hAnsi="Arial"/>
            <w:sz w:val="16"/>
            <w:szCs w:val="16"/>
            <w:u w:val="single" w:color="auto"/>
            <w:color w:val="0000FF"/>
          </w:rPr>
          <w:t>Certification of Eric Foss, Chief Executive Officer, pursuant to Section 302 of the Sarbanes-Oxley Act of 2002.</w:t>
        </w:r>
      </w:hyperlink>
    </w:p>
    <w:p>
      <w:pPr>
        <w:spacing w:after="0" w:line="63" w:lineRule="exact"/>
        <w:rPr>
          <w:sz w:val="20"/>
          <w:szCs w:val="20"/>
          <w:color w:val="auto"/>
        </w:rPr>
      </w:pPr>
    </w:p>
    <w:p>
      <w:pPr>
        <w:ind w:left="300"/>
        <w:spacing w:after="0"/>
        <w:tabs>
          <w:tab w:leader="none" w:pos="760" w:val="left"/>
        </w:tabs>
        <w:rPr>
          <w:rFonts w:ascii="Arial" w:cs="Arial" w:eastAsia="Arial" w:hAnsi="Arial"/>
          <w:sz w:val="16"/>
          <w:szCs w:val="16"/>
          <w:u w:val="single" w:color="auto"/>
          <w:color w:val="0000FF"/>
        </w:rPr>
      </w:pPr>
      <w:hyperlink w:anchor="page52">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52">
        <w:r>
          <w:rPr>
            <w:rFonts w:ascii="Arial" w:cs="Arial" w:eastAsia="Arial" w:hAnsi="Arial"/>
            <w:sz w:val="16"/>
            <w:szCs w:val="16"/>
            <w:u w:val="single" w:color="auto"/>
            <w:color w:val="0000FF"/>
          </w:rPr>
          <w:t>Certification of Stephen P. Bramlage Jr., Chief Financial Officer, pursuant to Section 302 of the Sarbanes-Oxley Act of 2002.</w:t>
        </w:r>
      </w:hyperlink>
    </w:p>
    <w:p>
      <w:pPr>
        <w:spacing w:after="0" w:line="63" w:lineRule="exact"/>
        <w:rPr>
          <w:sz w:val="20"/>
          <w:szCs w:val="20"/>
          <w:color w:val="auto"/>
        </w:rPr>
      </w:pPr>
    </w:p>
    <w:p>
      <w:pPr>
        <w:ind w:left="780" w:right="400" w:hanging="489"/>
        <w:spacing w:after="0" w:line="277" w:lineRule="auto"/>
        <w:tabs>
          <w:tab w:leader="none" w:pos="760" w:val="left"/>
        </w:tabs>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53">
        <w:r>
          <w:rPr>
            <w:rFonts w:ascii="Arial" w:cs="Arial" w:eastAsia="Arial" w:hAnsi="Arial"/>
            <w:sz w:val="18"/>
            <w:szCs w:val="18"/>
            <w:u w:val="single" w:color="auto"/>
            <w:color w:val="0000FF"/>
          </w:rPr>
          <w:t>Certification of Eric Foss, Chief Executive Officer, and Stephen P. Bramlage Jr., Chief Financial Officer, pursuant to Section 906 of the</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Sarbanes-Oxley Act of 2002.</w:t>
        </w:r>
      </w:hyperlink>
    </w:p>
    <w:p>
      <w:pPr>
        <w:spacing w:after="0" w:line="8" w:lineRule="exact"/>
        <w:rPr>
          <w:rFonts w:ascii="Arial" w:cs="Arial" w:eastAsia="Arial" w:hAnsi="Arial"/>
          <w:sz w:val="18"/>
          <w:szCs w:val="18"/>
          <w:u w:val="single" w:color="auto"/>
          <w:color w:val="0000FF"/>
        </w:rPr>
      </w:pPr>
    </w:p>
    <w:p>
      <w:pPr>
        <w:ind w:left="780" w:hanging="436"/>
        <w:spacing w:after="0" w:line="293" w:lineRule="auto"/>
        <w:tabs>
          <w:tab w:leader="none" w:pos="780" w:val="left"/>
        </w:tabs>
        <w:numPr>
          <w:ilvl w:val="0"/>
          <w:numId w:val="30"/>
        </w:numPr>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The following financial information from Aramark's Quarterly Report on Form 10-Q for the period ended June 28, 2019 formatted in inline</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XBRL: (i) Condensed Consolidated Balance Sheets as of June 28, 2019 and September 28, 2018; (ii) Condensed Consolidated Statements of</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Income for the three and nine months ended June 28, 2019 and June 29, 2018; (iii) Condensed Consolidated Statements of Comprehensive</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Income for the three and nine months ended June 28, 2019 and June 29, 2018; (iv) Condensed Consolidated Statements of Cash Flows for</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the nine months ended June 28, 2019 and June 29, 2018; (v) Condensed Consolidated Statements of Stockholders' Equity for the three and</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nine months ended June 28, 2019 and June 29, 2018; and (vi) Notes to condensed consolidated financial statements.</w:t>
        </w:r>
      </w:hyperlink>
    </w:p>
    <w:p>
      <w:pPr>
        <w:spacing w:after="0" w:line="84" w:lineRule="exact"/>
        <w:rPr>
          <w:rFonts w:ascii="Arial" w:cs="Arial" w:eastAsia="Arial" w:hAnsi="Arial"/>
          <w:sz w:val="16"/>
          <w:szCs w:val="16"/>
          <w:u w:val="single" w:color="auto"/>
          <w:color w:val="0000EE"/>
        </w:rPr>
      </w:pPr>
    </w:p>
    <w:p>
      <w:pPr>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63"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383" w:lineRule="exact"/>
        <w:rPr>
          <w:rFonts w:ascii="Arial" w:cs="Arial" w:eastAsia="Arial" w:hAnsi="Arial"/>
          <w:sz w:val="16"/>
          <w:szCs w:val="16"/>
          <w:u w:val="single" w:color="auto"/>
          <w:color w:val="0000EE"/>
        </w:rPr>
      </w:pPr>
    </w:p>
    <w:p>
      <w:pPr>
        <w:jc w:val="center"/>
        <w:ind w:right="1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580" w:top="418"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Eric J. Foss, Chairman, President and Chief Executive Officer, certify that:</w:t>
      </w:r>
    </w:p>
    <w:p>
      <w:pPr>
        <w:spacing w:after="0" w:line="90"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June 28, 2019;</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E</w:t>
      </w:r>
      <w:r>
        <w:rPr>
          <w:rFonts w:ascii="Arial" w:cs="Arial" w:eastAsia="Arial" w:hAnsi="Arial"/>
          <w:sz w:val="16"/>
          <w:szCs w:val="16"/>
          <w:color w:val="auto"/>
        </w:rPr>
        <w:t>RIC</w:t>
      </w:r>
      <w:r>
        <w:rPr>
          <w:rFonts w:ascii="Arial" w:cs="Arial" w:eastAsia="Arial" w:hAnsi="Arial"/>
          <w:sz w:val="18"/>
          <w:szCs w:val="18"/>
          <w:color w:val="auto"/>
        </w:rPr>
        <w:t xml:space="preserve"> J. F</w:t>
      </w:r>
      <w:r>
        <w:rPr>
          <w:rFonts w:ascii="Arial" w:cs="Arial" w:eastAsia="Arial" w:hAnsi="Arial"/>
          <w:sz w:val="16"/>
          <w:szCs w:val="16"/>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Eric J. Foss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President and Chief Executive Officer</w:t>
      </w:r>
    </w:p>
    <w:p>
      <w:pPr>
        <w:sectPr>
          <w:pgSz w:w="11900" w:h="16838" w:orient="portrait"/>
          <w:cols w:equalWidth="0" w:num="1">
            <w:col w:w="11420"/>
          </w:cols>
          <w:pgMar w:left="240" w:top="74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Stephen P. Bramlage, Jr.,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June 28, 2019;</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w:t>
      </w:r>
      <w:r>
        <w:rPr>
          <w:rFonts w:ascii="Arial" w:cs="Arial" w:eastAsia="Arial" w:hAnsi="Arial"/>
          <w:sz w:val="16"/>
          <w:szCs w:val="16"/>
          <w:color w:val="auto"/>
        </w:rPr>
        <w:t>TEPHEN</w:t>
      </w:r>
      <w:r>
        <w:rPr>
          <w:rFonts w:ascii="Arial" w:cs="Arial" w:eastAsia="Arial" w:hAnsi="Arial"/>
          <w:sz w:val="18"/>
          <w:szCs w:val="18"/>
          <w:color w:val="auto"/>
        </w:rPr>
        <w:t xml:space="preserve"> P. B</w:t>
      </w:r>
      <w:r>
        <w:rPr>
          <w:rFonts w:ascii="Arial" w:cs="Arial" w:eastAsia="Arial" w:hAnsi="Arial"/>
          <w:sz w:val="16"/>
          <w:szCs w:val="16"/>
          <w:color w:val="auto"/>
        </w:rPr>
        <w:t>RAMLAGE</w:t>
      </w:r>
      <w:r>
        <w:rPr>
          <w:rFonts w:ascii="Arial" w:cs="Arial" w:eastAsia="Arial" w:hAnsi="Arial"/>
          <w:sz w:val="18"/>
          <w:szCs w:val="18"/>
          <w:color w:val="auto"/>
        </w:rPr>
        <w:t>, J</w:t>
      </w:r>
      <w:r>
        <w:rPr>
          <w:rFonts w:ascii="Arial" w:cs="Arial" w:eastAsia="Arial" w:hAnsi="Arial"/>
          <w:sz w:val="16"/>
          <w:szCs w:val="16"/>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the Quarterly Report of Aramark (the “Company”) on Form 10-Q for the fiscal quarter ended June 28, 2019, as filed with the Securities and Exchange Commission on the date hereof (the “Report”), we, Eric J. Foss, Chairman, President and Chief Executive Officer of the Company, and Stephen P. Bramlage, Jr., Executive Vice President and Chief Financial Officer of the Company, each certify, pursuant to 18 U.S.C. Section 1350, as adopted pursuant to Section 906 of the Sarbanes-Oxley Act of 2002, that, based on each of our knowledge:</w:t>
      </w:r>
    </w:p>
    <w:p>
      <w:pPr>
        <w:spacing w:after="0" w:line="33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right="320" w:firstLine="332"/>
        <w:spacing w:after="0" w:line="716"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E</w:t>
      </w:r>
      <w:r>
        <w:rPr>
          <w:rFonts w:ascii="Arial" w:cs="Arial" w:eastAsia="Arial" w:hAnsi="Arial"/>
          <w:sz w:val="16"/>
          <w:szCs w:val="16"/>
          <w:color w:val="auto"/>
        </w:rPr>
        <w:t>RIC</w:t>
      </w:r>
      <w:r>
        <w:rPr>
          <w:rFonts w:ascii="Arial" w:cs="Arial" w:eastAsia="Arial" w:hAnsi="Arial"/>
          <w:sz w:val="18"/>
          <w:szCs w:val="18"/>
          <w:color w:val="auto"/>
        </w:rPr>
        <w:t xml:space="preserve"> J. F</w:t>
      </w:r>
      <w:r>
        <w:rPr>
          <w:rFonts w:ascii="Arial" w:cs="Arial" w:eastAsia="Arial" w:hAnsi="Arial"/>
          <w:sz w:val="16"/>
          <w:szCs w:val="16"/>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Eric J. Foss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w:t>
      </w:r>
      <w:r>
        <w:rPr>
          <w:rFonts w:ascii="Arial" w:cs="Arial" w:eastAsia="Arial" w:hAnsi="Arial"/>
          <w:sz w:val="16"/>
          <w:szCs w:val="16"/>
          <w:color w:val="auto"/>
        </w:rPr>
        <w:t>TEPHEN</w:t>
      </w:r>
      <w:r>
        <w:rPr>
          <w:rFonts w:ascii="Arial" w:cs="Arial" w:eastAsia="Arial" w:hAnsi="Arial"/>
          <w:sz w:val="18"/>
          <w:szCs w:val="18"/>
          <w:color w:val="auto"/>
        </w:rPr>
        <w:t xml:space="preserve"> P. B</w:t>
      </w:r>
      <w:r>
        <w:rPr>
          <w:rFonts w:ascii="Arial" w:cs="Arial" w:eastAsia="Arial" w:hAnsi="Arial"/>
          <w:sz w:val="16"/>
          <w:szCs w:val="16"/>
          <w:color w:val="auto"/>
        </w:rPr>
        <w:t>RAMLAGE</w:t>
      </w:r>
      <w:r>
        <w:rPr>
          <w:rFonts w:ascii="Arial" w:cs="Arial" w:eastAsia="Arial" w:hAnsi="Arial"/>
          <w:sz w:val="18"/>
          <w:szCs w:val="18"/>
          <w:color w:val="auto"/>
        </w:rPr>
        <w:t>, J</w:t>
      </w:r>
      <w:r>
        <w:rPr>
          <w:rFonts w:ascii="Arial" w:cs="Arial" w:eastAsia="Arial" w:hAnsi="Arial"/>
          <w:sz w:val="16"/>
          <w:szCs w:val="16"/>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amp;"/>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0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2019-12-28T08:02:55Z</dcterms:created>
  <dcterms:modified xsi:type="dcterms:W3CDTF">2019-12-28T08:02:55Z</dcterms:modified>
</cp:coreProperties>
</file>