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1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ANNUAL REPORT PURSUANT TO SECTION 13 or 15(d) OF</w:t>
      </w:r>
    </w:p>
    <w:p>
      <w:pPr>
        <w:spacing w:after="0" w:line="1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1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27, 2019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88265</wp:posOffset>
            </wp:positionV>
            <wp:extent cx="247015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2120" w:type="dxa"/>
        <w:tblCellMar>
          <w:top w:w="0" w:type="dxa"/>
          <w:left w:w="0" w:type="dxa"/>
          <w:bottom w:w="0" w:type="dxa"/>
          <w:right w:w="0" w:type="dxa"/>
        </w:tblCellMar>
      </w:tblPr>
      <w:tr>
        <w:trPr>
          <w:trHeight w:val="335"/>
        </w:trPr>
        <w:tc>
          <w:tcPr>
            <w:tcW w:w="5300" w:type="dxa"/>
            <w:vAlign w:val="bottom"/>
          </w:tcPr>
          <w:p>
            <w:pPr>
              <w:jc w:val="center"/>
              <w:ind w:left="1815"/>
              <w:spacing w:after="0"/>
              <w:rPr>
                <w:sz w:val="20"/>
                <w:szCs w:val="20"/>
                <w:color w:val="auto"/>
              </w:rPr>
            </w:pPr>
            <w:r>
              <w:rPr>
                <w:rFonts w:ascii="Times New Roman" w:cs="Times New Roman" w:eastAsia="Times New Roman" w:hAnsi="Times New Roman"/>
                <w:sz w:val="25"/>
                <w:szCs w:val="25"/>
                <w:b w:val="1"/>
                <w:bCs w:val="1"/>
                <w:color w:val="auto"/>
                <w:w w:val="99"/>
              </w:rPr>
              <w:t>Aramark</w:t>
            </w:r>
          </w:p>
        </w:tc>
        <w:tc>
          <w:tcPr>
            <w:tcW w:w="1520" w:type="dxa"/>
            <w:vAlign w:val="bottom"/>
          </w:tcPr>
          <w:p>
            <w:pPr>
              <w:spacing w:after="0"/>
              <w:rPr>
                <w:sz w:val="24"/>
                <w:szCs w:val="24"/>
                <w:color w:val="auto"/>
              </w:rPr>
            </w:pPr>
          </w:p>
        </w:tc>
      </w:tr>
      <w:tr>
        <w:trPr>
          <w:trHeight w:val="211"/>
        </w:trPr>
        <w:tc>
          <w:tcPr>
            <w:tcW w:w="5300" w:type="dxa"/>
            <w:vAlign w:val="bottom"/>
          </w:tcPr>
          <w:p>
            <w:pPr>
              <w:jc w:val="center"/>
              <w:ind w:left="179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520" w:type="dxa"/>
            <w:vAlign w:val="bottom"/>
          </w:tcPr>
          <w:p>
            <w:pPr>
              <w:spacing w:after="0"/>
              <w:rPr>
                <w:sz w:val="18"/>
                <w:szCs w:val="18"/>
                <w:color w:val="auto"/>
              </w:rPr>
            </w:pPr>
          </w:p>
        </w:tc>
      </w:tr>
      <w:tr>
        <w:trPr>
          <w:trHeight w:val="253"/>
        </w:trPr>
        <w:tc>
          <w:tcPr>
            <w:tcW w:w="5300" w:type="dxa"/>
            <w:vAlign w:val="bottom"/>
          </w:tcPr>
          <w:p>
            <w:pPr>
              <w:jc w:val="center"/>
              <w:ind w:right="291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20" w:type="dxa"/>
            <w:vAlign w:val="bottom"/>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20-8236097</w:t>
            </w:r>
          </w:p>
        </w:tc>
      </w:tr>
      <w:tr>
        <w:trPr>
          <w:trHeight w:val="180"/>
        </w:trPr>
        <w:tc>
          <w:tcPr>
            <w:tcW w:w="5300" w:type="dxa"/>
            <w:vAlign w:val="bottom"/>
          </w:tcPr>
          <w:p>
            <w:pPr>
              <w:jc w:val="center"/>
              <w:ind w:right="2915"/>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520" w:type="dxa"/>
            <w:vAlign w:val="bottom"/>
          </w:tcPr>
          <w:p>
            <w:pPr>
              <w:jc w:val="center"/>
              <w:ind w:left="101"/>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300" w:type="dxa"/>
            <w:vAlign w:val="bottom"/>
          </w:tcPr>
          <w:p>
            <w:pPr>
              <w:jc w:val="center"/>
              <w:ind w:right="2915"/>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520" w:type="dxa"/>
            <w:vAlign w:val="bottom"/>
          </w:tcPr>
          <w:p>
            <w:pPr>
              <w:jc w:val="center"/>
              <w:ind w:left="101"/>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53"/>
        </w:trPr>
        <w:tc>
          <w:tcPr>
            <w:tcW w:w="5300" w:type="dxa"/>
            <w:vAlign w:val="bottom"/>
          </w:tcPr>
          <w:p>
            <w:pPr>
              <w:jc w:val="center"/>
              <w:ind w:right="2915"/>
              <w:spacing w:after="0"/>
              <w:rPr>
                <w:sz w:val="20"/>
                <w:szCs w:val="20"/>
                <w:color w:val="auto"/>
              </w:rPr>
            </w:pPr>
            <w:r>
              <w:rPr>
                <w:rFonts w:ascii="Times New Roman" w:cs="Times New Roman" w:eastAsia="Times New Roman" w:hAnsi="Times New Roman"/>
                <w:sz w:val="18"/>
                <w:szCs w:val="18"/>
                <w:b w:val="1"/>
                <w:bCs w:val="1"/>
                <w:color w:val="auto"/>
              </w:rPr>
              <w:t>2400 Market Street</w:t>
            </w:r>
          </w:p>
        </w:tc>
        <w:tc>
          <w:tcPr>
            <w:tcW w:w="1520" w:type="dxa"/>
            <w:vAlign w:val="bottom"/>
          </w:tcPr>
          <w:p>
            <w:pPr>
              <w:spacing w:after="0"/>
              <w:rPr>
                <w:sz w:val="22"/>
                <w:szCs w:val="22"/>
                <w:color w:val="auto"/>
              </w:rPr>
            </w:pPr>
          </w:p>
        </w:tc>
      </w:tr>
      <w:tr>
        <w:trPr>
          <w:trHeight w:val="270"/>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tc>
        <w:tc>
          <w:tcPr>
            <w:tcW w:w="1520" w:type="dxa"/>
            <w:vAlign w:val="bottom"/>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19103</w:t>
            </w:r>
          </w:p>
        </w:tc>
      </w:tr>
      <w:tr>
        <w:trPr>
          <w:trHeight w:val="220"/>
        </w:trPr>
        <w:tc>
          <w:tcPr>
            <w:tcW w:w="5300" w:type="dxa"/>
            <w:vAlign w:val="bottom"/>
          </w:tcPr>
          <w:p>
            <w:pPr>
              <w:jc w:val="center"/>
              <w:ind w:right="291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520" w:type="dxa"/>
            <w:vAlign w:val="bottom"/>
          </w:tcPr>
          <w:p>
            <w:pPr>
              <w:jc w:val="center"/>
              <w:ind w:left="81"/>
              <w:spacing w:after="0"/>
              <w:rPr>
                <w:sz w:val="20"/>
                <w:szCs w:val="20"/>
                <w:color w:val="auto"/>
              </w:rPr>
            </w:pPr>
            <w:r>
              <w:rPr>
                <w:rFonts w:ascii="Times New Roman" w:cs="Times New Roman" w:eastAsia="Times New Roman" w:hAnsi="Times New Roman"/>
                <w:sz w:val="14"/>
                <w:szCs w:val="14"/>
                <w:color w:val="auto"/>
              </w:rPr>
              <w:t>(Zip Code)</w:t>
            </w:r>
          </w:p>
        </w:tc>
      </w:tr>
      <w:tr>
        <w:trPr>
          <w:trHeight w:val="334"/>
        </w:trPr>
        <w:tc>
          <w:tcPr>
            <w:tcW w:w="5300" w:type="dxa"/>
            <w:vAlign w:val="bottom"/>
          </w:tcPr>
          <w:p>
            <w:pPr>
              <w:jc w:val="center"/>
              <w:ind w:left="1815"/>
              <w:spacing w:after="0"/>
              <w:rPr>
                <w:sz w:val="20"/>
                <w:szCs w:val="20"/>
                <w:color w:val="auto"/>
              </w:rPr>
            </w:pPr>
            <w:r>
              <w:rPr>
                <w:rFonts w:ascii="Times New Roman" w:cs="Times New Roman" w:eastAsia="Times New Roman" w:hAnsi="Times New Roman"/>
                <w:sz w:val="18"/>
                <w:szCs w:val="18"/>
                <w:b w:val="1"/>
                <w:bCs w:val="1"/>
                <w:color w:val="auto"/>
                <w:w w:val="99"/>
              </w:rPr>
              <w:t>(215) 238-3000</w:t>
            </w:r>
          </w:p>
        </w:tc>
        <w:tc>
          <w:tcPr>
            <w:tcW w:w="1520" w:type="dxa"/>
            <w:vAlign w:val="bottom"/>
          </w:tcPr>
          <w:p>
            <w:pPr>
              <w:spacing w:after="0"/>
              <w:rPr>
                <w:sz w:val="24"/>
                <w:szCs w:val="24"/>
                <w:color w:val="auto"/>
              </w:rPr>
            </w:pPr>
          </w:p>
        </w:tc>
      </w:tr>
      <w:tr>
        <w:trPr>
          <w:trHeight w:val="274"/>
        </w:trPr>
        <w:tc>
          <w:tcPr>
            <w:tcW w:w="5300" w:type="dxa"/>
            <w:vAlign w:val="bottom"/>
          </w:tcPr>
          <w:p>
            <w:pPr>
              <w:jc w:val="center"/>
              <w:ind w:left="181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520" w:type="dxa"/>
            <w:vAlign w:val="bottom"/>
          </w:tcPr>
          <w:p>
            <w:pPr>
              <w:spacing w:after="0"/>
              <w:rPr>
                <w:sz w:val="23"/>
                <w:szCs w:val="23"/>
                <w:color w:val="auto"/>
              </w:rPr>
            </w:pPr>
          </w:p>
        </w:tc>
      </w:tr>
    </w:tbl>
    <w:p>
      <w:pPr>
        <w:spacing w:after="0" w:line="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66" w:lineRule="exact"/>
        <w:rPr>
          <w:sz w:val="24"/>
          <w:szCs w:val="24"/>
          <w:color w:val="auto"/>
        </w:rPr>
      </w:pPr>
    </w:p>
    <w:tbl>
      <w:tblPr>
        <w:tblLayout w:type="fixed"/>
        <w:tblInd w:w="144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91"/>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ARMK</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1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6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41" w:lineRule="exact"/>
        <w:rPr>
          <w:sz w:val="24"/>
          <w:szCs w:val="24"/>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8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w:t>
      </w:r>
    </w:p>
    <w:p>
      <w:pPr>
        <w:spacing w:after="0" w:line="41" w:lineRule="exact"/>
        <w:rPr>
          <w:sz w:val="24"/>
          <w:szCs w:val="24"/>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85" w:lineRule="exact"/>
        <w:rPr>
          <w:sz w:val="24"/>
          <w:szCs w:val="24"/>
          <w:color w:val="auto"/>
        </w:rPr>
      </w:pPr>
    </w:p>
    <w:p>
      <w:pPr>
        <w:ind w:firstLine="432"/>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92" w:lineRule="exact"/>
        <w:rPr>
          <w:sz w:val="24"/>
          <w:szCs w:val="24"/>
          <w:color w:val="auto"/>
        </w:rPr>
      </w:pPr>
    </w:p>
    <w:p>
      <w:pPr>
        <w:jc w:val="both"/>
        <w:ind w:right="60" w:firstLine="432"/>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w:t>
      </w:r>
    </w:p>
    <w:p>
      <w:pPr>
        <w:spacing w:after="0" w:line="25" w:lineRule="exact"/>
        <w:rPr>
          <w:sz w:val="24"/>
          <w:szCs w:val="24"/>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92" w:lineRule="exact"/>
        <w:rPr>
          <w:sz w:val="24"/>
          <w:szCs w:val="24"/>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p>
      <w:pPr>
        <w:ind w:left="100"/>
        <w:spacing w:after="0" w:line="207" w:lineRule="exact"/>
        <w:tabs>
          <w:tab w:leader="none" w:pos="1960" w:val="left"/>
          <w:tab w:leader="none" w:pos="3780" w:val="left"/>
          <w:tab w:leader="none" w:pos="5920" w:val="left"/>
          <w:tab w:leader="none" w:pos="8500" w:val="left"/>
          <w:tab w:leader="none" w:pos="110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Non-accelerated filer</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Smaller reporting company</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9" w:lineRule="exact"/>
        <w:rPr>
          <w:sz w:val="24"/>
          <w:szCs w:val="24"/>
          <w:color w:val="auto"/>
        </w:rPr>
      </w:pPr>
    </w:p>
    <w:p>
      <w:pPr>
        <w:ind w:right="240"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20"/>
        <w:spacing w:after="0" w:line="207" w:lineRule="exact"/>
        <w:tabs>
          <w:tab w:leader="none" w:pos="8740" w:val="left"/>
          <w:tab w:leader="none" w:pos="9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6" w:lineRule="exact"/>
        <w:rPr>
          <w:sz w:val="24"/>
          <w:szCs w:val="24"/>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As of March 29, 2019, the aggregate market value of the common stock of the registrant held by non-affiliates of the registrant was approximately $7,400.3 million.</w:t>
      </w:r>
    </w:p>
    <w:p>
      <w:pPr>
        <w:spacing w:after="0" w:line="2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November 22, 2019, the number of shares of the registrant's common stock outstanding is 249,431,095.</w:t>
      </w:r>
    </w:p>
    <w:p>
      <w:pPr>
        <w:spacing w:after="0" w:line="11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ectPr>
          <w:pgSz w:w="11900" w:h="16838" w:orient="portrait"/>
          <w:cols w:equalWidth="0" w:num="1">
            <w:col w:w="11380"/>
          </w:cols>
          <w:pgMar w:left="240" w:top="597" w:right="27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Portions of the definitive proxy statement to be filed with the Securities and Exchange Commission pursuant to Regulation 14A relating to the registrant's 2020 Annual Meeting of Stockholders, to be held on January 29, 2020, will be incorporated by reference in this Form 10-K in response to portions of Part III. The definitive proxy statement will be filed with the SEC not later than 120 days after the registrant's fiscal year ended September 27, 2019.</w:t>
      </w:r>
    </w:p>
    <w:p>
      <w:pPr>
        <w:sectPr>
          <w:pgSz w:w="11900" w:h="16838" w:orient="portrait"/>
          <w:cols w:equalWidth="0" w:num="1">
            <w:col w:w="11380"/>
          </w:cols>
          <w:pgMar w:left="240" w:top="36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7"/>
        </w:trPr>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40" w:type="dxa"/>
            <w:vAlign w:val="bottom"/>
            <w:gridSpan w:val="11"/>
          </w:tcPr>
          <w:p>
            <w:pPr>
              <w:ind w:left="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PART I</w:t>
              </w:r>
            </w:hyperlink>
          </w:p>
        </w:tc>
        <w:tc>
          <w:tcPr>
            <w:tcW w:w="144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17"/>
                <w:szCs w:val="17"/>
                <w:color w:val="auto"/>
              </w:rPr>
            </w:pPr>
          </w:p>
        </w:tc>
      </w:tr>
      <w:tr>
        <w:trPr>
          <w:trHeight w:val="466"/>
        </w:trPr>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rFonts w:ascii="Times New Roman" w:cs="Times New Roman" w:eastAsia="Times New Roman" w:hAnsi="Times New Roman"/>
                <w:sz w:val="18"/>
                <w:szCs w:val="18"/>
                <w:color w:val="0000EE"/>
                <w:w w:val="90"/>
              </w:rPr>
            </w:pPr>
            <w:hyperlink w:anchor="page5">
              <w:r>
                <w:rPr>
                  <w:rFonts w:ascii="Times New Roman" w:cs="Times New Roman" w:eastAsia="Times New Roman" w:hAnsi="Times New Roman"/>
                  <w:sz w:val="18"/>
                  <w:szCs w:val="18"/>
                  <w:color w:val="0000EE"/>
                  <w:w w:val="90"/>
                </w:rPr>
                <w:t>Item 1.</w:t>
              </w:r>
            </w:hyperlink>
          </w:p>
        </w:tc>
        <w:tc>
          <w:tcPr>
            <w:tcW w:w="50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738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1</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gridSpan w:val="3"/>
          </w:tcPr>
          <w:p>
            <w:pPr>
              <w:spacing w:after="0"/>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Item 1A.</w:t>
              </w:r>
            </w:hyperlink>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380" w:type="dxa"/>
            <w:vAlign w:val="bottom"/>
            <w:gridSpan w:val="19"/>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Risk Factors</w:t>
              </w:r>
            </w:hyperlink>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9</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gridSpan w:val="2"/>
          </w:tcPr>
          <w:p>
            <w:pPr>
              <w:spacing w:after="0"/>
              <w:rPr>
                <w:rFonts w:ascii="Times New Roman" w:cs="Times New Roman" w:eastAsia="Times New Roman" w:hAnsi="Times New Roman"/>
                <w:sz w:val="18"/>
                <w:szCs w:val="18"/>
                <w:color w:val="0000EE"/>
                <w:w w:val="85"/>
              </w:rPr>
            </w:pPr>
            <w:hyperlink w:anchor="page24">
              <w:r>
                <w:rPr>
                  <w:rFonts w:ascii="Times New Roman" w:cs="Times New Roman" w:eastAsia="Times New Roman" w:hAnsi="Times New Roman"/>
                  <w:sz w:val="18"/>
                  <w:szCs w:val="18"/>
                  <w:color w:val="0000EE"/>
                  <w:w w:val="85"/>
                </w:rPr>
                <w:t>Item 1B.</w:t>
              </w:r>
            </w:hyperlink>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380" w:type="dxa"/>
            <w:vAlign w:val="bottom"/>
            <w:gridSpan w:val="19"/>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Unresolved Staff Comments</w:t>
              </w:r>
            </w:hyperlink>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20</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rFonts w:ascii="Times New Roman" w:cs="Times New Roman" w:eastAsia="Times New Roman" w:hAnsi="Times New Roman"/>
                <w:sz w:val="18"/>
                <w:szCs w:val="18"/>
                <w:color w:val="0000EE"/>
                <w:w w:val="90"/>
              </w:rPr>
            </w:pPr>
            <w:hyperlink w:anchor="page24">
              <w:r>
                <w:rPr>
                  <w:rFonts w:ascii="Times New Roman" w:cs="Times New Roman" w:eastAsia="Times New Roman" w:hAnsi="Times New Roman"/>
                  <w:sz w:val="18"/>
                  <w:szCs w:val="18"/>
                  <w:color w:val="0000EE"/>
                  <w:w w:val="90"/>
                </w:rPr>
                <w:t>Item 2.</w:t>
              </w:r>
            </w:hyperlink>
          </w:p>
        </w:tc>
        <w:tc>
          <w:tcPr>
            <w:tcW w:w="8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gridSpan w:val="8"/>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Properties</w:t>
              </w:r>
            </w:hyperlink>
          </w:p>
        </w:tc>
        <w:tc>
          <w:tcPr>
            <w:tcW w:w="5340" w:type="dxa"/>
            <w:vAlign w:val="bottom"/>
            <w:gridSpan w:val="11"/>
          </w:tcPr>
          <w:p>
            <w:pPr>
              <w:spacing w:after="0"/>
              <w:rPr>
                <w:sz w:val="21"/>
                <w:szCs w:val="21"/>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20</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rFonts w:ascii="Times New Roman" w:cs="Times New Roman" w:eastAsia="Times New Roman" w:hAnsi="Times New Roman"/>
                <w:sz w:val="18"/>
                <w:szCs w:val="18"/>
                <w:color w:val="0000EE"/>
                <w:w w:val="90"/>
              </w:rPr>
            </w:pPr>
            <w:hyperlink w:anchor="page25">
              <w:r>
                <w:rPr>
                  <w:rFonts w:ascii="Times New Roman" w:cs="Times New Roman" w:eastAsia="Times New Roman" w:hAnsi="Times New Roman"/>
                  <w:sz w:val="18"/>
                  <w:szCs w:val="18"/>
                  <w:color w:val="0000EE"/>
                  <w:w w:val="90"/>
                </w:rPr>
                <w:t>Item 3.</w:t>
              </w:r>
            </w:hyperlink>
          </w:p>
        </w:tc>
        <w:tc>
          <w:tcPr>
            <w:tcW w:w="50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4"/>
          </w:tcPr>
          <w:p>
            <w:pPr>
              <w:spacing w:after="0"/>
              <w:rPr>
                <w:rFonts w:ascii="Times New Roman" w:cs="Times New Roman" w:eastAsia="Times New Roman" w:hAnsi="Times New Roman"/>
                <w:sz w:val="18"/>
                <w:szCs w:val="18"/>
                <w:color w:val="0000EE"/>
                <w:w w:val="95"/>
              </w:rPr>
            </w:pPr>
            <w:hyperlink w:anchor="page25">
              <w:r>
                <w:rPr>
                  <w:rFonts w:ascii="Times New Roman" w:cs="Times New Roman" w:eastAsia="Times New Roman" w:hAnsi="Times New Roman"/>
                  <w:sz w:val="18"/>
                  <w:szCs w:val="18"/>
                  <w:color w:val="0000EE"/>
                  <w:w w:val="95"/>
                </w:rPr>
                <w:t>Legal Proceedings</w:t>
              </w:r>
            </w:hyperlink>
          </w:p>
        </w:tc>
        <w:tc>
          <w:tcPr>
            <w:tcW w:w="6060" w:type="dxa"/>
            <w:vAlign w:val="bottom"/>
            <w:gridSpan w:val="15"/>
          </w:tcPr>
          <w:p>
            <w:pPr>
              <w:spacing w:after="0"/>
              <w:rPr>
                <w:sz w:val="21"/>
                <w:szCs w:val="21"/>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21</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rFonts w:ascii="Times New Roman" w:cs="Times New Roman" w:eastAsia="Times New Roman" w:hAnsi="Times New Roman"/>
                <w:sz w:val="18"/>
                <w:szCs w:val="18"/>
                <w:color w:val="0000EE"/>
                <w:w w:val="90"/>
              </w:rPr>
            </w:pPr>
            <w:hyperlink w:anchor="page25">
              <w:r>
                <w:rPr>
                  <w:rFonts w:ascii="Times New Roman" w:cs="Times New Roman" w:eastAsia="Times New Roman" w:hAnsi="Times New Roman"/>
                  <w:sz w:val="18"/>
                  <w:szCs w:val="18"/>
                  <w:color w:val="0000EE"/>
                  <w:w w:val="90"/>
                </w:rPr>
                <w:t>Item 4.</w:t>
              </w:r>
            </w:hyperlink>
          </w:p>
        </w:tc>
        <w:tc>
          <w:tcPr>
            <w:tcW w:w="50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7380" w:type="dxa"/>
            <w:vAlign w:val="bottom"/>
            <w:gridSpan w:val="19"/>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Mine Safety Disclosures</w:t>
              </w:r>
            </w:hyperlink>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21</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600" w:type="dxa"/>
            <w:vAlign w:val="bottom"/>
          </w:tcPr>
          <w:p>
            <w:pPr>
              <w:spacing w:after="0"/>
              <w:rPr>
                <w:rFonts w:ascii="Times New Roman" w:cs="Times New Roman" w:eastAsia="Times New Roman" w:hAnsi="Times New Roman"/>
                <w:sz w:val="18"/>
                <w:szCs w:val="18"/>
                <w:color w:val="0000EE"/>
                <w:w w:val="89"/>
              </w:rPr>
            </w:pPr>
            <w:hyperlink w:anchor="page27">
              <w:r>
                <w:rPr>
                  <w:rFonts w:ascii="Times New Roman" w:cs="Times New Roman" w:eastAsia="Times New Roman" w:hAnsi="Times New Roman"/>
                  <w:sz w:val="18"/>
                  <w:szCs w:val="18"/>
                  <w:color w:val="0000EE"/>
                  <w:w w:val="89"/>
                </w:rPr>
                <w:t>PART II</w:t>
              </w:r>
            </w:hyperlink>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23</w:t>
              </w:r>
            </w:hyperlink>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4"/>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5.</w:t>
              </w:r>
            </w:hyperlink>
          </w:p>
        </w:tc>
        <w:tc>
          <w:tcPr>
            <w:tcW w:w="360" w:type="dxa"/>
            <w:vAlign w:val="bottom"/>
          </w:tcPr>
          <w:p>
            <w:pPr>
              <w:spacing w:after="0"/>
              <w:rPr>
                <w:sz w:val="21"/>
                <w:szCs w:val="21"/>
                <w:color w:val="auto"/>
              </w:rPr>
            </w:pPr>
          </w:p>
        </w:tc>
        <w:tc>
          <w:tcPr>
            <w:tcW w:w="7380" w:type="dxa"/>
            <w:vAlign w:val="bottom"/>
            <w:gridSpan w:val="19"/>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Market for Registrant's Common Equity, Related Stockholder Matters and Issuer Purchases of Equity</w:t>
              </w:r>
            </w:hyperlink>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23</w:t>
              </w:r>
            </w:hyperlink>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Securities</w:t>
              </w:r>
            </w:hyperlink>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rFonts w:ascii="Times New Roman" w:cs="Times New Roman" w:eastAsia="Times New Roman" w:hAnsi="Times New Roman"/>
                <w:sz w:val="18"/>
                <w:szCs w:val="18"/>
                <w:color w:val="0000EE"/>
                <w:w w:val="90"/>
              </w:rPr>
            </w:pPr>
            <w:hyperlink w:anchor="page28">
              <w:r>
                <w:rPr>
                  <w:rFonts w:ascii="Times New Roman" w:cs="Times New Roman" w:eastAsia="Times New Roman" w:hAnsi="Times New Roman"/>
                  <w:sz w:val="18"/>
                  <w:szCs w:val="18"/>
                  <w:color w:val="0000EE"/>
                  <w:w w:val="90"/>
                </w:rPr>
                <w:t>Item 6.</w:t>
              </w:r>
            </w:hyperlink>
          </w:p>
        </w:tc>
        <w:tc>
          <w:tcPr>
            <w:tcW w:w="50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7380" w:type="dxa"/>
            <w:vAlign w:val="bottom"/>
            <w:gridSpan w:val="19"/>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Selected Financial Data</w:t>
              </w:r>
            </w:hyperlink>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24</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rFonts w:ascii="Times New Roman" w:cs="Times New Roman" w:eastAsia="Times New Roman" w:hAnsi="Times New Roman"/>
                <w:sz w:val="18"/>
                <w:szCs w:val="18"/>
                <w:color w:val="0000EE"/>
                <w:w w:val="90"/>
              </w:rPr>
            </w:pPr>
            <w:hyperlink w:anchor="page29">
              <w:r>
                <w:rPr>
                  <w:rFonts w:ascii="Times New Roman" w:cs="Times New Roman" w:eastAsia="Times New Roman" w:hAnsi="Times New Roman"/>
                  <w:sz w:val="18"/>
                  <w:szCs w:val="18"/>
                  <w:color w:val="0000EE"/>
                  <w:w w:val="90"/>
                </w:rPr>
                <w:t>Item 7.</w:t>
              </w:r>
            </w:hyperlink>
          </w:p>
        </w:tc>
        <w:tc>
          <w:tcPr>
            <w:tcW w:w="50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7380" w:type="dxa"/>
            <w:vAlign w:val="bottom"/>
            <w:gridSpan w:val="19"/>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25</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gridSpan w:val="3"/>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Item 7A.</w:t>
              </w:r>
            </w:hyperlink>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60" w:type="dxa"/>
            <w:vAlign w:val="bottom"/>
            <w:gridSpan w:val="13"/>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Quantitative and Qualitative Disclosures About Market Risk</w:t>
              </w:r>
            </w:hyperlink>
          </w:p>
        </w:tc>
        <w:tc>
          <w:tcPr>
            <w:tcW w:w="3020" w:type="dxa"/>
            <w:vAlign w:val="bottom"/>
            <w:gridSpan w:val="6"/>
          </w:tcPr>
          <w:p>
            <w:pPr>
              <w:spacing w:after="0"/>
              <w:rPr>
                <w:sz w:val="21"/>
                <w:szCs w:val="21"/>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40</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rFonts w:ascii="Times New Roman" w:cs="Times New Roman" w:eastAsia="Times New Roman" w:hAnsi="Times New Roman"/>
                <w:sz w:val="18"/>
                <w:szCs w:val="18"/>
                <w:color w:val="0000EE"/>
                <w:w w:val="90"/>
              </w:rPr>
            </w:pPr>
            <w:hyperlink w:anchor="page44">
              <w:r>
                <w:rPr>
                  <w:rFonts w:ascii="Times New Roman" w:cs="Times New Roman" w:eastAsia="Times New Roman" w:hAnsi="Times New Roman"/>
                  <w:sz w:val="18"/>
                  <w:szCs w:val="18"/>
                  <w:color w:val="0000EE"/>
                  <w:w w:val="90"/>
                </w:rPr>
                <w:t>Item 8.</w:t>
              </w:r>
            </w:hyperlink>
          </w:p>
        </w:tc>
        <w:tc>
          <w:tcPr>
            <w:tcW w:w="1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60" w:type="dxa"/>
            <w:vAlign w:val="bottom"/>
            <w:gridSpan w:val="13"/>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Financial Statements and Supplementary Data</w:t>
              </w:r>
            </w:hyperlink>
          </w:p>
        </w:tc>
        <w:tc>
          <w:tcPr>
            <w:tcW w:w="3020" w:type="dxa"/>
            <w:vAlign w:val="bottom"/>
            <w:gridSpan w:val="6"/>
          </w:tcPr>
          <w:p>
            <w:pPr>
              <w:spacing w:after="0"/>
              <w:rPr>
                <w:sz w:val="21"/>
                <w:szCs w:val="21"/>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40</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rFonts w:ascii="Times New Roman" w:cs="Times New Roman" w:eastAsia="Times New Roman" w:hAnsi="Times New Roman"/>
                <w:sz w:val="18"/>
                <w:szCs w:val="18"/>
                <w:color w:val="0000EE"/>
                <w:w w:val="90"/>
              </w:rPr>
            </w:pPr>
            <w:hyperlink w:anchor="page44">
              <w:r>
                <w:rPr>
                  <w:rFonts w:ascii="Times New Roman" w:cs="Times New Roman" w:eastAsia="Times New Roman" w:hAnsi="Times New Roman"/>
                  <w:sz w:val="18"/>
                  <w:szCs w:val="18"/>
                  <w:color w:val="0000EE"/>
                  <w:w w:val="90"/>
                </w:rPr>
                <w:t>Item 9.</w:t>
              </w:r>
            </w:hyperlink>
          </w:p>
        </w:tc>
        <w:tc>
          <w:tcPr>
            <w:tcW w:w="50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7380" w:type="dxa"/>
            <w:vAlign w:val="bottom"/>
            <w:gridSpan w:val="19"/>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40</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gridSpan w:val="3"/>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Item 9A.</w:t>
              </w:r>
            </w:hyperlink>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380" w:type="dxa"/>
            <w:vAlign w:val="bottom"/>
            <w:gridSpan w:val="19"/>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Controls and Procedures</w:t>
              </w:r>
            </w:hyperlink>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41</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gridSpan w:val="2"/>
          </w:tcPr>
          <w:p>
            <w:pPr>
              <w:spacing w:after="0"/>
              <w:rPr>
                <w:rFonts w:ascii="Times New Roman" w:cs="Times New Roman" w:eastAsia="Times New Roman" w:hAnsi="Times New Roman"/>
                <w:sz w:val="18"/>
                <w:szCs w:val="18"/>
                <w:color w:val="0000EE"/>
                <w:w w:val="85"/>
              </w:rPr>
            </w:pPr>
            <w:hyperlink w:anchor="page47">
              <w:r>
                <w:rPr>
                  <w:rFonts w:ascii="Times New Roman" w:cs="Times New Roman" w:eastAsia="Times New Roman" w:hAnsi="Times New Roman"/>
                  <w:sz w:val="18"/>
                  <w:szCs w:val="18"/>
                  <w:color w:val="0000EE"/>
                  <w:w w:val="85"/>
                </w:rPr>
                <w:t>Item 9B.</w:t>
              </w:r>
            </w:hyperlink>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4"/>
          </w:tcPr>
          <w:p>
            <w:pPr>
              <w:spacing w:after="0"/>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Other Information</w:t>
              </w:r>
            </w:hyperlink>
          </w:p>
        </w:tc>
        <w:tc>
          <w:tcPr>
            <w:tcW w:w="380" w:type="dxa"/>
            <w:vAlign w:val="bottom"/>
            <w:gridSpan w:val="2"/>
          </w:tcPr>
          <w:p>
            <w:pPr>
              <w:spacing w:after="0"/>
              <w:rPr>
                <w:sz w:val="21"/>
                <w:szCs w:val="21"/>
                <w:color w:val="auto"/>
              </w:rPr>
            </w:pPr>
          </w:p>
        </w:tc>
        <w:tc>
          <w:tcPr>
            <w:tcW w:w="5680" w:type="dxa"/>
            <w:vAlign w:val="bottom"/>
            <w:gridSpan w:val="13"/>
          </w:tcPr>
          <w:p>
            <w:pPr>
              <w:spacing w:after="0"/>
              <w:rPr>
                <w:sz w:val="21"/>
                <w:szCs w:val="21"/>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41</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600" w:type="dxa"/>
            <w:vAlign w:val="bottom"/>
          </w:tcPr>
          <w:p>
            <w:pPr>
              <w:spacing w:after="0"/>
              <w:rPr>
                <w:rFonts w:ascii="Times New Roman" w:cs="Times New Roman" w:eastAsia="Times New Roman" w:hAnsi="Times New Roman"/>
                <w:sz w:val="18"/>
                <w:szCs w:val="18"/>
                <w:color w:val="0000EE"/>
                <w:w w:val="81"/>
              </w:rPr>
            </w:pPr>
            <w:hyperlink w:anchor="page48">
              <w:r>
                <w:rPr>
                  <w:rFonts w:ascii="Times New Roman" w:cs="Times New Roman" w:eastAsia="Times New Roman" w:hAnsi="Times New Roman"/>
                  <w:sz w:val="18"/>
                  <w:szCs w:val="18"/>
                  <w:color w:val="0000EE"/>
                  <w:w w:val="81"/>
                </w:rPr>
                <w:t>PART III</w:t>
              </w:r>
            </w:hyperlink>
          </w:p>
        </w:tc>
        <w:tc>
          <w:tcPr>
            <w:tcW w:w="44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4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44</w:t>
              </w:r>
            </w:hyperlink>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48">
              <w:r>
                <w:rPr>
                  <w:rFonts w:ascii="Times New Roman" w:cs="Times New Roman" w:eastAsia="Times New Roman" w:hAnsi="Times New Roman"/>
                  <w:sz w:val="18"/>
                  <w:szCs w:val="18"/>
                  <w:color w:val="0000EE"/>
                  <w:w w:val="89"/>
                </w:rPr>
                <w:t>Item 10.</w:t>
              </w:r>
            </w:hyperlink>
          </w:p>
        </w:tc>
        <w:tc>
          <w:tcPr>
            <w:tcW w:w="42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4100" w:type="dxa"/>
            <w:vAlign w:val="bottom"/>
            <w:gridSpan w:val="12"/>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Directors, Executive Officers and Corporate Governance</w:t>
              </w:r>
            </w:hyperlink>
          </w:p>
        </w:tc>
        <w:tc>
          <w:tcPr>
            <w:tcW w:w="3280" w:type="dxa"/>
            <w:vAlign w:val="bottom"/>
            <w:gridSpan w:val="7"/>
          </w:tcPr>
          <w:p>
            <w:pPr>
              <w:spacing w:after="0"/>
              <w:rPr>
                <w:sz w:val="21"/>
                <w:szCs w:val="21"/>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44</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48">
              <w:r>
                <w:rPr>
                  <w:rFonts w:ascii="Times New Roman" w:cs="Times New Roman" w:eastAsia="Times New Roman" w:hAnsi="Times New Roman"/>
                  <w:sz w:val="18"/>
                  <w:szCs w:val="18"/>
                  <w:color w:val="0000EE"/>
                  <w:w w:val="89"/>
                </w:rPr>
                <w:t>Item 11.</w:t>
              </w:r>
            </w:hyperlink>
          </w:p>
        </w:tc>
        <w:tc>
          <w:tcPr>
            <w:tcW w:w="42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4100" w:type="dxa"/>
            <w:vAlign w:val="bottom"/>
            <w:gridSpan w:val="12"/>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Executive Compensation</w:t>
              </w:r>
            </w:hyperlink>
          </w:p>
        </w:tc>
        <w:tc>
          <w:tcPr>
            <w:tcW w:w="3280" w:type="dxa"/>
            <w:vAlign w:val="bottom"/>
            <w:gridSpan w:val="7"/>
          </w:tcPr>
          <w:p>
            <w:pPr>
              <w:spacing w:after="0"/>
              <w:rPr>
                <w:sz w:val="21"/>
                <w:szCs w:val="21"/>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44</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48">
              <w:r>
                <w:rPr>
                  <w:rFonts w:ascii="Times New Roman" w:cs="Times New Roman" w:eastAsia="Times New Roman" w:hAnsi="Times New Roman"/>
                  <w:sz w:val="18"/>
                  <w:szCs w:val="18"/>
                  <w:color w:val="0000EE"/>
                  <w:w w:val="89"/>
                </w:rPr>
                <w:t>Item 12.</w:t>
              </w:r>
            </w:hyperlink>
          </w:p>
        </w:tc>
        <w:tc>
          <w:tcPr>
            <w:tcW w:w="42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7300" w:type="dxa"/>
            <w:vAlign w:val="bottom"/>
            <w:gridSpan w:val="17"/>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80" w:type="dxa"/>
            <w:vAlign w:val="bottom"/>
            <w:gridSpan w:val="2"/>
          </w:tcPr>
          <w:p>
            <w:pPr>
              <w:spacing w:after="0"/>
              <w:rPr>
                <w:sz w:val="21"/>
                <w:szCs w:val="21"/>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44</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48">
              <w:r>
                <w:rPr>
                  <w:rFonts w:ascii="Times New Roman" w:cs="Times New Roman" w:eastAsia="Times New Roman" w:hAnsi="Times New Roman"/>
                  <w:sz w:val="18"/>
                  <w:szCs w:val="18"/>
                  <w:color w:val="0000EE"/>
                  <w:w w:val="89"/>
                </w:rPr>
                <w:t>Item 13.</w:t>
              </w:r>
            </w:hyperlink>
          </w:p>
        </w:tc>
        <w:tc>
          <w:tcPr>
            <w:tcW w:w="42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5460" w:type="dxa"/>
            <w:vAlign w:val="bottom"/>
            <w:gridSpan w:val="14"/>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80" w:type="dxa"/>
            <w:vAlign w:val="bottom"/>
            <w:gridSpan w:val="2"/>
          </w:tcPr>
          <w:p>
            <w:pPr>
              <w:spacing w:after="0"/>
              <w:rPr>
                <w:sz w:val="21"/>
                <w:szCs w:val="21"/>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44</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48">
              <w:r>
                <w:rPr>
                  <w:rFonts w:ascii="Times New Roman" w:cs="Times New Roman" w:eastAsia="Times New Roman" w:hAnsi="Times New Roman"/>
                  <w:sz w:val="18"/>
                  <w:szCs w:val="18"/>
                  <w:color w:val="0000EE"/>
                  <w:w w:val="89"/>
                </w:rPr>
                <w:t>Item 14.</w:t>
              </w:r>
            </w:hyperlink>
          </w:p>
        </w:tc>
        <w:tc>
          <w:tcPr>
            <w:tcW w:w="42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2860" w:type="dxa"/>
            <w:vAlign w:val="bottom"/>
            <w:gridSpan w:val="9"/>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Principal Accountant Fees and Services</w:t>
              </w:r>
            </w:hyperlink>
          </w:p>
        </w:tc>
        <w:tc>
          <w:tcPr>
            <w:tcW w:w="2600" w:type="dxa"/>
            <w:vAlign w:val="bottom"/>
            <w:gridSpan w:val="5"/>
          </w:tcPr>
          <w:p>
            <w:pPr>
              <w:spacing w:after="0"/>
              <w:rPr>
                <w:sz w:val="21"/>
                <w:szCs w:val="21"/>
                <w:color w:val="auto"/>
              </w:rPr>
            </w:pPr>
          </w:p>
        </w:tc>
        <w:tc>
          <w:tcPr>
            <w:tcW w:w="1920" w:type="dxa"/>
            <w:vAlign w:val="bottom"/>
            <w:gridSpan w:val="5"/>
          </w:tcPr>
          <w:p>
            <w:pPr>
              <w:spacing w:after="0"/>
              <w:rPr>
                <w:sz w:val="21"/>
                <w:szCs w:val="21"/>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44</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40" w:type="dxa"/>
            <w:vAlign w:val="bottom"/>
            <w:gridSpan w:val="2"/>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PART IV</w:t>
              </w:r>
            </w:hyperlink>
          </w:p>
        </w:tc>
        <w:tc>
          <w:tcPr>
            <w:tcW w:w="580" w:type="dxa"/>
            <w:vAlign w:val="bottom"/>
            <w:gridSpan w:val="2"/>
          </w:tcPr>
          <w:p>
            <w:pPr>
              <w:spacing w:after="0"/>
              <w:rPr>
                <w:sz w:val="24"/>
                <w:szCs w:val="24"/>
                <w:color w:val="auto"/>
              </w:rPr>
            </w:pPr>
          </w:p>
        </w:tc>
        <w:tc>
          <w:tcPr>
            <w:tcW w:w="4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45</w:t>
              </w:r>
            </w:hyperlink>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49">
              <w:r>
                <w:rPr>
                  <w:rFonts w:ascii="Times New Roman" w:cs="Times New Roman" w:eastAsia="Times New Roman" w:hAnsi="Times New Roman"/>
                  <w:sz w:val="18"/>
                  <w:szCs w:val="18"/>
                  <w:color w:val="0000EE"/>
                  <w:w w:val="89"/>
                </w:rPr>
                <w:t>Item 15.</w:t>
              </w:r>
            </w:hyperlink>
          </w:p>
        </w:tc>
        <w:tc>
          <w:tcPr>
            <w:tcW w:w="42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3160" w:type="dxa"/>
            <w:vAlign w:val="bottom"/>
            <w:gridSpan w:val="10"/>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Exhibits and Financial Statement Schedules</w:t>
              </w:r>
            </w:hyperlink>
          </w:p>
        </w:tc>
        <w:tc>
          <w:tcPr>
            <w:tcW w:w="4220" w:type="dxa"/>
            <w:vAlign w:val="bottom"/>
            <w:gridSpan w:val="9"/>
          </w:tcPr>
          <w:p>
            <w:pPr>
              <w:spacing w:after="0"/>
              <w:rPr>
                <w:sz w:val="21"/>
                <w:szCs w:val="21"/>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45</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49">
              <w:r>
                <w:rPr>
                  <w:rFonts w:ascii="Times New Roman" w:cs="Times New Roman" w:eastAsia="Times New Roman" w:hAnsi="Times New Roman"/>
                  <w:sz w:val="18"/>
                  <w:szCs w:val="18"/>
                  <w:color w:val="0000EE"/>
                  <w:w w:val="89"/>
                </w:rPr>
                <w:t>Item 16.</w:t>
              </w:r>
            </w:hyperlink>
          </w:p>
        </w:tc>
        <w:tc>
          <w:tcPr>
            <w:tcW w:w="42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3160" w:type="dxa"/>
            <w:vAlign w:val="bottom"/>
            <w:gridSpan w:val="10"/>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Form 10-K Summary</w:t>
              </w:r>
            </w:hyperlink>
          </w:p>
        </w:tc>
        <w:tc>
          <w:tcPr>
            <w:tcW w:w="4220" w:type="dxa"/>
            <w:vAlign w:val="bottom"/>
            <w:gridSpan w:val="9"/>
          </w:tcPr>
          <w:p>
            <w:pPr>
              <w:spacing w:after="0"/>
              <w:rPr>
                <w:sz w:val="21"/>
                <w:szCs w:val="21"/>
                <w:color w:val="auto"/>
              </w:rPr>
            </w:pPr>
          </w:p>
        </w:tc>
        <w:tc>
          <w:tcPr>
            <w:tcW w:w="1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45</w:t>
              </w:r>
            </w:hyperlink>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40"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7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This report includes "forward-looking statements" within the meaning of the Private Securities Litigation Reform Act of 1995 that reflect our current views as to future events and financial performance with respect to, without limitation, conditions in our industry, our operations, our economic performance and financial condition, including, in particular, with respect to, without limitation, anticipated effects of our adoption of new accounting standards, the expected impact of strategic portfolio actions, the benefits and costs of our acquisitions of each of Avendra, LLC ("Avendra") and AmeriPride Services, Inc. ("AmeriPride"), as well as statements regarding these companies' services and products and statements relating to our business and growth strategy. These statements can be identified by the fact that they do not relate strictly to historical or current facts. They use words such as "outlook," "aim," "anticipate," "are or remain or continue to be confident," "have confidence," "estimate," "expect," "will be," "will continue," "will likely result," "project," "intend," "plan," "believe," "see," "look to" and other words and terms of similar meaning or the negative versions of such words.</w:t>
      </w:r>
    </w:p>
    <w:p>
      <w:pPr>
        <w:spacing w:after="0" w:line="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Forward-looking statements speak only as of the date made. All statements we make relating to our estimated and projected earnings, costs, expenditures, cash flows, growth rates, financial results and our estimated benefits and costs of our acquisitions are forward-looking statements. In addition, we, through our senior management, from time to time make forward-looking public statements concerning our expected future operations and performance and other developments. These forward-looking statements are subject to risks and uncertainties that may change at any time, and, therefore, our actual results may differ materially from those that we expected.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subsequent written and oral forward-looking statements attributable to us, or persons acting on our behalf, are expressly qualified in their entirety by the cautionary statements. Some of the factors that we believe could affect our results or the costs and benefits of the acquisitions include without limitation: unfavorable economic conditions; natural disasters, global calamities, sports strikes and other adverse incidents;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the inability to achieve cost savings through our cost reduction efforts; our expansion strategy; our ability to successfully integrate the businesses of Avendra and AmeriPride and costs and timing related thereto; the risk of unanticipated restructuring costs or assumption of undisclosed liabilities; the risk that we are unable to achieve the anticipated benefits (including tax benefits) and synergies of the acquisition of AmeriPride and Avendra including whether the transactions will be accretive and within the expected timeframes; the availability of sufficient cash to repay certain indebtedness and our decision to utilize the cash for that purpose; the disruption of the transactions to each of Avendra and AmeriPride and their respective managements; the effect of the transactions on each of Avendra's and AmeriPride's ability to retain and hire key personnel and maintain relationships with customers, suppliers and other third parties the failure to maintain food safety throughout our supply chain, food-borne illness concerns and claims of illness or injury;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currency risks and other risks associated with international operations, including Foreign Corrupt Practices Act, U.K. Bribery Act and other anti-corruption law compliance; continued or further unionization of our workforce; liability resulting from our participation in multiemployer defined benefit pension plans; risks associated with suppliers from whom our products are sourced; disruptions to our relationship with, or to the business of, our primary distributor; the inability to hire and retain sufficient qualified personnel or increases in labor costs; healthcare reform legislation; the contract intensive nature of our business, which may lead to client disputes; seasonality; disruptions in the availability of our computer systems or privacy breaches; failure to maintain effective internal controls; our leverage; the inability to generate sufficient cash to service all of our indebtedness; debt agreements that limit our flexibility in operating our business; our ability to attract new or maintain existing customer and supplier relationships at reasonable cost, our ability to retain key personnel and other factors set forth under the headings Item 1A "Risk Factors," Item 3 "Legal Proceedings" and Item 7 "Management's Discussion and Analysis of Financial Condition and Results of Operations" and other sections of this Annual Report on Form 10-K, as such factors may be updated from time to time in our other periodic filings with the SEC, which are accessible on the SEC's website at www.sec.gov and which may be obtained by contacting Aramark's investor relations department via its website www.aramark.com.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report and in our other filings with the SEC. As a result of these risks and uncertainties, readers are cautioned not to place undue reliance on any forward-looking statements included herein or that may be made elsewhere from time to time by, or on behalf of, us. We undertake no obligation to publicly update or review any forward-looking statement, whether as a result of new information, future developments, changes in our expectations, or otherwise, except as required by law.</w:t>
      </w:r>
    </w:p>
    <w:p>
      <w:pPr>
        <w:sectPr>
          <w:pgSz w:w="11900" w:h="16838" w:orient="portrait"/>
          <w:cols w:equalWidth="0" w:num="1">
            <w:col w:w="11400"/>
          </w:cols>
          <w:pgMar w:left="240" w:top="175" w:right="2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Aramark (the “Company,” “we” or “us”) is a leading global provider of food, facilities and uniform services to education, healthcare, business &amp; industry, and sports, leisure &amp; corrections clients. Our core market is the United States, which is supplemented by an additional 18-country footprint. Based on total revenue in fiscal 2019, we hold the #2 position in North America in food, facilities and uniform services. Internationally, we hold a top 3 position in food and facilities services based on total revenue in fiscal 2019 in most countries in which we have significant operations. Our approximately 283,500 employees partner with thousands of education, healthcare, business and sports, leisure &amp; corrections clients to serve millions of consumers including students, patients, employees, sports fans and guests worldwide.</w:t>
      </w:r>
    </w:p>
    <w:p>
      <w:pPr>
        <w:spacing w:after="0" w:line="10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operate our business in three reportable segments that share many of the same operating characteristics: Food and Support Services United States ("FSS United States"), Food and Support Services International ("FSS International") and Uniform and Career Apparel ("Uniform"). The following chart shows a breakdown of our revenue and operating income by our reportable segments:</w:t>
      </w:r>
    </w:p>
    <w:p>
      <w:pPr>
        <w:sectPr>
          <w:pgSz w:w="11900" w:h="16838" w:orient="portrait"/>
          <w:cols w:equalWidth="0" w:num="1">
            <w:col w:w="11440"/>
          </w:cols>
          <w:pgMar w:left="240" w:top="17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338"/>
        </w:trPr>
        <w:tc>
          <w:tcPr>
            <w:tcW w:w="27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580" w:type="dxa"/>
            <w:vAlign w:val="bottom"/>
            <w:tcBorders>
              <w:left w:val="single" w:sz="8" w:color="auto"/>
            </w:tcBorders>
          </w:tcPr>
          <w:p>
            <w:pPr>
              <w:spacing w:after="0"/>
              <w:rPr>
                <w:sz w:val="19"/>
                <w:szCs w:val="19"/>
                <w:color w:val="auto"/>
              </w:rPr>
            </w:pPr>
          </w:p>
        </w:tc>
        <w:tc>
          <w:tcPr>
            <w:tcW w:w="2220" w:type="dxa"/>
            <w:vAlign w:val="bottom"/>
            <w:tcBorders>
              <w:right w:val="single" w:sz="8" w:color="auto"/>
            </w:tcBorders>
            <w:gridSpan w:val="4"/>
          </w:tcPr>
          <w:p>
            <w:pPr>
              <w:jc w:val="right"/>
              <w:ind w:right="580"/>
              <w:spacing w:after="0" w:line="223" w:lineRule="exact"/>
              <w:rPr>
                <w:sz w:val="20"/>
                <w:szCs w:val="20"/>
                <w:color w:val="auto"/>
              </w:rPr>
            </w:pPr>
            <w:r>
              <w:rPr>
                <w:rFonts w:ascii="Times New Roman" w:cs="Times New Roman" w:eastAsia="Times New Roman" w:hAnsi="Times New Roman"/>
                <w:sz w:val="22"/>
                <w:szCs w:val="22"/>
                <w:b w:val="1"/>
                <w:bCs w:val="1"/>
                <w:color w:val="auto"/>
                <w:w w:val="96"/>
              </w:rPr>
              <w:t>FSS United States</w:t>
            </w:r>
          </w:p>
        </w:tc>
        <w:tc>
          <w:tcPr>
            <w:tcW w:w="0" w:type="dxa"/>
            <w:vAlign w:val="bottom"/>
          </w:tcPr>
          <w:p>
            <w:pPr>
              <w:spacing w:after="0"/>
              <w:rPr>
                <w:sz w:val="1"/>
                <w:szCs w:val="1"/>
                <w:color w:val="auto"/>
              </w:rPr>
            </w:pPr>
          </w:p>
        </w:tc>
      </w:tr>
      <w:tr>
        <w:trPr>
          <w:trHeight w:val="48"/>
        </w:trPr>
        <w:tc>
          <w:tcPr>
            <w:tcW w:w="2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FY 2019 Revenue</w:t>
            </w:r>
            <w:r>
              <w:rPr>
                <w:rFonts w:ascii="Times New Roman" w:cs="Times New Roman" w:eastAsia="Times New Roman" w:hAnsi="Times New Roman"/>
                <w:sz w:val="21"/>
                <w:szCs w:val="21"/>
                <w:b w:val="1"/>
                <w:bCs w:val="1"/>
                <w:color w:val="auto"/>
                <w:vertAlign w:val="superscript"/>
              </w:rPr>
              <w:t>(a)</w:t>
            </w:r>
            <w:r>
              <w:rPr>
                <w:rFonts w:ascii="Times New Roman" w:cs="Times New Roman" w:eastAsia="Times New Roman" w:hAnsi="Times New Roman"/>
                <w:sz w:val="16"/>
                <w:szCs w:val="16"/>
                <w:b w:val="1"/>
                <w:bCs w:val="1"/>
                <w:color w:val="auto"/>
              </w:rPr>
              <w:t>:</w:t>
            </w:r>
          </w:p>
        </w:tc>
        <w:tc>
          <w:tcPr>
            <w:tcW w:w="580" w:type="dxa"/>
            <w:vAlign w:val="bottom"/>
            <w:tcBorders>
              <w:left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3"/>
        </w:trPr>
        <w:tc>
          <w:tcPr>
            <w:tcW w:w="2700" w:type="dxa"/>
            <w:vAlign w:val="bottom"/>
            <w:vMerge w:val="continue"/>
          </w:tcPr>
          <w:p>
            <w:pPr>
              <w:spacing w:after="0"/>
              <w:rPr>
                <w:sz w:val="24"/>
                <w:szCs w:val="24"/>
                <w:color w:val="auto"/>
              </w:rPr>
            </w:pPr>
          </w:p>
        </w:tc>
        <w:tc>
          <w:tcPr>
            <w:tcW w:w="208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9,898.6</w:t>
            </w:r>
          </w:p>
        </w:tc>
        <w:tc>
          <w:tcPr>
            <w:tcW w:w="0" w:type="dxa"/>
            <w:vAlign w:val="bottom"/>
          </w:tcPr>
          <w:p>
            <w:pPr>
              <w:spacing w:after="0"/>
              <w:rPr>
                <w:sz w:val="1"/>
                <w:szCs w:val="1"/>
                <w:color w:val="auto"/>
              </w:rPr>
            </w:pPr>
          </w:p>
        </w:tc>
      </w:tr>
      <w:tr>
        <w:trPr>
          <w:trHeight w:val="257"/>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FY 2019 Operating Income</w:t>
            </w:r>
            <w:r>
              <w:rPr>
                <w:rFonts w:ascii="Times New Roman" w:cs="Times New Roman" w:eastAsia="Times New Roman" w:hAnsi="Times New Roman"/>
                <w:sz w:val="21"/>
                <w:szCs w:val="21"/>
                <w:b w:val="1"/>
                <w:bCs w:val="1"/>
                <w:color w:val="auto"/>
                <w:vertAlign w:val="superscript"/>
              </w:rPr>
              <w:t>(a)</w:t>
            </w:r>
            <w:r>
              <w:rPr>
                <w:rFonts w:ascii="Times New Roman" w:cs="Times New Roman" w:eastAsia="Times New Roman" w:hAnsi="Times New Roman"/>
                <w:sz w:val="16"/>
                <w:szCs w:val="16"/>
                <w:b w:val="1"/>
                <w:bCs w:val="1"/>
                <w:color w:val="auto"/>
              </w:rPr>
              <w:t>:</w:t>
            </w:r>
          </w:p>
        </w:tc>
        <w:tc>
          <w:tcPr>
            <w:tcW w:w="208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716.8</w:t>
            </w:r>
          </w:p>
        </w:tc>
        <w:tc>
          <w:tcPr>
            <w:tcW w:w="0" w:type="dxa"/>
            <w:vAlign w:val="bottom"/>
          </w:tcPr>
          <w:p>
            <w:pPr>
              <w:spacing w:after="0"/>
              <w:rPr>
                <w:sz w:val="1"/>
                <w:szCs w:val="1"/>
                <w:color w:val="auto"/>
              </w:rPr>
            </w:pPr>
          </w:p>
        </w:tc>
      </w:tr>
      <w:tr>
        <w:trPr>
          <w:trHeight w:val="212"/>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20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Food, hospitality and facilities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Sectors:</w:t>
            </w: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Business &amp; industry, sports, leisure &amp;</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corrections, education, healthcare and</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20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facilities and other</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675"/>
        </w:trPr>
        <w:tc>
          <w:tcPr>
            <w:tcW w:w="560" w:type="dxa"/>
            <w:vAlign w:val="bottom"/>
            <w:tcBorders>
              <w:top w:val="single" w:sz="8" w:color="auto"/>
              <w:left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8"/>
        </w:trPr>
        <w:tc>
          <w:tcPr>
            <w:tcW w:w="5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38"/>
        </w:trPr>
        <w:tc>
          <w:tcPr>
            <w:tcW w:w="56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23"/>
        </w:trPr>
        <w:tc>
          <w:tcPr>
            <w:tcW w:w="560" w:type="dxa"/>
            <w:vAlign w:val="bottom"/>
            <w:tcBorders>
              <w:left w:val="single" w:sz="8" w:color="auto"/>
            </w:tcBorders>
          </w:tcPr>
          <w:p>
            <w:pPr>
              <w:spacing w:after="0"/>
              <w:rPr>
                <w:sz w:val="19"/>
                <w:szCs w:val="19"/>
                <w:color w:val="auto"/>
              </w:rPr>
            </w:pPr>
          </w:p>
        </w:tc>
        <w:tc>
          <w:tcPr>
            <w:tcW w:w="2200" w:type="dxa"/>
            <w:vAlign w:val="bottom"/>
            <w:tcBorders>
              <w:right w:val="single" w:sz="8" w:color="auto"/>
            </w:tcBorders>
            <w:gridSpan w:val="4"/>
          </w:tcPr>
          <w:p>
            <w:pPr>
              <w:jc w:val="right"/>
              <w:ind w:right="540"/>
              <w:spacing w:after="0" w:line="223" w:lineRule="exact"/>
              <w:rPr>
                <w:sz w:val="20"/>
                <w:szCs w:val="20"/>
                <w:color w:val="auto"/>
              </w:rPr>
            </w:pPr>
            <w:r>
              <w:rPr>
                <w:rFonts w:ascii="Times New Roman" w:cs="Times New Roman" w:eastAsia="Times New Roman" w:hAnsi="Times New Roman"/>
                <w:sz w:val="22"/>
                <w:szCs w:val="22"/>
                <w:b w:val="1"/>
                <w:bCs w:val="1"/>
                <w:color w:val="auto"/>
                <w:w w:val="97"/>
              </w:rPr>
              <w:t>FSS International</w:t>
            </w:r>
          </w:p>
        </w:tc>
        <w:tc>
          <w:tcPr>
            <w:tcW w:w="2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Uniform</w:t>
            </w:r>
          </w:p>
        </w:tc>
        <w:tc>
          <w:tcPr>
            <w:tcW w:w="720" w:type="dxa"/>
            <w:vAlign w:val="bottom"/>
            <w:tcBorders>
              <w:right w:val="single" w:sz="8" w:color="auto"/>
            </w:tcBorders>
          </w:tcPr>
          <w:p>
            <w:pPr>
              <w:spacing w:after="0"/>
              <w:rPr>
                <w:sz w:val="19"/>
                <w:szCs w:val="19"/>
                <w:color w:val="auto"/>
              </w:rPr>
            </w:pPr>
          </w:p>
        </w:tc>
      </w:tr>
      <w:tr>
        <w:trPr>
          <w:trHeight w:val="48"/>
        </w:trPr>
        <w:tc>
          <w:tcPr>
            <w:tcW w:w="560" w:type="dxa"/>
            <w:vAlign w:val="bottom"/>
            <w:tcBorders>
              <w:left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r>
      <w:tr>
        <w:trPr>
          <w:trHeight w:val="366"/>
        </w:trPr>
        <w:tc>
          <w:tcPr>
            <w:tcW w:w="208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3,742.9</w:t>
            </w:r>
          </w:p>
        </w:tc>
        <w:tc>
          <w:tcPr>
            <w:tcW w:w="220" w:type="dxa"/>
            <w:vAlign w:val="bottom"/>
          </w:tcPr>
          <w:p>
            <w:pPr>
              <w:spacing w:after="0"/>
              <w:rPr>
                <w:sz w:val="24"/>
                <w:szCs w:val="24"/>
                <w:color w:val="auto"/>
              </w:rPr>
            </w:pPr>
          </w:p>
        </w:tc>
        <w:tc>
          <w:tcPr>
            <w:tcW w:w="1740" w:type="dxa"/>
            <w:vAlign w:val="bottom"/>
            <w:gridSpan w:val="3"/>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2,585.8</w:t>
            </w:r>
          </w:p>
        </w:tc>
      </w:tr>
      <w:tr>
        <w:trPr>
          <w:trHeight w:val="270"/>
        </w:trPr>
        <w:tc>
          <w:tcPr>
            <w:tcW w:w="208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142.7</w:t>
            </w:r>
          </w:p>
        </w:tc>
        <w:tc>
          <w:tcPr>
            <w:tcW w:w="220" w:type="dxa"/>
            <w:vAlign w:val="bottom"/>
          </w:tcPr>
          <w:p>
            <w:pPr>
              <w:spacing w:after="0"/>
              <w:rPr>
                <w:sz w:val="23"/>
                <w:szCs w:val="23"/>
                <w:color w:val="auto"/>
              </w:rPr>
            </w:pPr>
          </w:p>
        </w:tc>
        <w:tc>
          <w:tcPr>
            <w:tcW w:w="1740" w:type="dxa"/>
            <w:vAlign w:val="bottom"/>
            <w:gridSpan w:val="3"/>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191.3</w:t>
            </w:r>
          </w:p>
        </w:tc>
      </w:tr>
      <w:tr>
        <w:trPr>
          <w:trHeight w:val="249"/>
        </w:trPr>
        <w:tc>
          <w:tcPr>
            <w:tcW w:w="20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Food, hospitality and facilities</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Rental, sale and maintenance of uniform</w:t>
            </w:r>
          </w:p>
        </w:tc>
      </w:tr>
      <w:tr>
        <w:trPr>
          <w:trHeight w:val="210"/>
        </w:trPr>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apparel and other items</w:t>
            </w:r>
          </w:p>
        </w:tc>
        <w:tc>
          <w:tcPr>
            <w:tcW w:w="720" w:type="dxa"/>
            <w:vAlign w:val="bottom"/>
          </w:tcPr>
          <w:p>
            <w:pPr>
              <w:spacing w:after="0"/>
              <w:rPr>
                <w:sz w:val="18"/>
                <w:szCs w:val="18"/>
                <w:color w:val="auto"/>
              </w:rPr>
            </w:pPr>
          </w:p>
        </w:tc>
      </w:tr>
      <w:tr>
        <w:trPr>
          <w:trHeight w:val="249"/>
        </w:trPr>
        <w:tc>
          <w:tcPr>
            <w:tcW w:w="298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Business &amp; industry, sports, leisure &amp;</w:t>
            </w:r>
          </w:p>
        </w:tc>
        <w:tc>
          <w:tcPr>
            <w:tcW w:w="20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Business, public institutions,</w:t>
            </w:r>
          </w:p>
        </w:tc>
        <w:tc>
          <w:tcPr>
            <w:tcW w:w="720" w:type="dxa"/>
            <w:vAlign w:val="bottom"/>
          </w:tcPr>
          <w:p>
            <w:pPr>
              <w:spacing w:after="0"/>
              <w:rPr>
                <w:sz w:val="21"/>
                <w:szCs w:val="21"/>
                <w:color w:val="auto"/>
              </w:rPr>
            </w:pPr>
          </w:p>
        </w:tc>
      </w:tr>
      <w:tr>
        <w:trPr>
          <w:trHeight w:val="203"/>
        </w:trPr>
        <w:tc>
          <w:tcPr>
            <w:tcW w:w="298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corrections, education, healthcare and</w:t>
            </w: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manufacturing, transportation and</w:t>
            </w:r>
          </w:p>
        </w:tc>
      </w:tr>
      <w:tr>
        <w:trPr>
          <w:trHeight w:val="210"/>
        </w:trPr>
        <w:tc>
          <w:tcPr>
            <w:tcW w:w="20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facilities and other</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service industries</w:t>
            </w:r>
          </w:p>
        </w:tc>
        <w:tc>
          <w:tcPr>
            <w:tcW w:w="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-1539240</wp:posOffset>
            </wp:positionV>
            <wp:extent cx="3782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8206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-2045335</wp:posOffset>
            </wp:positionV>
            <wp:extent cx="1097915"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915" cy="274320"/>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5540" w:space="200"/>
            <w:col w:w="5700"/>
          </w:cols>
          <w:pgMar w:left="240" w:top="175" w:right="21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4"/>
          <w:szCs w:val="14"/>
          <w:color w:val="auto"/>
        </w:rPr>
        <w:t>(a) Dollars in millions. Operating income excludes $159.6 million related to corporate expenses.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2019, we generated $16.2 billion of revenue, $891.2 million of operating income and $448.5 million of net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Since our founding in 1959, we have broadened our service offerings and expanded our client base through a combination of organic growth and acquisitions, with the goal of further developing our food, facilities and uniform capabilities, as well as growing our international presence. In 1984, we completed a management buyout, after which our management and employees increased their Company ownership to approximately 90% of our equity capital leading up to our December 2001 public offering. On January 26, 2007, we delisted from the NYSE in conjunction with a going-private transaction executed with investment funds affiliated with Goldman Sachs Capital Partners, CCMP Capital Advisors, J.P. Morgan Partners, Thomas H. Lee Partners, L.P. and Warburg Pincus LLC as well as approximately 250 senior management personnel.</w:t>
      </w:r>
    </w:p>
    <w:p>
      <w:pPr>
        <w:spacing w:after="0" w:line="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December 17, 2013, we completed an initial public offering of 41,687,500 shares of our common stock, including 13,687,500 shares of common stock sold by our selling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and Governance Matters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August 25, 2019, Eric Foss stepped down from his role as our Chairman, President and Chief Executive Officer. On October 6, 2019, we appointed John Zillmer as our Chief Executive Officer. Mr. Zillmer also joined the Board on that date.</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Also, on October 6, 2019, we entered into a Stewardship Framework Agreement (the “Stewardship Framework Agreement”) with MR BridgeStone Advisor LLC (“Mantle Ridge”), on behalf of itself and its affiliated funds (such funds, together with Mantle Ridge, collectively, the “Mantle Ridge Group”). The Mantle Ridge Group has a combined beneficial ownership interest in approximately 9.7% of our outstanding common stock as of November 22, 2019 and an additional economic interest of</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40"/>
          </w:cols>
          <w:pgMar w:left="240" w:top="175" w:right="21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approximately 10%. The Stewardship Framework Agreement contains a number of provisions relating to our governance, including the composition of the Board.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Avendra, LLC ("Avendra") Acquisition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December 11, 2017, we completed the acquisition of Avendra, a leading hospitality procurement services provider in North America that manages purchasing spend for over 650 companies at more than 8,500 locations. Avendra, headquartered in Rockville, Maryland, was founded in 2001 by five hospitality organizations: Marriott, Hyatt, Fairmont Hotels, ClubCorp and IHG. The acquisition of Avendra significantly expanded our capabilities and client reach in the procurement services area.</w:t>
      </w:r>
    </w:p>
    <w:p>
      <w:pPr>
        <w:spacing w:after="0" w:line="7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total consideration paid for Avendra was $1,386.4 million, partially offset by $87.3 million of cash and restricted investments acquired. Avendra's financial results since acquisition are included within the FSS United States reporting segment.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AmeriPride Services, Inc. ("AmeriPride") Acquisition</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19, 2018, we completed the acquisition of AmeriPride, a uniform and linen rental and supply company headquartered in Minneapolis with 6,000 employees and serving 150,000 customers in the U.S. and Canada. The acquisition of AmeriPride added scale and capabilities to our uniforms business in the U.S. while immediately establishing Aramark as a leading uniform services provider in Canada, where our existing operations were very limited.</w:t>
      </w:r>
    </w:p>
    <w:p>
      <w:pPr>
        <w:spacing w:after="0" w:line="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total consideration paid for AmeriPride was $995.4 million, partially offset by $84.9 million of cash acquired. AmeriPride's financial results since acquisition are included within the Uniform segment.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Food and Support Services</w:t>
      </w:r>
    </w:p>
    <w:p>
      <w:pPr>
        <w:spacing w:after="0" w:line="14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Food and Support Services segments manage a number of interrelated services-including food, hospitality, procurement and facility services-for school districts, colleges &amp; universities, healthcare facilities, businesses, sports, entertainment &amp; recreational venues, conference &amp; convention centers, national &amp; state parks and correctional institutions.</w:t>
      </w:r>
    </w:p>
    <w:p>
      <w:pPr>
        <w:spacing w:after="0" w:line="9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the exclusive provider of food and beverage services at most of the locations we serve and are responsible for hiring, training and supervising the majority of the food service personnel in addition to ordering, receiving, preparing and serving food and beverage items sold at those facilities. Our facilities services capabilities are broad, and include plant operations and maintenance, custodial/housekeeping, energy management, grounds keeping, and capital project management. In governmental, business, educational and healthcare facilities (for example, offices and industrial plants, schools and universities and hospitals), our clients provide us with a captive client base through their on-site employees, students and patients. At sports, entertainment and recreational facilities, our clients attract patrons to their site, usually for specific events such as sporting events and conventions.</w:t>
      </w:r>
    </w:p>
    <w:p>
      <w:pPr>
        <w:spacing w:after="0" w:line="1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manage our FSS business in two geographic reportable segments split between our United States and International operations. In fiscal 2019, our FSS United States segment generated $9,898.6 million in revenue, or 61% of our total revenue, and our FSS International segment generated $3,742.9 million in revenue, or 23% of our total revenue. No individual client represents more than 2% of our total revenue, other than, collectively, a number of U.S. government agencies.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Clients and Services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Food and Support Services segments serve a number of sectors across 19 countries around the world. Our Food and Support Services operations focus on serving clients in five principal sectors: Education, Healthcare, Business &amp; Industry, Sports, Leisure &amp; Corrections and Facilities &amp; Other.</w:t>
      </w:r>
    </w:p>
    <w:p>
      <w:pPr>
        <w:spacing w:after="0" w:line="7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Education. </w:t>
      </w:r>
      <w:r>
        <w:rPr>
          <w:rFonts w:ascii="Times New Roman" w:cs="Times New Roman" w:eastAsia="Times New Roman" w:hAnsi="Times New Roman"/>
          <w:sz w:val="18"/>
          <w:szCs w:val="18"/>
          <w:color w:val="auto"/>
        </w:rPr>
        <w:t>Within the Education sector we serve Higher Education and K-12 clients. We deliver a wide range of food and food-related services,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procurement services, at more than 1,500 colleges, universities, school systems &amp; districts and private schools. We offer our education clients a single source provider for food-related managed service solutions, including dining, catering, food service management and convenience-oriented retail operations.</w:t>
      </w:r>
    </w:p>
    <w:p>
      <w:pPr>
        <w:spacing w:after="0" w:line="92"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Healthcare. </w:t>
      </w:r>
      <w:r>
        <w:rPr>
          <w:rFonts w:ascii="Times New Roman" w:cs="Times New Roman" w:eastAsia="Times New Roman" w:hAnsi="Times New Roman"/>
          <w:sz w:val="18"/>
          <w:szCs w:val="18"/>
          <w:color w:val="auto"/>
        </w:rPr>
        <w:t>We provide a wide range of non-clinical food and food-related support services to approximately 250 healthcare clients and more than 450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across our global footprint. Our food and food-related services include patient food and nutrition, retail food and procurement services.</w:t>
      </w:r>
    </w:p>
    <w:p>
      <w:pPr>
        <w:spacing w:after="0" w:line="7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Business &amp; Industry</w:t>
      </w:r>
      <w:r>
        <w:rPr>
          <w:rFonts w:ascii="Times New Roman" w:cs="Times New Roman" w:eastAsia="Times New Roman" w:hAnsi="Times New Roman"/>
          <w:sz w:val="18"/>
          <w:szCs w:val="18"/>
          <w:color w:val="auto"/>
        </w:rPr>
        <w:t>. We provide a comprehensive range of business dining services, including on-site restaurants, catering, convenience stores and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dining.</w:t>
      </w:r>
    </w:p>
    <w:p>
      <w:pPr>
        <w:spacing w:after="0" w:line="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also provide beverage and vending services to business &amp; industry clients at thousands of locations. Our service and product offerings include a full range of coffee offerings, “grab and go” food operations, convenience stores, micromarkets and a proprietary drinking water filtration system.</w:t>
      </w:r>
    </w:p>
    <w:p>
      <w:pPr>
        <w:spacing w:after="0" w:line="7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Sports, Leisure &amp; Corrections</w:t>
      </w:r>
      <w:r>
        <w:rPr>
          <w:rFonts w:ascii="Times New Roman" w:cs="Times New Roman" w:eastAsia="Times New Roman" w:hAnsi="Times New Roman"/>
          <w:sz w:val="18"/>
          <w:szCs w:val="18"/>
          <w:color w:val="auto"/>
        </w:rPr>
        <w:t>. We administer concessions, banquet and catering services, retail services and merchandise sales, recreational and lodging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facility management services at sports, entertainment and recreational facilities. We serve 145 professional (including minor league affiliates) and college sports teams, including 30 teams in Major League Baseball, the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75" w:right="2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National Basketball Association, the National Football League and the National Hockey League. We also serve convention and civic centers, national and state parks and other resort operations, plus other popular tourist attractions in the United States. Additionally, we provide correctional food services, operate commissaries, laundry facilities and property rooms and provide food and facilities management services for parks.</w:t>
      </w:r>
    </w:p>
    <w:p>
      <w:pPr>
        <w:spacing w:after="0" w:line="9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Facilities &amp; Other. </w:t>
      </w:r>
      <w:r>
        <w:rPr>
          <w:rFonts w:ascii="Times New Roman" w:cs="Times New Roman" w:eastAsia="Times New Roman" w:hAnsi="Times New Roman"/>
          <w:sz w:val="18"/>
          <w:szCs w:val="18"/>
          <w:color w:val="auto"/>
        </w:rPr>
        <w:t>We provide a variety of support services to approximately 550 facilities clients and more than 1,000 facilities. These services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housekeeping, plant operations and maintenance, energy management, custodial, groundskeeping, landscaping, transportation, capital program management and payment services, and other facility consulting services relating to building operations. We also provide procurement services for a number of clients in a variety of industries.</w:t>
      </w:r>
    </w:p>
    <w:p>
      <w:pPr>
        <w:spacing w:after="0" w:line="10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FSS International segment provides a similar range of services as those provided to our FSS United States segment clients and operates in all of our sectors. We have operations in 18 countries outside the United States. Our largest international operations are in Canada, Chile, China, Germany, Ireland and the United Kingdom, and in a majority of these countries we are one of the leading food and/or facilities service providers. We also have a strong presence in Japan through our 50% ownership of AIM Services Co., Ltd., which is a leader in providing outsourced food services in Japan. In addition to the core Business &amp; Industry sector, our FSS International segment serves many sports stadiums across Europe, and numerous educational institutions, healthcare institutions and convention centers globally. There are particular risks attendant with our international operations. Please see Item 1A. “Risk Factors.”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negotiate the pricing and other terms for the majority of our purchases of food and related products in the United States and Canada directly with national manufacturers. We purchase these products and other items through Sysco Corporation and other distributors. We have a master distribution agreement with Sysco that covers a significant amount of our purchases of these products and items in the United States and another distribution agreement with Sysco that covers our purchases of these products in Canada. Our distributors are responsible for tracking our orders and delivering products to our specific locations. Due to our ability to negotiate favorable terms with our suppliers, we earn vendor consideration, including discounts, rebates and other applicable credits. See “Types of Contracts” below. Our location managers also purchase a number of items, including bread, dairy products and alcoholic beverages from local suppliers, and we purchase certain items directly from manufacturers.</w:t>
      </w:r>
    </w:p>
    <w:p>
      <w:pPr>
        <w:spacing w:after="0" w:line="10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relationship with Sysco is important to our operations—we have had distribution agreements in place for more than 30 years. In fiscal 2019, Sysco distributed approximately 48% of our food and non-food products in the United States and Canada, and we believe that we are one of their largest clients. However, we believe that the products acquired through Sysco can, in significant cases, be purchased through other sources and that termination of our relationship with them or any disruption of their business would cause only short-term disruptions to our operations.</w:t>
      </w:r>
    </w:p>
    <w:p>
      <w:pPr>
        <w:spacing w:after="0" w:line="9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agreements with our distributors are generally for an indefinite term, subject to termination by either party after a notice period, which is generally 60 to 120 days. The pricing and other financial terms of these agreements are renegotiated periodically. Our current agreement with Sysco is terminable by either party with 180 days notice.</w:t>
      </w:r>
    </w:p>
    <w:p>
      <w:pPr>
        <w:spacing w:after="0" w:line="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rest of our international segment, our approach to purchasing is substantially similar. On a country-by-country basis, we negotiate pricing and other terms for a majority of our purchases of food and related products with manufacturers operating in the applicable country, and we purchase these products and other items through distributors in that country. Due to our ability to negotiate favorable terms with our suppliers, we receive vendor consideration, including rebates, allowances and volume discounts. See “Types of Contracts” below. As in the United States and Canada, our location managers also purchase a number of items, including bread, dairy products and alcoholic beverages from local suppliers, and we purchase certain items directly from manufacturers. Our agreements with our distributors are subject to termination by either party after a notice period, which is generally 60 days. The pricing and other financial terms of these agreements are renegotiated periodically.</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relationship with distributors in the countries outside the United States and Canada is important to our operations, but from an overall volume standpoint, no distributor outside the United States and Canada distributes a significant volume of products. We believe that products we acquire from our distributors in countries outside the United States and Canada can, in significant cases, be purchased from other sources, and that the termination of our relationships with our distributors outside the United States and Canada, or the disruption of their business operations, would cause only short-term disruption to our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selling and marketing excellence by focusing on optimizing resource allocation and deployment. We aim to sell our services to our clients in the same way, regardless of the sector in which such client is located. We have developed consistent tools and training that are used across all of our businesses to train our employees on this selling process. Our business development functions are aligned directly with the sectors and services in which we have leadership positions, and we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75"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combine our targeted business development strategies with our strong client relationships to deliver differentiated and innovative solutions. We target our business development by aligning our sales efforts directly with the sectors and services in which we operate. We identify individuals at various levels in our organization to match up with individuals in a variety of roles at both existing and potential clients. We believe that these connections throughout various levels within the client organization allow us to develop strong relationships with the client and gain a better understanding of the clients' requirements. Based on the knowledge of the clients' requirements and the sector, our goal is to develop solutions for the client that are unique and that help to differentiate us from our competitors.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Contracts</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contracts with our customers that allow us to manage our potential upside and downside risk in connection with our various business interactions. Our contracts may require that consent be obtained in order to raise prices on the food, beverages and merchandise we sell within a particular facility. The contracts that we enter into vary in length. Contracts generally are for fixed terms, many of which are in excess of one year. Contracts for education and sports and leisure services typically require larger capital investments, but have correspondingly longer and fixed terms, usually from five to fifteen years.</w:t>
      </w:r>
    </w:p>
    <w:p>
      <w:pPr>
        <w:spacing w:after="0" w:line="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When we enter into new contracts, or extend or renew existing contracts, particularly those for stadiums, arenas, convention centers, colleges and universities and business dining accounts, we are sometimes contractually required to make some form of up-front or future investment, which often includes capital expenditures to help finance improvement or renovation, typically to the food and beverage facilities of the venue from which we operate. Contractually required capital expenditures typically take the form of investments in leasehold improvements, equipment and/or grants to clients. At the end of the contract term or upon its earlier termination, assets such as equipment and leasehold improvements typically become the property of the client, but generally the client must reimburse us for any undepreciated or unamortized capital investments.</w:t>
      </w:r>
    </w:p>
    <w:p>
      <w:pPr>
        <w:spacing w:after="0" w:line="1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Food and Support Services contracts are generally obtained and renewed either through a competitive process or on a negotiated basis, although contracts in the public sector, including school districts and correctional clients, are frequently awarded on a competitive bid basis, as required by applicable law. Contracts in the private sector may be entered into without a formal bid process, but we and other companies will often compete in the process leading up to the award or the completion of contract negotiations. Typically, after the award, final contract terms are negotiated and agreed upon.</w:t>
      </w:r>
    </w:p>
    <w:p>
      <w:pPr>
        <w:spacing w:after="0" w:line="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use two general contract types in our Food and Support Services segments: profit and loss contracts and client interest contracts. These contracts differ in their provision for the amount of financial risk that we bear and, accordingly, the potential compensation, profits or fees we may receive. Payments made to clients and management fees, if any, may vary significantly among contracts based upon various factors, including the type of facility involved, the term of the contract, the services we provide and the amount of capital we invest.</w:t>
      </w:r>
    </w:p>
    <w:p>
      <w:pPr>
        <w:spacing w:after="0" w:line="9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Profit and Loss Contracts. </w:t>
      </w:r>
      <w:r>
        <w:rPr>
          <w:rFonts w:ascii="Times New Roman" w:cs="Times New Roman" w:eastAsia="Times New Roman" w:hAnsi="Times New Roman"/>
          <w:sz w:val="18"/>
          <w:szCs w:val="18"/>
          <w:color w:val="auto"/>
        </w:rPr>
        <w:t>Under profit and loss contracts, we receive all of the revenue from, and bear all of the expenses of, the provision of our services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client location. Expenses under profit and loss contracts sometimes include payments made to the client, typically calculated as a fixed or variable percentage of various categories of revenue, and, in some cases, require minimum guaranteed payments. We benefit from greater upside potential with a profit and loss contract, although we do consequently bear greater downside risk than with a client interest contract. For fiscal 2019, approximately two-thirds of our Food and Support Services revenue was derived from profit and loss contracts.</w:t>
      </w:r>
    </w:p>
    <w:p>
      <w:pPr>
        <w:spacing w:after="0" w:line="9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Client Interest Contracts. </w:t>
      </w:r>
      <w:r>
        <w:rPr>
          <w:rFonts w:ascii="Times New Roman" w:cs="Times New Roman" w:eastAsia="Times New Roman" w:hAnsi="Times New Roman"/>
          <w:sz w:val="18"/>
          <w:szCs w:val="18"/>
          <w:color w:val="auto"/>
        </w:rPr>
        <w:t>Client interest contracts include management fee contracts, under which our clients reimburse our operating costs and pay us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client satisfaction surveys. Client interest contracts also include limited profit and loss contracts, under which we receive a percentage of any profits earned from the provision of our services at the facility and we generally receive no payments if there are losses. As discussed above under “Purchasing,” we earn vendor consideration, including discounts, rebates and other applicable credits that we typically retain except in those cases where the contract and/or applicable law requires us to credit these to our clients. For our client interest contracts, both our upside potential and downside risk are reduced compared to our profit and loss contracts. For fiscal 2019, approximately one-third of our Food and Support Services revenue was derived from client interest contracts.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There is significant competition in the Food and Support Services business from local, regional, national and international companies, as well as from the businesses, healthcare institutions, colleges and universities, correctional facilities, school districts and public assembly facilities that decide to provide these services themselves. Institutions may decide to operate their own services or outsource to one of our competitors following the expiration or termination of contracts with us. Clients do not necessarily choose the lowest cost provider, and tend to place a premium on the total value proposition offered. In our FSS United States segment, our external competitors include other multi-regional food and support service providers, such as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75"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Compass Group plc, Delaware North Companies Inc. and Sodexo SA. Internationally, our external food service and support service competitors include Compass Group plc, Elior SA, International Service System A/S and Sodexo SA. We also face competition from many regional and local service providers.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competitive factors are the principal drivers of our success:</w:t>
      </w:r>
    </w:p>
    <w:p>
      <w:pPr>
        <w:spacing w:after="0" w:line="144"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breadth of services and management talent;</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within the industry;</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strength and stability;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scale.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revenue and operating results have varied, and we expect them to continue to vary, from quarter to quarter as a result of different factors. Within our FSS United States segment, historically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Uniform</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Uniform segment provides a full service employee uniform solution, including design, sourcing and manufacturing, delivery, cleaning and maintenance on a contract basis. We directly market personalized uniforms and accessories, provide managed restroom services and rent uniforms, work clothing, outerwear, particulate-free garments and non-garment items and related services, including mats, shop towels and first aid supplies, to clients in a wide range of industries in the United States, Puerto Rico, Canada and through a joint venture in Japan, including the manufacturing, transportation, construction, restaurant and hotel, healthcare and pharmaceutical industries.We hold the #2 position in the North America uniform services market. We operate approximately 4,000 routes, giving us a broad reach to service our clients' needs.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Clients use our uniforms to meet a variety of needs, including:</w:t>
      </w:r>
    </w:p>
    <w:p>
      <w:pPr>
        <w:spacing w:after="0" w:line="144"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corporate identity and brand awareness;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projecting a professional image:</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workers—work clothes can help protect workers from difficult environments such as heavy soils, heat, flame or chemicals; and</w:t>
      </w:r>
    </w:p>
    <w:p>
      <w:pPr>
        <w:spacing w:after="0" w:line="144"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products—uniforms can help protect products against contamination in the food, pharmaceutical, electronics, health care and automotive industries.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2019, our Uniform segment generated $2,585.8 million in revenue, or 16% of our total revenue.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Clients and Services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serve businesses of all sizes in many different industries. We have a diverse client base from approximately 374 service locations and distribution centers across North America. None of our clients individually represents a material portion of our revenue. We typically visit our clients' sites weekly, delivering clean, finished uniforms and, at the same time, removing the soiled uniforms or other items for cleaning, repair or replacement. We also offer products for direct sale.</w:t>
      </w:r>
    </w:p>
    <w:p>
      <w:pPr>
        <w:spacing w:after="0" w:line="9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cleanroom service offers advanced static dissipative garments, barrier apparel, sterile garments and cleanroom application accessories for clients with contamination-free operations in the technology, healthcare and pharmaceutical industries.</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conduct our direct marketing business through three primary brands - WearGuard, Crest and Aramark. We design, source or manufacture and distribute distinctive image apparel to workers in a wide variety of industries through the internet at www.shoparamark.com, dedicated sales representatives and telemarketing sales channels. We customize and embroider personalized uniforms and logos for clients through an extensive computer assisted design center and distribute work clothing, outerwear, business casual apparel and footwear throughout the United States, Puerto Rico and Canada.</w:t>
      </w: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240" w:top="175" w:right="3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operate our uniform rental business as a network of 136 laundry plants and 238 satellite plants, depots, distribution centers and manufacturing plants supporting approximately 4,000 pick-up and delivery routes. We operate a fleet of service vehicles that pick up and deliver uniforms for cleaning and maintenance. We conduct our direct marketing activities principally from our facilities in Salem, Virginia; Norwell and Rockland, Massachusetts; and Reno, Nevada. We market our own brands of apparel and offer a variety of customized personalization options such as embroidery and logos. We also source uniforms and other products to our specifications from a number of domestic and international suppliers and also manufacture a significant portion of our uniform requirements. We purchase uniform and textile products as well as equipment and supplies from domestic and international suppliers. The loss of any one supplier would not have a significant impact on us. We operate cutting and sewing plants in Mexico, which satisfy a substantial amount of our standard uniform inventory needs.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sales representatives and route sales drivers are responsible for selling our services to current and potential clients and developing new accounts through the use of an extensive, proprietary database of pre-screened and qualified business prospects. We build our brand identity through local advertising, promotional initiatives and through our distinctive service vehicles. Our clients frequently come to us through client referrals, either from our uniform rental business or from our other service sectors. Our customer service representatives generally interact on a weekly basis with their clients, while our support personnel are charged with expeditiously handling client requirements regarding the outfitting of new client employees and other customer service needs.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Contracts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typically serve our rental clients under written service contracts for an initial term of three to five years. While clients are not required to make an up-front investment for their uniforms, in the case of nonstandard uniforms and certain specialty programs, clients typically agree to reimburse us for our costs if they terminate their agreement early. With the exception of certain governmental bid business, most of our direct marketing business is conducted under invoice arrangement with repeat clients.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the United States rental industry has experienced some consolidation, there is significant competition in all the areas that we serve, and such competition varies across geographies. Although many competitors are smaller local and regional firms, we also face competition from other large national firms such as Cintas Corporation and UniFirst Corporation. We believe that the primary competitive factors that affect our operations are quality, service, design, consistency of product, distribution capability, particularly for large multi-location clients, and price. We believe that our ability to compete effectively is enhanced by the quality and breadth of our product line as well as our nationwide reach.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of Aramark</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September 27, 2019, we had a total of approximately 283,500 employees, including seasonal employees, consisting of approximately 183,300 full-time and approximately 100,200 part-time employees. The number of part-time employees varies significantly from time to time during the year due to seasonal and other operating requirements. We generally experience our highest level of employment during the fourth fiscal quarter. The approximate number of employees by segment is as follows: FSS United States: 147,050; FSS International: 118,600; Uniform: 17,200. In addition, the Aramark corporate staff is approximately 650 employees. Approximately 43,000 employees in the United States are covered by collective bargaining agreements. We have not experienced any material interruptions of operations due to disputes with our employees and consider our relations with our employees to be satisfactory.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4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business is subject to various federal, state, international, national, provincial and local laws and regulations, in areas such as environmental, labor, employment, immigration, privacy and data security, tax codes, health and safety laws and liquor licensing and dram shop matters. In addition, our facilities and products are subject to periodic inspection by federal, state, local and international authorities. We have established, and periodically update, various internal controls and procedures designed to maintain compliance with these laws and regulations. Our compliance programs are subject to legislative changes, or changes in regulatory interpretation, implementation or enforcement. From time to time both federal and state government agencies have conducted audits of certain of our practices as part of routine investigations of providers of services under government contracts, or otherwise. Like others in our business, we receive requests for information from governmental agencies in connection with these audits. If we fail to comply with applicable laws, we may be subject to investigations, criminal sanctions or civil remedies, including fines, penalties, damages, reimbursement, injunctions, seizures, disgorgements, debarments from government contracts or loss of liquor licenses.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75"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are subject to various laws and regulations, including, but not limited to, those governing:</w:t>
      </w:r>
    </w:p>
    <w:p>
      <w:pPr>
        <w:spacing w:after="0" w:line="144"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alcohol licensing and service;</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of sales and other taxes;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wage, overtime, classification, wage payment and employment discrimination;</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governmentally funded entitlement programs and cost and accounting principles;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whistleblowers and consumer protection;</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protection;</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sanitation, labeling and human health and safety;</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and import and export controls;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the U.K. Bribery Act and other anti-corruption laws;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competition, procurement and lobbying;</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minority, women and disadvantaged business enterprise statutes;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 carrier safety;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w:t>
      </w:r>
    </w:p>
    <w:p>
      <w:pPr>
        <w:spacing w:after="0" w:line="14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laws and regulations relating to each of our food and support services segments are numerous and complex. There are a variety of laws and regulations at various governmental levels relating to the handling, preparation, transportation and serving of food, including in some cases requirements relating to the temperature of food, the cleanliness of food production facilities, and the hygiene of food-handling personnel, which are enforced primarily at the local public health department level. While we attempt to comply with applicable laws and regulations, there can be no assurance that we are in full compliance at all times with all of the applicable laws and regulations or that we will be able to comply with any future laws and regulations. Furthermore, legislation and regulatory attention to food safety is very high. Additional or amended regulations in this area may significantly increase the cost of compliance or expose us to liability.</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various government agencies impose nutritional guidelines and other requirements on us at certain of the healthcare, education and corrections facilities we serve. We may also be subject to laws and regulations that limit or restrict the use of trans fats in the food we serve or other requirements relating to ingredient or nutrient labeling. There can be no assurance that legislation, or changes in regulatory implementation or interpretation of government regulations, would not limit our activities in the future or significantly increase the cost of regulatory compliance.</w:t>
      </w:r>
    </w:p>
    <w:p>
      <w:pPr>
        <w:spacing w:after="0" w:line="9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we serve alcoholic beverages at many sports, entertainment and recreational facilities, including convention centers and national and state parks, we also hold liquor licenses incidental to our food service operations and are subject to the liquor license requirements of the jurisdictions in which we hold a liquor license. As of September 27, 2019, our subsidiaries held liquor licenses in 42 states and additionally the District of Columbia, 5 Canadian provinces and certain other countries. Typically, liquor licenses must be renewed annually and may be revoked or suspended for cause at any time. Alcoholic beverage control regulations relate to numerous aspects of our operations, including minimum age of patrons and employees, hours of operation, advertising, wholesale purchasing, inventory control and handling, and storage, dispensing and service of alcoholic beverages. We have not encountered any material problems relating to liquor licenses to date. The failure to receive or retain a liquor license in a particular location could adversely affect our ability to obtain such a license elsewhere. Some of our contracts require us to pay liquidated damages during any period in which the liquor license for the facility is suspended as a result of our actions, and most contracts are subject to termination if the liquor license for the facility is lost as a result of our actions. Our service of alcoholic beverages is also subject to alcoholic beverage service laws, commonly called dram shop statutes. Dram shop statutes generally prohibit serving alcoholic beverages to certain persons such as minors or visibly intoxicated persons. If we violate dram shop laws, we may be liable to the patron and/or to third parties for the acts of the visibly intoxicated patron. We sponsor regular training programs designed to minimize the likelihood of such a situation and to take advantage of certain safe harbors and affirmative defenses enacted for the benefit of alcoholic beverage service providers. However, we cannot guarantee that intoxicated or minor patrons will not be served or that liability for their acts will not be imposed on us.</w:t>
      </w:r>
    </w:p>
    <w:p>
      <w:pPr>
        <w:spacing w:after="0" w:line="11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uniform rental business and our food and support service business are subject to various environmental protection laws and regulations, including the U.S. Federal Clean Water Act, Clean Air Act, Resource Conservation and Recovery Act, Comprehensive Environmental Response, Compensation, and Liability Act and similar local, state, federal and international</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75"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laws and regulations governing the use, management, shipping and disposal of chemicals and hazardous materials. In particular, industrial laundries use certain detergents and cleaning chemicals to launder garments and other merchandise. The residues from such detergents and chemicals and residues from soiled garments and other merchandise laundered at our facilities may result in potential discharges to air and to water (through sanitary sewer systems and publicly owned treatment works) and may be contained in waste generated by our wastewater treatment systems. Our industrial laundries are subject to certain volume and chemical air and water pollution discharge limits, monitoring, permitting and recordkeeping requirements. We own or operate aboveground and underground storage tank systems at some locations to store petroleum products for use in our or our clients' operations. Certain of these storage tank systems also are subject to performance standards, periodic monitoring and recordkeeping requirements. We also may use and manage chemicals and hazardous materials in our operations from time to time. We are mindful of the environmental concerns surrounding the use, management, shipping and disposal of these chemicals and hazardous materials, and have taken and continue to take measures to comply with environmental protection laws and regulations. Given the regulated nature of some of our operations, we could face penalties and fines for non-compliance. In the past, we have settled, or contributed to the settlement of, actions or claims relating to the management of underground storage tanks and the handling and disposal of chemicals or hazardous materials, either on or off-site. We may, in the future, be required to expend material amounts to rectify the consequences of any such events. Under environmental laws, we may be liable for the costs of removal or remediation of certain hazardous materials located on or in or migrating from our owned or leased property or our clients' properties, as well as related costs of investigation and property damage. Such laws may impose liability without regard to our fault, knowledge or responsibility for the presence of such hazardous substances. We may not know whether our clients' properties or our acquired or leased properties have been operated in compliance with environmental laws and regulations or that our future uses or conditions will not result in the imposition of liability upon us under such laws or expose us to third-party actions such as tort suits.</w:t>
      </w:r>
    </w:p>
    <w:p>
      <w:pPr>
        <w:spacing w:after="0" w:line="114" w:lineRule="exact"/>
        <w:rPr>
          <w:sz w:val="20"/>
          <w:szCs w:val="20"/>
          <w:color w:val="auto"/>
        </w:rPr>
      </w:pPr>
    </w:p>
    <w:p>
      <w:pPr>
        <w:ind w:right="80"/>
        <w:spacing w:after="0" w:line="407" w:lineRule="auto"/>
        <w:rPr>
          <w:sz w:val="20"/>
          <w:szCs w:val="20"/>
          <w:color w:val="auto"/>
        </w:rPr>
      </w:pPr>
      <w:r>
        <w:rPr>
          <w:rFonts w:ascii="Times New Roman" w:cs="Times New Roman" w:eastAsia="Times New Roman" w:hAnsi="Times New Roman"/>
          <w:sz w:val="18"/>
          <w:szCs w:val="18"/>
          <w:color w:val="auto"/>
        </w:rPr>
        <w:t xml:space="preserve">As of September 27, 2019, we do not anticipate any expenditures for environmental remediation that would have a material effect on our financial condition. </w:t>
      </w:r>
      <w:r>
        <w:rPr>
          <w:rFonts w:ascii="Times New Roman" w:cs="Times New Roman" w:eastAsia="Times New Roman" w:hAnsi="Times New Roman"/>
          <w:sz w:val="18"/>
          <w:szCs w:val="18"/>
          <w:b w:val="1"/>
          <w:bCs w:val="1"/>
          <w:color w:val="auto"/>
        </w:rPr>
        <w:t>Intellectual Property</w:t>
      </w: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the patents, trademarks, trade names and licenses that are necessary for the operation of our business. Other than the Aramark brand, which includes our corporate starperson logo design, the Aramark word mark (our name) and the Avendra brand, we do not consider our patents, trademarks, trade names and licenses to be material to the operation of our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4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Securities and Exchange Commission (the “SEC”). These filings are available to the public over the Internet at the SEC's web site at http://www.sec.gov.</w:t>
      </w:r>
    </w:p>
    <w:p>
      <w:pPr>
        <w:spacing w:after="0" w:line="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principal Internet address is www.aramark.com. We make available free of charge on www.aramark.com our annual, quarterly and current reports, and amendments to those reports, as soon as reasonably practicable after we electronically file such material with, or furnish it to, the SEC.</w:t>
      </w:r>
    </w:p>
    <w:p>
      <w:pPr>
        <w:spacing w:after="0" w:line="8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Business Conduct Policy includes a code of ethics for our principal executive officer, our principal financial officer and our principal accounting officer and applies to all of our employees and non-employee directors. Our Business Conduct Policy is available on the Investor Relations section of our website at www.aramark.com and is available in print to any person who requests it by writing or telephoning us at the address or telephone number set forth below.</w:t>
      </w:r>
    </w:p>
    <w:p>
      <w:pPr>
        <w:spacing w:after="0" w:line="9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You may request a copy of our SEC filings (excluding exhibits) and our Business Conduct Policy at no cost by writing or telephoning us at the following address or telephone number:</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Aramark</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2400 Market Street</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Telephone: (215) 238-3000</w:t>
      </w:r>
    </w:p>
    <w:p>
      <w:pPr>
        <w:spacing w:after="0" w:line="144"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references to our web site and the SEC's web site are intended to be inactive textual references only and the contents of those websites are not incorporated by reference herein.</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75" w:right="2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economic conditions have, and in the future could, adversely affect our results of operations and financial condition.</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past, national and international economic downturns have reduced demand for our services and any such downturns in the future could reduce demand for our services in each of our reportable segments, resulting in the loss of business or increased pressure to contract for business on less favorable terms than our generally preferred terms. Economic hardship among our client base can also impact our business. For example, during the period of economic distress following the financial crisis of 2008, certain of our businesses were negatively affected by reduced employment levels at our clients’ locations and declining levels of business and consumer spending. In addition, insolvency experienced by clients, especially larger clients, has in the past made it difficult, and in the future could, make it difficult, for us to collect amounts we are owed and could result in the voiding of existing contracts. Similarly, financial distress or insolvency, if experienced by our key vendors and service providers such as insurance carriers, could significantly increase our costs.</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portion of our food and support services business that provides services in public facilities such as convention centers and tourist and recreational attractions is particularly sensitive to an economic downturn, as expenditures to take vacations or hold or attend conventions are funded to a partial or total extent by discretionary income. A decrease in such discretionary income on the part of potential attendees at our clients' facilities has in the past resulted, and in the future could result, in a reduction in our revenue. Further, because our exposure to the ultimate consumer of what we provide is limited by our dependence on our clients to attract those consumers to their facilities and events, our ability to respond to such a reduction in attendance, and therefore our revenue, is limited. There are many factors that could reduce the numbers of events in a facility or attendance at an event, including labor disruptions involving sports leagues, poor performance by the teams playing in a facility, number of playoff games, inclement weather and adverse economic conditions which would adversely affect revenue and profits.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global calamities, political unrest, sports strikes and other adverse incidents could adversely affect our revenue and operating results.</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Natural disasters, including hurricanes and earthquakes, global calamities, such as an Ebola outbreak or a flu pandemic, or political unrest, such as the recent demonstrations in Chile, have, and in the future could, affect our revenue and operating results. In the past, we experienced lost and closed client locations, business disruptions and delays, the loss of inventory and other assets, asset impairments and the effect of the temporary conversion of a number of our client locations to provide food and shelter to those left homeless by storms. For example, our financial results were particularly impacted in 2018 by wildfires in and around Yosemite National Park and in 2017 by Hurricane Maria in Puerto Rico and Hurricane Harvey and Hurricane Irma in the southern United States. In addition, any terrorist attacks, particularly against venues that we serve, and the national and global military, diplomatic and financial response to such attacks or other threats, also may adversely affect our revenue and operating results. Sports strikes, particularly those that persist for an extended time period, can reduce our revenue and have an adverse impact on our results of operations. Any decrease in the number of games played would mean a loss of revenue and reduced profits at the venues we service.</w:t>
      </w:r>
    </w:p>
    <w:p>
      <w:pPr>
        <w:spacing w:after="0" w:line="10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retain our current clients, renew our existing client contracts on comparable terms and obtain new client contracts could adversely affect our business.</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retain our current clients, renew our existing client contracts and obtain new business on commercially-favorable terms. Our ability to do so generally depends on a variety of factors, including the quality, price and responsiveness of our services, as well as our ability to market these services effectively and differentiate ourselves from our competitors. The renewal of business often results in a decrease in the profitability of such business. There can be no assurance that we will be able to obtain new business, renew existing client contracts at the same or higher levels of pricing or that our current clients will not turn to competitors, cease operations, elect to self-operate or terminate contracts with us. In addition, consolidation by our clients in the industries we serve could result in our losing business if the combined entity chooses a different provider. The failure to renew a significant number of our existing contracts would have a material adverse effect on our business and results of operations and the failure to obtain new business could have an adverse impact on our growth and financial results.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if clients reduce their outsourcing or use of preferred vendors.</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and growth strategies depend in large part on the continuation of a current trend toward outsourcing services. Clients will outsource if they perceive that outsourcing may provide quality services at a lower overall cost and permit them to focus on their core business activities. We cannot be certain that this trend will continue or not be reversed or that clients that have outsourced functions will not decide to perform these functions themselves.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175" w:right="2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labor unions representing employees of some of our current and prospective clients have occasionally opposed the outsourcing trend to the extent that they believed that current union jobs for their memberships might be lost. In these cases, unions typically seek to prevent public sector entities from outsourcing and if that fails, ensure that jobs that are outsourced continue to be unionized, which can reduce our pricing and operational flexibility with respect to such businesses.</w:t>
      </w:r>
    </w:p>
    <w:p>
      <w:pPr>
        <w:spacing w:after="0" w:line="9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also identified a trend among some of our clients toward the retention of a limited number of preferred vendors to provide all or a large part of their required services. We cannot be certain that this trend will continue or not be reversed or, if it does continue, that we will be selected and retained as a preferred vendor to provide these services. Unfavorable developments with respect to either outsourcing or the use of preferred vendors could have a material adverse effect on our business and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industries could adversely affect our results of operations.</w:t>
      </w:r>
    </w:p>
    <w:p>
      <w:pPr>
        <w:spacing w:after="0" w:line="14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There is significant competition in the food and support services business from local, regional, national and international companies, of varying sizes, many of which have substantial financial resources. Our ability to successfully compete depends on our ability to provide quality services at a reasonable price and to provide value to our clients and consumers. Certain of our competitors have been and may in the future be willing to underbid us or accept a lower profit margin or expend more capital in order to obtain or retain business. Also, certain regional and local service providers may be better established than we are within a specific geographic region. In addition, existing or potential clients may elect to self-operate their food and support services, eliminating the opportunity for us to serve them or compete for the account. We also may face increased competition from offsite food delivery at our clients as online restaurant aggregators and similar businesses and other providers with potentially disruptive business models have been successful at applying technology developments to local food service. While we have a significant international presence, certain of our competitors have more extensive portfolios of services and a broader geographic footprint than we do. Therefore, we may be placed at a competitive disadvantage for clients who require multiservice or multinational bids.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 number of major national competitors in the uniform rental industry with significant financial resources. In addition, there are regional and local uniform suppliers whom we believe have strong client loyalty. While most clients focus primarily on quality of service, uniform rental also is a price-sensitive service and if existing or future competitors seek to gain clients or accounts by reducing prices, we may be required to lower prices, which would reduce our revenue and profits. The uniform rental business requires investment capital for growth. Failure to maintain capital investment in this business would put us at a competitive disadvantage. In addition, due to competition in our uniform rental business, it has become increasingly important for us to source garments and other products overseas, particularly from China. To the extent we are not able to effectively source such products from China and gain the related cost savings, we may be at a further disadvantage in relation to some of our competitors.</w:t>
      </w:r>
    </w:p>
    <w:p>
      <w:pPr>
        <w:spacing w:after="0" w:line="10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operating costs and obstacles to cost recovery due to the pricing and cancellation terms of our food and support services contracts may constrain our ability to make a profit.</w:t>
      </w:r>
    </w:p>
    <w:p>
      <w:pPr>
        <w:spacing w:after="0" w:line="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profitability can be adversely affected to the extent we are faced with cost increases for food, wages, other labor related expenses (including workers' compensation, state unemployment insurance and federal or state mandated health benefits and other healthcare costs), insurance, fuel, utilities, piece goods, clothing and equipment, especially to the extent we are unable to recover such increased costs through increases in the prices for our products and services, due to one or more of general economic conditions, competitive conditions or contractual provisions in our client contracts. For example, when federal, state, foreign or local minimum wage rates increase, we may have to increase the wages of both minimum wage employees and employees whose wages are above the minimum wage. We may also face increased operating costs resulting from changes in federal, state or local laws and regulations relating to employment matters, including those relating to the classification of employees, employee eligibility for overtime and secure scheduling requirements, which often incorporate a premium pay mandate for scheduling deviations. Oil and natural gas prices have fluctuated significantly in the last several years. Substantial increases in the cost of fuel and utilities have historically resulted in substantial cost increases in our uniform rental business, and to a lesser extent in our food and support services segments. In addition, United States and foreign trade policies, tariffs and other impositions on imported goods, trade sanctions imposed on certain countries, the limitation on the importation of certain types of goods or of goods containing certain materials from other countries could increase costs in our uniform rental business. From time to time we have experienced increases in our food costs. Food prices can fluctuate as a result of permanent or temporary changes in supply, including as a result of incidences of severe weather such as droughts, heavy rains and late freezes or natural disasters. Increasing client and consumer demands relating to sustainability also can result in increased costs for our food and support services segment. We have two main types of contracts in our food and facilities business: profit and loss contracts in which we bear all of the expenses of the contract but gain the benefit of the revenue, and client interest contracts in which our clients share some or all of the expenses and gain some or all of the revenue. Approximately two-thirds of our food and support services revenue in fiscal 2019 is from profit and loss contracts under which we have limited ability to</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75"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pass on cost increases to our clients. Therefore, absent our ability to negotiate contractual changes, including pricing, we may have to absorb cost increases, which may adversely impact our operating results.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amount of risk that we bear and our profit potential vary depending on the type of contract under which we provide food and support services. We may be unable to fully recover costs on contracts that limit our ability to increase prices. In addition, we provide many of our services under contracts of indefinite term, which are subject to termination on short notice by either party without cause. Some of our profit and loss and client interest contracts contain minimum guaranteed remittances to our client regardless of our revenue or profit at the facility, typically contingent on certain future events. If revenue does not exceed costs under a contract that contains minimum guaranteed payments, we will bear any losses which are incurred, as well as the guaranteed payment. Generally, our contracts also limit our ability to raise prices on the food, beverages and merchandise we sell within a particular facility without the client's consent. In addition, some of our contracts exclude certain events or products from the scope of the contract, or give the client the right to modify the terms under which we may operate at certain events. Guaranteed payments or other guaranteed amounts to a client under a profit and loss contract that is not profitable, the refusal by individual clients to permit the sale of some products at their venues, the imposition by clients of limits on prices which are not economically feasible for us, or decisions by clients to curtail their use of the services we provide could adversely affect our revenue and results of operations. For example, during the most recent economic downturn, certain of our business &amp; industry clients curtailed their employees' use of catering, which had a negative effect on our revenue and profits.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achieve cost savings through our cost reduction efforts could impact our results of operations.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achievement of the goals we set in our plans and our future financial performance is dependent, in part, on our efforts to reduce our cost structure through various cost reduction initiatives. Successful execution of our cost reduction initiatives is not assured and there are several obstacles to success, including our ability to enable the information technology and business processes required for these efforts. In addition, there can be no assurance that our efforts, if properly executed, will result in our desired outcome of improved financial performance.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strategy involves risks.</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seek to acquire companies or interests in companies or enter into joint ventures that complement our business. Our inability to complete acquisitions, integrate acquired companies successfully or enter into joint ventures may render us less competitive. At any given time, we may be evaluating one or more acquisitions or engaging in acquisition negotiations. We cannot be sure that we will be able to continue to identify acquisition candidates or joint venture partners on commercially reasonable terms or at all. If we make acquisitions, we also cannot be sure that any benefits anticipated from the acquisitions will actually be realized. Likewise, we cannot be sure that we will be able to obtain necessary financing for acquisitions. Such financing could be restricted by the terms of our debt agreements or it could be more expensive than our current debt. The amount of such debt financing for acquisitions could be significant and the terms of such debt instruments could be more restrictive than our current covenants. In addition, our ability to control the planning and operations of our joint ventures and other less than majority-owned affiliates may be subject to numerous restrictions imposed by the joint venture agreements and majority stockholders. Our joint venture partners may also have interests which differ from ours.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process of integrating acquired operations into our existing operations may result in operating, contract and supply chain difficulties, such as the failure to retain existing clients or attract new clients, maintain relationships with suppliers and other contractual parties, or retain and integrate acquired personnel. Also, in connection with any acquisition, we could fail to discover liabilities of the acquired company for which we may be responsible as a successor owner or operator in spite of any investigation we make prior to the acquisition, resulting in additional unanticipated costs. In addition, labor laws in certain countries may require us to retain more employees than would otherwise be optimal from entities we acquire. Such integration difficulties may divert significant financial, operational and managerial resources from our existing operations and make it more difficult to achieve our operating and strategic objectives, which could have a material adverse effect on our business, financial condition or results of operations. Similarly, our business depends on effective information technology and financial reporting systems. Delays in or poor execution of the integration of these systems could disrupt our operations and increase costs, and could also potentially adversely impact the effectiveness of our disclosure controls and internal controls over financial reporting.</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Possible future acquisitions also could result in the incurrence of additional contingent liabilities and amortization expenses related to intangible assets, which could have a material adverse effect on our business, financial condition or results of operations. In addition, goodwill and other intangible assets resulting from business combinations represent a significant portion of our assets. If the goodwill or other intangible assets were deemed to be impaired, we would need to take a charge to earnings to write down the asset to its fair value. For example, in connection with the Avendra and AmeriPride acquisitions, we recorded aggregate goodwill of $895.7 million.</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75"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acquired Avendra on December 11, 2017 and AmeriPride on January 19, 2018. The success of these acquisitions depends, in part, on our ability to successfully integrate these businesses with our current operations and to realize the anticipated benefits, including synergies, from the acquisitions on a timely basis. It may take longer than expected to realize these anticipated benefits and they may ultimately be smaller than we expect. There are a number of challenges and risks involved in our ability to successfully integrate Avendra and AmeriPride with our current businesses and to realize the anticipated benefits of these acquisitions, including all of the risks identified in the paragraphs above. Any of these factors could have a material adverse effect on our business, financial condition or results of operations. For example, there are a number of factors beyond our control that could affect the amount and timing of the integration expenses that we expect to incur in connection with these acquisitions. In addition, in the short term these integration expenses are anticipated to exceed the cost savings that we expect to achieve from the elimination of duplicative expenses, realization of economies of scale and integration of the acquired businesses. During such period, these charges could negatively impact our results of operations.</w:t>
      </w:r>
    </w:p>
    <w:p>
      <w:pPr>
        <w:spacing w:after="0" w:line="10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maintain food safety throughout our supply chain and food-borne illness concerns may result in reputational harm and claims of illness or injury that could adversely affect us.</w:t>
      </w:r>
    </w:p>
    <w:p>
      <w:pPr>
        <w:spacing w:after="0" w:line="7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Food safety is a top priority for us and we dedicate substantial resources to ensuring that our consumers enjoy safe, quality food products. Claims of illness or injury relating to food quality, food handling or allergens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revenue. Even instances of food-borne illness, food tampering or contamination at a location served by one of our competitors could result in negative publicity regarding the food service industry generally and could negatively impact our revenue. Future food safety issues may also from time to time disrupt our business. In addition, product recalls or health concerns associated with food contamination may also increase our raw materials costs.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and governmental regulations relating to food and beverages may subject us to significant liability.</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laws and regulations relating to each of our food and support services segments are numerous and complex. A variety of laws and regulations at various governmental levels relating to the handling, preparation, transportation and serving of food (including, in some cases, requirements relating to the temperature of food). In addition, the cleanliness of food production facilities and the hygiene of food-handling personnel are enforced primarily at the local public health department level. There can be no assurance that we are in full compliance with all applicable laws and regulations at all times or that we will be able to comply with any future laws and regulations. Furthermore, legislation and regulatory attention to food safety is very high. Additional or amended laws or regulations in this area may significantly increase the cost of compliance or expose us to liabilities.</w:t>
      </w:r>
    </w:p>
    <w:p>
      <w:pPr>
        <w:spacing w:after="0" w:line="1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serve alcoholic beverages at many facilities, and must comply with applicable licensing laws, as well as state and local service laws, commonly called dram shop statutes. Dram shop statutes generally prohibit serving alcoholic beverages to certain persons, such as an individual who is visibly intoxicated or a minor. If we violate dram shop laws, we may be liable to the patron and/or third parties for the acts of the patron. Although we sponsor regular training programs designed to minimize the likelihood of such a situation and to take advantage of certain safe harbors and affirmative defenses established for the benefit of alcoholic beverages service providers, we cannot guarantee that visibly intoxicated or minor patrons will not be served or that liability for their acts will not be imposed on us. There can be no assurance that additional laws or regulations in this area would not limit our activities in the future or significantly increase the cost of regulatory compliance. We must also obtain and comply with the terms of licenses in order to sell alcoholic beverages in the states in which we serve alcoholic beverages. Some of our contracts require us to pay liquidated damages during any period in which the liquor license for the facility is suspended as a result of our actions, and most contracts are subject to termination if the liquor license for the facility is lost as a result of our actions.</w:t>
      </w:r>
    </w:p>
    <w:p>
      <w:pPr>
        <w:spacing w:after="0" w:line="10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requirements imposed by applicable law or other governmental regulations, we could become subject to lawsuits, investigations and other liabilities and restrictions on our operations that could significantly and adversely affect our business.</w:t>
      </w:r>
    </w:p>
    <w:p>
      <w:pPr>
        <w:spacing w:after="0" w:line="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subject to governmental regulation at the federal, state, international, national, provincial and local levels in many areas of our business, such as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labeling and sanitation laws, governmentally funded entitlement programs and cost and accounting principles, the Foreign Corrupt Practices Act, the U.K. Bribery Act, other anti-</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75"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corruption laws, lobbying laws, motor carrier safety laws, data privacy and security laws, such as the European Union General Data Protection Regulation and California Consumer Privacy Act, and alcohol licensing and service laws.</w:t>
      </w:r>
    </w:p>
    <w:p>
      <w:pPr>
        <w:spacing w:after="0" w:line="8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From time to time, governmental agencies have conducted reviews and audits of certain of our practices as part of routine investigations of providers of services under government contracts, or otherwise. Like others in our business, we also receive requests for information from government agencies in connection with these reviews and audits. While we attempt to comply with all applicable laws and regulations, there can be no assurance that we are in full compliance with all applicable laws and regulations or interpretations of these laws and regulations at all times or that we will be able to comply with any future laws, regulations or interpretations of these laws and regulations.</w:t>
      </w:r>
    </w:p>
    <w:p>
      <w:pPr>
        <w:spacing w:after="0" w:line="1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fail to comply with applicable laws and regulations, including those referred to above, we may be subject to investigations, criminal sanctions or civil remedies, including fines, penalties, damages, reimbursement, injunctions, seizures, disgorgements or debarments from government contracts or the loss of liquor licenses or the ability to operate our motor vehicles. The cost of compliance or the consequences of non-compliance, including debarments, could have a material adverse effect on our business and results of operations. In addition, government agencies may make changes in the regulatory frameworks within which we operate that may require either the corporation as a whole or individual businesses to incur substantial increases in costs in order to comply with such laws and regulations.</w:t>
      </w:r>
    </w:p>
    <w:p>
      <w:pPr>
        <w:spacing w:after="0" w:line="1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new interpretations of or changes in the enforcement of the governmental regulatory framework may affect our contracts and contract terms and may reduce our revenue or profits.</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portion of our revenue, estimated to be approximately 13% in fiscal 2019, is derived from business with U.S. federal, state and local governments and agencies. Changes or new interpretations in, or changes in the enforcement of, the statutory or regulatory framework applicable to services provided under government contracts or bidding procedures, including an adverse change in government spending policies or appropriations, budget priorities or revenue levels, particularly by our food and support services businesses, could result in fewer new contracts or contract renewals, modifications to the methods we apply to price government contracts, or in contract terms of shorter duration than we have historically experienced. Any of these changes could result in lower revenue or profits than we have historically achieved, which could have an adverse effect on our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 may subject us to significant liability and limit our ability to grow.</w:t>
      </w:r>
    </w:p>
    <w:p>
      <w:pPr>
        <w:spacing w:after="0" w:line="1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subject to various environmental protection laws and regulations, including the U.S. Federal Clean Water Act, Clean Air Act, Resource Conservation and Recovery Act, Comprehensive Environmental Response, Compensation, and Liability Act and similar federal, state and local statutes and regulations governing the use, management, and disposal of chemicals and hazardous materials. In particular, industrial laundries in our uniform rental business use certain detergents and cleaning chemicals to launder garments and other merchandise. The residues from such detergents and chemicals and residues from soiled garments and other merchandise laundered at our facilities may result in potential discharges to air and to water (through sanitary sewer systems and publicly owned treatment works) and may be contained in waste generated by our wastewater treatment systems.</w:t>
      </w:r>
    </w:p>
    <w:p>
      <w:pPr>
        <w:spacing w:after="0" w:line="1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industrial laundries are subject to certain volume and chemical air and water pollution discharge limits and monitoring, permitting and recordkeeping requirements.</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own or operate aboveground and underground storage tank systems at some locations to store petroleum products for use in our or our clients' operations, including some national parks. Certain of these storage tank systems also are subject to performance standards and periodic monitoring and recordkeeping requirements. We also may use and manage chemicals and hazardous materials in our operations from time to time. In the course of our business, we may be subject to penalties and fines and reputational harm for non-compliance with environmental protection laws and regulations and we may settle, or contribute to the settlement of, actions or claims relating to the management of underground storage tanks and the handling and disposal of chemicals or hazardous materials. We may, in the future, be required to expend material amounts to rectify the consequences of any such events.</w:t>
      </w:r>
    </w:p>
    <w:p>
      <w:pPr>
        <w:spacing w:after="0" w:line="1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changes to environmental laws may subject us to additional costs or cause us to change aspects of our business. Under U.S. federal and state environmental protection laws, as an owner or operator of real estate we may be liable for the costs of removal or remediation of certain hazardous materials located on or in or migrating from our owned or leased property or our client's properties, as well as related costs of investigation and property damage, without regard to our fault, knowledge, or responsibility for the presence of such hazardous materials. There can be no assurance that locations that we own, lease or otherwise operate, either for ourselves or for our clients, or that we may acquire in the future, have been operated in compliance with environmental laws and regulations or that future uses or conditions will not result in the imposition of liability upon us under such laws or expose us to third-party actions such as tort suits. In addition, such regulations may limit our ability to identify suitable sites for new or expanded facilities. In connection with our present or past operations and the present or past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75"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operations of our predecessors or companies that we have acquired, hazardous substances may migrate from properties on which we operate or which were operated by our predecessors or companies we acquired to other properties. We may be subject to significant liabilities to the extent that human health is adversely affected or the value of such properties is diminished by such migration.</w:t>
      </w:r>
    </w:p>
    <w:p>
      <w:pPr>
        <w:spacing w:after="0" w:line="9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business faces risks different from those we face in the United States that could have an effect on our results of operations and financial condition.</w:t>
      </w:r>
    </w:p>
    <w:p>
      <w:pPr>
        <w:spacing w:after="0" w:line="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significant portion of our revenue is derived from international business. During fiscal 2019, approximately 23% of our revenue was generated outside of the United States. We currently have a presence in 18 countries outside of the United States with approximately 118,600 personnel. We also provide our services on a more limited basis in several additional countries. Our international operations are subject to risks that are different from those we face in the United States, including the requirement to comply with changing, conflicting and unclear national and local regulatory requirements; Foreign Corrupt Practices Act, U.K. Bribery Act and other anti-corruption law compliance matters; cybersecurity and data protection laws; potential difficulties in staffing and labor disputes; differing local labor laws; managing and obtaining support and distribution for local operations; credit risk or financial condition of local clients; potential imposition of restrictions on investments; potentially adverse tax consequences, including imposition or increase of withholding, VAT and other taxes on remittances and other payments by subsidiaries; foreign exchange controls; and local political and social conditions. For example, in June 2016, the United Kingdom voted to leave the European Union ("Brexit"). Aramark has operated in the United Kingdom since 1972 and employs approximately 10,000 employees there today. While our operations in the United Kingdom do not represent a significant portion of our revenue, the United Kingdom's departure from the European Union could have a negative effect on our business there if Brexit results in a slow down of the local economy or employment environment. As a country, the United Kingdom imports half of its food supply, and any change in tariffs, customs or tax would impact our supply chain. In addition, the operating results of our non-U.S. subsidiaries are translated into U.S. dollars and those results are affected by movements in foreign currencies relative to the U.S. dollar.</w:t>
      </w:r>
    </w:p>
    <w:p>
      <w:pPr>
        <w:spacing w:after="0" w:line="11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intend to continue to develop our business in emerging countries over the long term. Emerging international operations present several additional risks, including greater fluctuation in currencies relative to the U.S. dollar; economic and governmental instability; civil disturbances; volatility in gross domestic production; and nationalization and expropriation of private assets.</w:t>
      </w:r>
    </w:p>
    <w:p>
      <w:pPr>
        <w:spacing w:after="0" w:line="9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foregoing factors will not have a material adverse effect on our international operations or on our consolidated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or further unionization of our workforce may increase our costs and work stoppages could damage our business.</w:t>
      </w:r>
    </w:p>
    <w:p>
      <w:pPr>
        <w:spacing w:after="0" w:line="14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Approximately 43,000 employees in our North America operations are represented by unions and covered by collective bargaining agreements. The continued or further unionization of a significantly greater portion of our workforce could increase our overall costs at the affected locations and adversely affect our flexibility to run our business in the most efficient manner to remain competitive or acquire new business. In addition, any significant increase in the number of work stoppages at our various operations could adversely affect our business, financial condition or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liability as a result of our participation in multiemployer defined benefit pension plans.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number of our locations operate under collective bargaining agreements. Under some of these agreements, we are obligated to contribute to multiemployer defined benefit pension plans. As a contributing employer to such plans, should we trigger either a “complete” or a “partial withdrawal,” we would be subject to withdrawal liability (or partial withdrawal liability) for our proportionate share of any unfunded vested benefits. In addition, if a multiemployer defined benefit pension plan fails to satisfy the minimum funding standards, we could be liable to increase our contributions to meet minimum funding standards. Also, if another participating employer withdraws from the plan or experiences financial difficulty, including bankruptcy, our obligation could increase. The financial status of certain of the plans to which we contribute has deteriorated in the recent past and continues to deteriorate and we proactively monitor the financial status of these and the other multiemployer defined benefit pension plans in which we participate. In addition, any increased funding obligations for underfunded multiemployer defined benefit pension plans could have an adverse financial impact on us.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the suppliers from whom our products are sourced could adversely affect our results of operations.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raw materials we use in our business and the finished products we sell are sourced from a wide variety of domestic and international suppliers. We seek to require our suppliers to comply with applicable laws and otherwise be certified as meeting our supplier standards of conduct. Our ability to find qualified suppliers who meet our standards, and to access raw materials and finished products in a timely and efficient manner is a challenge, especially with respect to suppliers located and goods sourced outside the United States. Insolvency experienced by suppliers could make it difficult for us to source the items we need to run our business. Political and economic stability in the countries in which foreign suppliers are located, the financial</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75"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stability of suppliers, suppliers' failure to meet our supplier standards, labor problems experienced by our suppliers, the availability of raw materials to suppliers, cybersecurity issues, currency exchange rates, transport availability and cost, tariffs, inflation and other factors relating to the suppliers and the countries in which they are located are beyond our control. United States foreign trade policies, tariffs and other impositions on imported goods, trade sanctions imposed on certain countries, the limitation on the importation of certain types of goods or of goods containing certain materials from other countries and other factors relating to foreign trade are beyond our control. If one of our suppliers were to violate the law, or engage in conduct that results in adverse publicity, our reputation may be harmed simply due to our association with that supplier. These and other factors affecting our suppliers and our access to raw materials and finished products could adversely affect our results of operations.</w:t>
      </w:r>
    </w:p>
    <w:p>
      <w:pPr>
        <w:spacing w:after="0" w:line="10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fiscal 2019, one distributor distributed approximately 48% of our food and non-food products in the United States and Canada, and if our relationship or their business were to be disrupted, we could experience disruptions to our operations and cost structure.</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we negotiate the pricing and other terms for the majority of our purchases of food and related products in the U.S. and Canada directly with national manufacturers, we purchase these products and other items through Sysco Corporation and other distributors. Sysco, the main U.S. and Canadian distributor of our food and non-food products, and other distributors are responsible for tracking our orders and delivering products to our specific locations. If our relationship with, or the business of, Sysco were to be disrupted, we would have to arrange alternative distributors and our operations and cost structure could be adversely affected in the short term. Similarly, a sudden termination of the relationship with a significant provider in other geographic areas could in the short term adversely affect our ability to provide services and disrupt our client relationships in such areas.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we are unable to hire and retain sufficient qualified personnel or if labor costs increase.</w:t>
      </w:r>
    </w:p>
    <w:p>
      <w:pPr>
        <w:spacing w:after="0" w:line="14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From time to time, we have had difficulty in hiring and retaining qualified management personnel, particularly at the entry management level. We will continue to have significant requirements to hire such personnel. At times when the United States or other geographic regions experience reduced levels of unemployment, there may be a shortage of qualified workers at all levels. Given that our workforce requires large numbers of entry level and skilled workers and managers, low levels of unemployment when such conditions exist or mismatches between the labor markets and our skill requirements can compromise our ability in certain areas of our businesses to continue to provide quality service or compete for new business. We are also impacted by the costs and other effects of compliance with U.S. and international regulations affecting our workforce. These regulations are increasingly focused on employment issues, including wage and hour, healthcare, immigration, retirement and other employee benefits and workplace practices. Compliance and claims of non-compliance with these regulations could result in liability and expense to us. We also regularly hire a large number of part-time and seasonal workers, particularly in our food and support services segments. Any difficulty we may encounter in hiring such workers, including difficulties caused by immigration policies, could result in significant increases in labor costs, which could have a material adverse effect on our business, financial condition and results of operations. Competition for labor has at times resulted in wage increases in the past and future competition could substantially increase our labor costs. Due to the labor intensive nature of our businesses and the fact that two-thirds of our food and support services segments' revenue is from profit and loss contracts under which we have limited ability to pass along cost increases, a shortage of labor or increases in wage levels in excess of normal levels could have a material adverse effect on our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contract intensive and may lead to client disputes.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business is contract intensive and we are parties to many contracts with clients all over the world. Our client interest contracts provide that client billings, and for some contracts the sharing of profits and losses, are based on our determinations of costs of service. Contract terms under which we base these determinations and, for certain government contracts, regulations governing our cost determinations, may be subject to differing interpretations which could result in disputes with our clients from time to time. Clients generally have the right to audit our contracts, and we periodically review our compliance with contract terms and provisions. If clients were to dispute our contract determinations, the resolution of such disputes in a manner adverse to our interests could negatively affect revenue and operating results. While we do not believe any reviews, audits or other such matters should result in material adjustments, if a large number of our client arrangements were modified in response to any such matter, the effect could be materially adverse to our business or results of operations.</w:t>
      </w:r>
    </w:p>
    <w:p>
      <w:pPr>
        <w:spacing w:after="0" w:line="100"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reputation may be adversely affected by disruptions to or breaches of our information systems or if our data is otherwise compromised.</w:t>
      </w:r>
    </w:p>
    <w:p>
      <w:pPr>
        <w:spacing w:after="0" w:line="7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are increasingly utilizing information technology systems, including with respect to administrative functions, financial and operational data, ordering, point-of-sale processing and payment and the management of our supply chain, to enhance the efficiency of our business and to improve the overall experience of our customers. We maintain confidential, proprietary and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75"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personal information about, or on behalf of, our potential, current and former clients, customers, employees and other third parties in these systems or engage third parties in connection with storage and processing of this information. Such information includes large volumes of employee, client and third party data, including credit card numbers, social security numbers, healthcare information and other personal information. Our systems and the systems of our vendors and other third parties are subject to damage or interruption from power outages, computer or telecommunication failures, computer viruses, catastrophic events and implementation delays or difficulties, as well as usage errors by our employees or third party service providers. These systems are also vulnerable to an increasing threat of rapidly evolving cyber-based attacks, including malicious software, attempts to gain unauthorized access to data, including through phishing emails, attempts to fraudulently induce employees or others to disclose information, the exploitation of software and operating vulnerabilities, and physical device tampering/skimming at card reader units. The techniques used to obtain unauthorized access, disable or degrade service or sabotage systems change frequently, may be difficult to detect for a long time and often are not recognized until after an attack is launched or occurs. As a result, we and such third parties may be unable to anticipate these techniques or to implement adequate preventative measures. In addition, we or such third parties may decide to upgrade existing information technology systems from time to time to support the needs of our business and growth strategy and the risk of system disruption is increased when significant system changes are undertaken. During the normal course of business, we have experienced and expect to continue to experience attempts to compromise our information systems, although none, to our knowledge, has had a material adverse effect on our business, financial condition or results of operations. Any damage to, or compromise or breach of our systems or the systems of our vendors could impair our ability to conduct our business, result in transaction errors, result in corruption or loss of accounting or other data, which could cause delays in our financial reporting, and result in a violation of applicable privacy and other laws, significant legal and financial exposure, reputational damage, adverse publicity, and a loss of confidence in our security measures. Any such event could cause us to incur substantial costs, including costs associated with systems remediation, client protection, litigation, lost revenue or the failure to retain or attract clients following an attack. The failure to properly respond to any such event could also result in similar exposure to liability. While we maintain insurance coverage that may cover certain aspects of cyber risks, such insurance coverage may be unavailable or insufficient to cover all losses or all types of claims that may arise. Further, as cybersecurity risks evolve, such insurance may not be available to us on commercially reasonable terms, or at all. The occurrence of some or all of the foregoing could have a material adverse effect on our results of operations, financial condition, business, and reputation.</w:t>
      </w:r>
    </w:p>
    <w:p>
      <w:pPr>
        <w:spacing w:after="0" w:line="10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are subject to numerous laws and regulations in the U.S. and internationally as well as contractual obligations and other security standards, each designed to protect the information of clients, customers, employees, and other third parties that we collect and maintain, such as the European Union General Data Protection Regulation (the “GDPR”), which took effect in May 2018, and the California Consumer Privacy Act of 2018 (the "CCPA"), which is scheduled to take effect on January 1, 2020. A failure to comply with the GDPR could result in fines of up to 4% of annual global revenue. The CCPA provides for significant statutory fines and creates a private right of action for certain data breaches. Because we accept debit and credit cards for payment from clients and customers, we are also subject to various industry data protection standards and protocols, such as payment network security operating guidelines and the Payment Card Industry Data Security Standard. In certain circumstances, payment card association rules and obligations make us liable to payment card issuers if information in connection with payment cards and payment card transactions that we hold is compromised, which liabilities could be substantial. These laws, regulations and obligations are increasing in complexity and number, change frequently and increasingly conflict among the various countries in which we operate. Other jurisdictions, including other states in the U.S., have enacted or are enacting similar data protection laws, and/or are considering data localization laws that require data to stay within their borders. Our systems and the systems maintained or used by third parties and service providers may not be able to satisfy these changing legal and regulatory requirements, or may require significant additional investments or time to do so. If we fail to comply with these laws or regulations, we could be subject to significant litigation, monetary damages, regulatory enforcement actions or fines in one or more jurisdictions and we could experience a material adverse effect on our results of operations, financial condition and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controls could adversely affect our business and stock price.</w:t>
      </w:r>
    </w:p>
    <w:p>
      <w:pPr>
        <w:spacing w:after="0" w:line="14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the effectiveness of which is evaluated based upon criteria established in Internal Control - Integrated Framework (2013) by the Committee of Sponsoring Organizations of the Treadway Commission. Internal control over financial reporting is a process to provide reasonable assurance regarding the reliability of financial reporting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A significant financial reporting failure or material weakness in internal control over financial reporting could cause a loss of investor confidence and decline in the market price of our common stock.</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7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4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leverage could adversely affect our ability to raise additional capital to fund our operations, limit our ability to react to changes in the economy or our industries, expose us to interest rate risk to the extent of our variable rate debt and prevent us from meeting our obligations.</w:t>
      </w:r>
    </w:p>
    <w:p>
      <w:pPr>
        <w:spacing w:after="0" w:line="7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are highly leveraged. As of September 27, 2019, our outstanding indebtedness was $6,682.2 million. We had additional availability of $897.8 million under our revolving credit facilities as of that date.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degree of leverage could have important consequences, including:</w:t>
      </w:r>
    </w:p>
    <w:p>
      <w:pPr>
        <w:spacing w:after="0" w:line="144" w:lineRule="exact"/>
        <w:rPr>
          <w:sz w:val="20"/>
          <w:szCs w:val="20"/>
          <w:color w:val="auto"/>
        </w:rPr>
      </w:pPr>
    </w:p>
    <w:p>
      <w:pPr>
        <w:ind w:left="980" w:right="2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certain of our borrowings, including borrowings under our senior secured credit facilities and our receivables facility, are at variable rates of interest;</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make payments on our indebtedness;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economic and industry conditions;</w:t>
      </w:r>
    </w:p>
    <w:p>
      <w:pPr>
        <w:spacing w:after="0" w:line="14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dedicated to the payment of principal and interest on our indebtedness, thereby reducing our ability to use our cash flow to fund our operations, capital expenditures and future business opportunities;</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144"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debt service requirements, acquisitions and general corporate or other purposes;</w:t>
      </w:r>
    </w:p>
    <w:p>
      <w:pPr>
        <w:spacing w:after="0" w:line="80"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changing market conditions and placing us at a competitive disadvantage compared to our competitors who are less highly leveraged; and</w:t>
      </w:r>
    </w:p>
    <w:p>
      <w:pPr>
        <w:spacing w:after="0" w:line="80"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benefit from tax deductions for such payments under certain interest expense limitation rules included in the Tax Cuts and Jobs Act of 2017.</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subject to the restrictions contained in our senior secured credit facilities and the indentures governing our senior notes. If new indebtedness is added to our current debt levels, the related risks that we now face could increase.</w:t>
      </w:r>
    </w:p>
    <w:p>
      <w:pPr>
        <w:spacing w:after="0" w:line="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July 27, 2017, the U.K. Financial Conduct Authority announced that it intends to stop persuading or compelling banks to submit LIBOR rates after 2021. It is unclear if at that time whether or not LIBOR will cease to exist or if new methods of calculating LIBOR will be established such that it continues to exist after 2021. Recent proposals for LIBOR reforms may result in the establishment of new methods of calculating LIBOR or the establishment of one or more alternative benchmark rates. Although our Credit Agreement provides for application of successor rates based on prevailing market conditions, it is not currently possible to predict the effect of any establishment of alternative reference rates or any other reforms to LIBOR that may be enacted in the United Kingdom or elsewhere.</w:t>
      </w:r>
    </w:p>
    <w:p>
      <w:pPr>
        <w:spacing w:after="0" w:line="4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financial performance were to deteriorate, we may not be able to generate sufficient cash to service all of our indebtedness and may be forced to take other actions to satisfy our obligations under our indebtedness, which may not be successful.</w:t>
      </w:r>
    </w:p>
    <w:p>
      <w:pPr>
        <w:spacing w:after="0" w:line="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While we believe that we currently have adequate cash flows to service our indebtedness, if our financial performance were to deteriorate significantly, we might be unable to maintain a level of cash flows from operating activities sufficient to permit us to pay the principal, premium, if any, and interest on our indebtedness.</w:t>
      </w:r>
    </w:p>
    <w:p>
      <w:pPr>
        <w:spacing w:after="0" w:line="9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due to such a deterioration in our financial performance, our cash flows and capital resources were to be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if we were required to raise additional capital in the current financial markets, the terms of such financing, if available, could result in higher costs and greater restrictions on our business. In addition, although none of our long-term borrowings mature prior to 2021, if we were to need to refinance our existing indebtedness, the conditions in the financial markets at that time could make it difficult to refinance our existing indebtedness on acceptable terms or at all. If such alternative measures proved unsuccessful, we could face substantial liquidity problems and might be required to dispose of material assets or operations to meet our debt service and other obligations. Our senior secured credit agreement and the indentures governing our senior notes restrict our ability to dispose of assets and use the proceeds from any disposition of assets and to refinance our indebtedness. We may not be able to consummate those</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75"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dispositions or to obtain the proceeds that we could realize from them and these proceeds may not be adequate to meet any debt service obligations then due.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restrictions that limit our flexibility in operating our business.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senior secured credit agreement and the indentures governing our senior notes contain various covenants that limit our ability to engage in specified types of transactions. These covenants limit our and our restricted subsidiaries' ability to, among other things:</w:t>
      </w:r>
    </w:p>
    <w:p>
      <w:pPr>
        <w:spacing w:after="0" w:line="81"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refinance or restructure indebtedness or issue certain preferred shares;</w:t>
      </w:r>
    </w:p>
    <w:p>
      <w:pPr>
        <w:spacing w:after="0" w:line="144"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our capital stock, make unscheduled payments on our notes, repurchase or redeem our senior notes or make other restricted payments;</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our assets;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14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our senior secured revolving credit facility requires us to satisfy and maintain specified financial ratios and other financial condition tests. Our ability to meet those financial ratios and tests can be affected by events beyond our control, and in the event of a significant deterioration of our financial performance, there can be no assurance that we will satisfy those ratios and tests. A breach of any of these covenants could result in a default under the senior secured credit agreement. Upon our failure to maintain compliance with these covenants that is not waived by the lenders under the revolving credit facility, the lenders under the senior secured credit facilities could elect to declare all amounts outstanding under the senior secured credit facilities to be immediately due and payable and terminate all commitments to extend further credit under such facilities. If we were unable to repay those amounts, the lenders under the senior secured credit facilities could proceed against the collateral granted to them to secure that indebtedness. We have pledged a significant portion of our assets as collateral under the senior secured credit agreement. If the lenders under the senior secured credit facilities accelerate the repayment of borrowings, there can be no assurance that we will have sufficient assets to repay those borrowings, as well as our unsecured indebtedness. If our senior secured indebtedness was accelerated by the lenders as a result of a default, our senior notes may become due and payable as well. Any such acceleration may also constitute an amortization event under our receivables facility, which could result in the amount outstanding under that facility becoming due and payable.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4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price may change significantly, and you may not be able to resell shares of our common stock at or above the price you paid or at all, and you could lose all or part of your investment as a result.</w:t>
      </w:r>
    </w:p>
    <w:p>
      <w:pPr>
        <w:spacing w:after="0" w:line="7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as reported by the NYSE, could fluctuate due to a number of factors such as those listed in “—Risks Related to Our Business” and include, but are not limited to, the following, some of which are beyond our control:</w:t>
      </w:r>
    </w:p>
    <w:p>
      <w:pPr>
        <w:spacing w:after="0" w:line="81"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by securities analysts and investors;</w:t>
      </w:r>
    </w:p>
    <w:p>
      <w:pPr>
        <w:spacing w:after="0" w:line="144"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or our vendors of significant contracts, acquisitions, divestitures, joint marketing relationships, joint ventures or capital commitments;</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third parties of significant claims or proceedings against us;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domestic and international economic conditions;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and sudden changes in senior management.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75"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Furthermore, the stock market has experienced extreme volatility that, in some cases, has been unrelated or disproportionate to the operating performance of particular companies. These broad market and industry fluctuations may adversely affect the market price of our common stock, regardless of our actual operating performance.</w:t>
      </w:r>
    </w:p>
    <w:p>
      <w:pPr>
        <w:spacing w:after="0" w:line="9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77" w:lineRule="exact"/>
        <w:rPr>
          <w:sz w:val="20"/>
          <w:szCs w:val="20"/>
          <w:color w:val="auto"/>
        </w:rPr>
      </w:pPr>
    </w:p>
    <w:p>
      <w:pPr>
        <w:ind w:right="100" w:firstLine="4"/>
        <w:spacing w:after="0" w:line="349"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pay dividends on our common stock, and our indebtedness could limit our ability to pay dividends on our common stock.</w:t>
      </w:r>
    </w:p>
    <w:p>
      <w:pPr>
        <w:spacing w:after="0" w:line="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Payment of cash dividends on our common stock is subject to our compliance with applicable law and depends on, among other things, our results of operations, financial condition, level of indebtedness, capital requirements, contractual restrictions, business prospects and other factors that our board of directors may deem relevant. Our senior secured credit facilities and the indentures governing our senior notes contain, and the terms of any future indebtedness we or our subsidiaries incur may contain, limitations on our ability to pay dividends. For more information, see Item 7. "Management's Discussion and Analysis of Financial Condition and Results of Operations." Although we have paid cash dividends in the past, there can be no assurance that we will continue to pay any dividend in the future.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144"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our annual meetings;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4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upon the affirmative vote of the holders of at least 75% in voting power of all the then-outstanding common stock of the company entitled to vote thereon, voting together as a single class; and</w:t>
      </w:r>
    </w:p>
    <w:p>
      <w:pPr>
        <w:spacing w:after="0" w:line="80"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may be amended only by the affirmative vote of the holders of at least 75% in voting power of all the then-outstanding common stock of the company entitled to vote thereon, voting together as a single class.</w:t>
      </w:r>
    </w:p>
    <w:p>
      <w:pPr>
        <w:spacing w:after="0" w:line="8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third-party to acquire us, even if the third-party's offer may be considered beneficial by many of our stockholders. As a result, our stockholders may be limited in their ability to obtain a premium for their shares.</w:t>
      </w:r>
    </w:p>
    <w:p>
      <w:pPr>
        <w:spacing w:after="0" w:line="7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with certain limited exceptions, unless we consent in writing to the selection of an alternative forum, the Court of Chancery of the State of Delaware will be the sole and exclusive forum for any stockholder (including any beneficial owner) to bring (i) any derivative action or proceeding brought on our behalf, (ii) any action asserting a claim of breach of fiduciary duty owed by any director or officer of the Company owed to us or our stockholders, creditors or other constituents, (iii) any action asserting a claim against us or any director or officer of the Company arising pursuant to any provision of the Delaware General Corporation Law or our amended and restated certificate of incorporation or our amended and restated bylaws, or (iv) any action asserting a claim against the Company or any director or officer of the Company governed by the internal affairs doctrine. Any person or entity purchasing or otherwise acquiring any interest in shares of our capital stock is deemed to have received notice of and consented to the foregoing provisions.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175" w:right="27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principal executive offices are currently leased at 2400 Market Street, Philadelphia, Pennsylvania 19103. Our principal real estate is primarily comprised of Uniform facilities. As of September 27, 2019, we operated 404 service facilities in our Uniform segment, consisting of industrial laundries, cleanroom laundries, warehouses, distribution centers, satellites, depots, stand alone garages, shared service centers and administrative offices that are located in 43 states, Mexico, Canada and Puerto Rico. Of these, approximately 51% are leased and approximately 49% are owned. We own six buildings that we use in our FSS United States segment, including several office/warehouse spaces, and we lease 134 premises, consisting of offices, office/warehouses and distribution centers. In addition, we own a distribution center, one office and seven other properties and lease 74 facilities throughout the world that we use in our FSS International segment. We also maintain other real estate and leasehold improvements, which we use in the Uniform and FSS segments. No individual parcel of real estate owned or leased is of material significance to our total assets.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175" w:right="29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September 27, 2019.</w:t>
      </w:r>
    </w:p>
    <w:p>
      <w:pPr>
        <w:spacing w:after="0" w:line="1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time to time, the Company and its subsidiaries are party to various legal actions, proceedings and investigations involving claims incidental to the conduct of their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proceedings or investigations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2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75"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as of November 26, 2019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With Aramark</w:t>
            </w:r>
          </w:p>
        </w:tc>
        <w:tc>
          <w:tcPr>
            <w:tcW w:w="0" w:type="dxa"/>
            <w:vAlign w:val="bottom"/>
          </w:tcPr>
          <w:p>
            <w:pPr>
              <w:spacing w:after="0"/>
              <w:rPr>
                <w:sz w:val="1"/>
                <w:szCs w:val="1"/>
                <w:color w:val="auto"/>
              </w:rPr>
            </w:pPr>
          </w:p>
        </w:tc>
      </w:tr>
      <w:tr>
        <w:trPr>
          <w:trHeight w:val="212"/>
        </w:trPr>
        <w:tc>
          <w:tcPr>
            <w:tcW w:w="2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Age</w:t>
            </w:r>
          </w:p>
        </w:tc>
        <w:tc>
          <w:tcPr>
            <w:tcW w:w="6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Since</w:t>
            </w:r>
          </w:p>
        </w:tc>
        <w:tc>
          <w:tcPr>
            <w:tcW w:w="0" w:type="dxa"/>
            <w:vAlign w:val="bottom"/>
          </w:tcPr>
          <w:p>
            <w:pPr>
              <w:spacing w:after="0"/>
              <w:rPr>
                <w:sz w:val="1"/>
                <w:szCs w:val="1"/>
                <w:color w:val="auto"/>
              </w:rPr>
            </w:pPr>
          </w:p>
        </w:tc>
      </w:tr>
      <w:tr>
        <w:trPr>
          <w:trHeight w:val="176"/>
        </w:trPr>
        <w:tc>
          <w:tcPr>
            <w:tcW w:w="258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16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J. Zillmer</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0"/>
                <w:szCs w:val="20"/>
                <w:color w:val="auto"/>
              </w:rPr>
            </w:pPr>
          </w:p>
        </w:tc>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70"/>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Stephen P. Bramlage, Jr.</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23"/>
                <w:szCs w:val="23"/>
                <w:color w:val="auto"/>
              </w:rPr>
            </w:pPr>
          </w:p>
        </w:tc>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270"/>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Lynn B. McKee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3"/>
                <w:szCs w:val="23"/>
                <w:color w:val="auto"/>
              </w:rPr>
            </w:pPr>
          </w:p>
        </w:tc>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Executive Vice President, Human Resources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1980</w:t>
            </w:r>
          </w:p>
        </w:tc>
        <w:tc>
          <w:tcPr>
            <w:tcW w:w="0" w:type="dxa"/>
            <w:vAlign w:val="bottom"/>
          </w:tcPr>
          <w:p>
            <w:pPr>
              <w:spacing w:after="0"/>
              <w:rPr>
                <w:sz w:val="1"/>
                <w:szCs w:val="1"/>
                <w:color w:val="auto"/>
              </w:rPr>
            </w:pPr>
          </w:p>
        </w:tc>
      </w:tr>
      <w:tr>
        <w:trPr>
          <w:trHeight w:val="270"/>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Lauren A. Harrington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23"/>
                <w:szCs w:val="23"/>
                <w:color w:val="auto"/>
              </w:rPr>
            </w:pPr>
          </w:p>
        </w:tc>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0" w:type="dxa"/>
            <w:vAlign w:val="bottom"/>
          </w:tcPr>
          <w:p>
            <w:pPr>
              <w:spacing w:after="0"/>
              <w:rPr>
                <w:sz w:val="1"/>
                <w:szCs w:val="1"/>
                <w:color w:val="auto"/>
              </w:rPr>
            </w:pPr>
          </w:p>
        </w:tc>
      </w:tr>
      <w:tr>
        <w:trPr>
          <w:trHeight w:val="270"/>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Keith Bethel</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3"/>
                <w:szCs w:val="23"/>
                <w:color w:val="auto"/>
              </w:rPr>
            </w:pPr>
          </w:p>
        </w:tc>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Growth Officer</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1991</w:t>
            </w:r>
          </w:p>
        </w:tc>
        <w:tc>
          <w:tcPr>
            <w:tcW w:w="0" w:type="dxa"/>
            <w:vAlign w:val="bottom"/>
          </w:tcPr>
          <w:p>
            <w:pPr>
              <w:spacing w:after="0"/>
              <w:rPr>
                <w:sz w:val="1"/>
                <w:szCs w:val="1"/>
                <w:color w:val="auto"/>
              </w:rPr>
            </w:pPr>
          </w:p>
        </w:tc>
      </w:tr>
      <w:tr>
        <w:trPr>
          <w:trHeight w:val="270"/>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 A. Bruno</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3"/>
                <w:szCs w:val="23"/>
                <w:color w:val="auto"/>
              </w:rPr>
            </w:pPr>
          </w:p>
        </w:tc>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Operating Office, U.S. Food and Facilities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1993</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John J. Zillmer </w:t>
      </w:r>
      <w:r>
        <w:rPr>
          <w:rFonts w:ascii="Times New Roman" w:cs="Times New Roman" w:eastAsia="Times New Roman" w:hAnsi="Times New Roman"/>
          <w:sz w:val="18"/>
          <w:szCs w:val="18"/>
          <w:color w:val="auto"/>
        </w:rPr>
        <w:t>was appointed Chief Executive Officer and a member of the Board in October 2019. Prior to joining us, Mr. Zillmer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and Executive Chairman of Univar from 2009 to 2012. Prior to that, he served as Chairman and Chief Executive Officer of Allied Waste Industries from 2005 to 2008 and various positions at Aramark, including Vice President of Operating Systems, Regional Vice President, Area Vice President, Executive Vice President Business Dining Services, President of Business Services Group, President of International and President of Global Food and Support Services, from 1986 to 2005. Mr. Zillmer serves on the board of directors as Non-Executive Chairman of CSX Corporation, as well as board of directors of Veritiv Corporation and Ecolab, Inc. Mr. Zillmer was formerly on the board of directors of Performance Food Group (PFG) Company, Inc. and Reynolds American Inc.</w:t>
      </w:r>
    </w:p>
    <w:p>
      <w:pPr>
        <w:spacing w:after="0" w:line="1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Stephen P. Bramlage, Jr. </w:t>
      </w:r>
      <w:r>
        <w:rPr>
          <w:rFonts w:ascii="Times New Roman" w:cs="Times New Roman" w:eastAsia="Times New Roman" w:hAnsi="Times New Roman"/>
          <w:sz w:val="18"/>
          <w:szCs w:val="18"/>
          <w:color w:val="auto"/>
        </w:rPr>
        <w:t>was appointed Executive Vice President and Chief Financial Officer in April 2015. Prior to joining us, Mr. Bramlage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Vice President and Chief Financial Officer of Owens-Illinois, Inc. from 2012 to March 2015. Prior to that, he served as President of Owens-Illinois Asia Pacific from 2011 to 2012; General Manager of Owens-Illinois New Zealand from 2010 to 2011; Vice President of Finance of Owens-Illinois, Inc. from 2008 to 2010; Vice President and Chief Financial Officer of Owens-Illinois Europe in 2008; and Vice President and Treasurer of Owens-Illinois, Inc. from 2006 to 2008.</w:t>
      </w:r>
    </w:p>
    <w:p>
      <w:pPr>
        <w:spacing w:after="0" w:line="9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Lynn B. McKee </w:t>
      </w:r>
      <w:r>
        <w:rPr>
          <w:rFonts w:ascii="Times New Roman" w:cs="Times New Roman" w:eastAsia="Times New Roman" w:hAnsi="Times New Roman"/>
          <w:sz w:val="18"/>
          <w:szCs w:val="18"/>
          <w:color w:val="auto"/>
        </w:rPr>
        <w:t>was appointed Executive Vice President, Human Resources in May 2004. From August 2012 to August 2013, Ms. McKee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Vice President, Human Resources and Communications. From January 2004 to May 2004, Ms. McKee served as our Senior Vice President of Human Resources and from 2001 to 2003, she served as Senior Vice President of Human Resources for our Food and Support Services Group. From 1998 to 2001, she served as our Staff Vice President, Executive Development and Compensation. Ms. McKee serves on the board of directors of Bryn Mawr Bank Co.</w:t>
      </w:r>
    </w:p>
    <w:p>
      <w:pPr>
        <w:spacing w:after="0" w:line="9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Lauren A. Harrington </w:t>
      </w:r>
      <w:r>
        <w:rPr>
          <w:rFonts w:ascii="Times New Roman" w:cs="Times New Roman" w:eastAsia="Times New Roman" w:hAnsi="Times New Roman"/>
          <w:sz w:val="18"/>
          <w:szCs w:val="18"/>
          <w:color w:val="auto"/>
        </w:rPr>
        <w:t>was appointed Senior Vice President and General Counsel in March 2019. From August 2009 to March 2019, Ms. Harrington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Vice President and Associate General Counsel and from May 2006 to August 2009, she served as Assistant General Counsel. Before joining us, Ms. Harrington was an Associate at WilmerHale LLP.</w:t>
      </w:r>
    </w:p>
    <w:p>
      <w:pPr>
        <w:spacing w:after="0" w:line="90"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Keith Bethel </w:t>
      </w:r>
      <w:r>
        <w:rPr>
          <w:rFonts w:ascii="Times New Roman" w:cs="Times New Roman" w:eastAsia="Times New Roman" w:hAnsi="Times New Roman"/>
          <w:sz w:val="18"/>
          <w:szCs w:val="18"/>
          <w:color w:val="auto"/>
        </w:rPr>
        <w:t>was appointed Chief Growth Officer in October 2016. From June 2016 to September 2016, Mr. Bethel served as Executive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for Facilities, Healthcare and Higher Education, and from October 2013 to May 2016, he served as Executive Vice President, Growth for Higher Education. From February 2011 to October 2013, Mr. Bethel served as Regional Vice President, East for Higher Education. Prior to that, he served as Vice President, Compliance for K-12 from 2009 to 2011 and various other positions for our Healthcare Group, including Vice President Operations, District Manager, General Manager, Assistant Director, Retail Manager and Catering Manager, from 1991 to 2009.</w:t>
      </w:r>
    </w:p>
    <w:p>
      <w:pPr>
        <w:spacing w:after="0" w:line="9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Marc A. Bruno </w:t>
      </w:r>
      <w:r>
        <w:rPr>
          <w:rFonts w:ascii="Times New Roman" w:cs="Times New Roman" w:eastAsia="Times New Roman" w:hAnsi="Times New Roman"/>
          <w:sz w:val="18"/>
          <w:szCs w:val="18"/>
          <w:color w:val="auto"/>
        </w:rPr>
        <w:t>was appointed Chief Operating Officer, U.S. Food and Facilities on November 19, 2019. From 2018 to November 2019, Mr. Bruno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Chief Operating Officer, Sports, Leisure, Corrections, Facilities and K-12. From 2014 to 2018, Mr. Bruno served as Chief Operating Officer, Sports, Leisure and Corrections. From 2008 to 2014, he served as President, Sports and Entertainment, and prior to that he served in various other positions within our food and support services business from 1993 to 2008. Mr. Bruno serves on the board of directors of United Rentals Inc.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75"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ind w:right="1760"/>
        <w:spacing w:after="0" w:line="409"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Shares of our common stock began trading on December 12, 2013 and are quoted on the New York Stock Exchange (“NYSE”) under the ticker symbol “ARMK.” Prior to that date, there was no public market for our common stock. As of November 22, 2019, there were approximately 1,021 holders of record of our outstanding common stock. This does not include persons who hold our common stock in nominee or “street name” accounts through brokers or banks.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w:t>
      </w:r>
    </w:p>
    <w:p>
      <w:pPr>
        <w:spacing w:after="0" w:line="146" w:lineRule="exact"/>
        <w:rPr>
          <w:sz w:val="20"/>
          <w:szCs w:val="20"/>
          <w:color w:val="auto"/>
        </w:rPr>
      </w:pPr>
    </w:p>
    <w:p>
      <w:pPr>
        <w:ind w:right="280"/>
        <w:spacing w:after="0" w:line="315" w:lineRule="auto"/>
        <w:rPr>
          <w:sz w:val="20"/>
          <w:szCs w:val="20"/>
          <w:color w:val="auto"/>
        </w:rPr>
      </w:pPr>
      <w:r>
        <w:rPr>
          <w:rFonts w:ascii="Times New Roman" w:cs="Times New Roman" w:eastAsia="Times New Roman" w:hAnsi="Times New Roman"/>
          <w:sz w:val="17"/>
          <w:szCs w:val="17"/>
          <w:i w:val="1"/>
          <w:iCs w:val="1"/>
          <w:color w:val="auto"/>
        </w:rPr>
        <w:t>This performance graph and related information shall not be deemed “filed” for purposes of Section 18 of the Exchange Act, or incorporated by reference into any filing of Aramark under the Securities Act or the Exchange Act, except as shall be expressly set forth by specific reference in such filing.</w:t>
      </w:r>
    </w:p>
    <w:p>
      <w:pPr>
        <w:spacing w:after="0" w:line="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October 3, 2014, the last trading day of fiscal 2014, through September 27, 2019 of the cumulative total return for our common stock, The Standard &amp; Poor’s (“S&amp;P”) 500 Stock Index and The Dow Jones Consumer Non-Cyclical Index. The graph assumes that $100 was invested in the Company’s common stock and in each index at the market close on October 3, 2014 and assumes that all dividends were reinvested.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74295</wp:posOffset>
            </wp:positionV>
            <wp:extent cx="4570730" cy="2280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7073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 2014</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 2015</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Aramark</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Dow Jones Consumer Non-Cyclical Index</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were no unregistered sales of equity securities during the fiscal year ended September 27, 2019 which have not been previously disclosed in a quarterly report on Form 10-Q or a current report on Form 8-K.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repurchases of equity securities by the Company in the fourth fiscal quarter ended September 27, 2019.</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75"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Selected Financial Data</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consolidated financial data. This information should be read in conjunction with the audited consolidated financial statements and the related notes thereto, Management’s Discussion and Analysis of Financial Condition and Results of Operations, and Risk Factors sections, each included elsewhere in this Annual Report on Form 10-K.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gridSpan w:val="6"/>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Fiscal Year Ended on or near</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r>
              <w:rPr>
                <w:rFonts w:ascii="Times New Roman" w:cs="Times New Roman" w:eastAsia="Times New Roman" w:hAnsi="Times New Roman"/>
                <w:sz w:val="8"/>
                <w:szCs w:val="8"/>
                <w:b w:val="1"/>
                <w:bCs w:val="1"/>
                <w:color w:val="auto"/>
              </w:rPr>
              <w:t>(1)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2019</w:t>
            </w:r>
            <w:r>
              <w:rPr>
                <w:rFonts w:ascii="Times New Roman" w:cs="Times New Roman" w:eastAsia="Times New Roman" w:hAnsi="Times New Roman"/>
                <w:sz w:val="8"/>
                <w:szCs w:val="8"/>
                <w:b w:val="1"/>
                <w:bCs w:val="1"/>
                <w:color w:val="auto"/>
              </w:rPr>
              <w:t>(2)(3)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2018</w:t>
            </w:r>
            <w:r>
              <w:rPr>
                <w:rFonts w:ascii="Times New Roman" w:cs="Times New Roman" w:eastAsia="Times New Roman" w:hAnsi="Times New Roman"/>
                <w:sz w:val="8"/>
                <w:szCs w:val="8"/>
                <w:b w:val="1"/>
                <w:bCs w:val="1"/>
                <w:color w:val="auto"/>
              </w:rPr>
              <w:t>(3)(4)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2017</w:t>
            </w:r>
            <w:r>
              <w:rPr>
                <w:rFonts w:ascii="Times New Roman" w:cs="Times New Roman" w:eastAsia="Times New Roman" w:hAnsi="Times New Roman"/>
                <w:sz w:val="8"/>
                <w:szCs w:val="8"/>
                <w:b w:val="1"/>
                <w:bCs w:val="1"/>
                <w:color w:val="auto"/>
              </w:rPr>
              <w:t>(4)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2016</w:t>
            </w:r>
            <w:r>
              <w:rPr>
                <w:rFonts w:ascii="Times New Roman" w:cs="Times New Roman" w:eastAsia="Times New Roman" w:hAnsi="Times New Roman"/>
                <w:sz w:val="8"/>
                <w:szCs w:val="8"/>
                <w:b w:val="1"/>
                <w:bCs w:val="1"/>
                <w:color w:val="auto"/>
              </w:rPr>
              <w:t>(4)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2015</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49"/>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16,227.3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15,789.6</w:t>
            </w:r>
          </w:p>
        </w:tc>
        <w:tc>
          <w:tcPr>
            <w:tcW w:w="12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14,604.4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14,415.8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14,329.1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504.0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625.2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5"/>
                <w:szCs w:val="25"/>
                <w:color w:val="auto"/>
                <w:vertAlign w:val="superscript"/>
              </w:rPr>
              <w:t>(5)</w:t>
            </w:r>
          </w:p>
        </w:tc>
        <w:tc>
          <w:tcPr>
            <w:tcW w:w="2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Net income attributable to Aramark stockholders</w:t>
            </w:r>
            <w:r>
              <w:rPr>
                <w:rFonts w:ascii="Times New Roman" w:cs="Times New Roman" w:eastAsia="Times New Roman" w:hAnsi="Times New Roman"/>
                <w:sz w:val="25"/>
                <w:szCs w:val="25"/>
                <w:color w:val="auto"/>
                <w:vertAlign w:val="superscript"/>
              </w:rPr>
              <w:t>(5)</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567.9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Basic earnings per share attributable to Aramark stockholders</w:t>
            </w:r>
            <w:r>
              <w:rPr>
                <w:rFonts w:ascii="Times New Roman" w:cs="Times New Roman" w:eastAsia="Times New Roman" w:hAnsi="Times New Roman"/>
                <w:sz w:val="25"/>
                <w:szCs w:val="25"/>
                <w:color w:val="auto"/>
                <w:vertAlign w:val="superscript"/>
              </w:rPr>
              <w:t>(5)</w:t>
            </w:r>
          </w:p>
        </w:tc>
        <w:tc>
          <w:tcPr>
            <w:tcW w:w="2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 attributable to Aramark</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800" w:type="dxa"/>
            <w:vAlign w:val="bottom"/>
            <w:shd w:val="clear" w:color="auto" w:fill="CCEEFF"/>
          </w:tcPr>
          <w:p>
            <w:pPr>
              <w:ind w:left="40"/>
              <w:spacing w:after="0" w:line="262" w:lineRule="exact"/>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5"/>
                <w:szCs w:val="25"/>
                <w:color w:val="auto"/>
                <w:vertAlign w:val="superscript"/>
              </w:rPr>
              <w:t>(5)</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13,736.3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13,720.1</w:t>
            </w:r>
          </w:p>
        </w:tc>
        <w:tc>
          <w:tcPr>
            <w:tcW w:w="12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11,006.2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10,582.1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10,196.4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5,190.3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5,184.6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3,029.6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1,883.4</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fiscal year ends on the Friday nearest to September 30th. Fiscal years 2019, 2018, 2017, 2016 and 2015 refer to the fiscal years</w:t>
      </w:r>
    </w:p>
    <w:p>
      <w:pPr>
        <w:spacing w:after="0" w:line="27" w:lineRule="exact"/>
        <w:rPr>
          <w:rFonts w:ascii="Times New Roman" w:cs="Times New Roman" w:eastAsia="Times New Roman" w:hAnsi="Times New Roman"/>
          <w:sz w:val="18"/>
          <w:szCs w:val="18"/>
          <w:color w:val="auto"/>
        </w:rPr>
      </w:pPr>
    </w:p>
    <w:p>
      <w:pPr>
        <w:ind w:left="500" w:right="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September 27, 2019, September 28, 2018, September 29, 2017, September 30, 2016 and October 2, 2015, respectively. All periods presented were fifty-two week years.</w:t>
      </w:r>
    </w:p>
    <w:p>
      <w:pPr>
        <w:spacing w:after="0" w:line="96" w:lineRule="exact"/>
        <w:rPr>
          <w:rFonts w:ascii="Times New Roman" w:cs="Times New Roman" w:eastAsia="Times New Roman" w:hAnsi="Times New Roman"/>
          <w:sz w:val="18"/>
          <w:szCs w:val="18"/>
          <w:color w:val="auto"/>
        </w:rPr>
      </w:pPr>
    </w:p>
    <w:p>
      <w:pPr>
        <w:ind w:left="500" w:right="280" w:hanging="492"/>
        <w:spacing w:after="0" w:line="315" w:lineRule="auto"/>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Includes impact of the adoption of Accounting Standards Codification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and the sale of our Healthcare Technologies business in the first quarter of fiscal 2019 (see Notes 7 and 2, respectively, to the audited consolidated financial statements).</w:t>
      </w:r>
    </w:p>
    <w:p>
      <w:pPr>
        <w:spacing w:after="0" w:line="56" w:lineRule="exact"/>
        <w:rPr>
          <w:rFonts w:ascii="Times New Roman" w:cs="Times New Roman" w:eastAsia="Times New Roman" w:hAnsi="Times New Roman"/>
          <w:sz w:val="17"/>
          <w:szCs w:val="17"/>
          <w:color w:val="auto"/>
        </w:rPr>
      </w:pPr>
    </w:p>
    <w:p>
      <w:pPr>
        <w:ind w:left="500" w:right="2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impact of the acquisitions of Avendra and AmeriPride. To finance these acquisitions, we entered into a U.S. dollar denominated term loan due 2025 and issued 5.000% Senior Notes due 2028.</w:t>
      </w:r>
    </w:p>
    <w:p>
      <w:pPr>
        <w:spacing w:after="0" w:line="80"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income and Interest and Other Financing Costs, net were restated to reflect the adoption of Accounting Standards Update 2017-07, </w:t>
      </w:r>
      <w:r>
        <w:rPr>
          <w:rFonts w:ascii="Times New Roman" w:cs="Times New Roman" w:eastAsia="Times New Roman" w:hAnsi="Times New Roman"/>
          <w:sz w:val="18"/>
          <w:szCs w:val="18"/>
          <w:i w:val="1"/>
          <w:iCs w:val="1"/>
          <w:color w:val="auto"/>
        </w:rPr>
        <w:t xml:space="preserve">Compensation - Retirement Benefits (Topic 715): Improving the Presentation of Net Periodic Pension Cost and Net Periodic Postretirement Benefit Cost </w:t>
      </w:r>
      <w:r>
        <w:rPr>
          <w:rFonts w:ascii="Times New Roman" w:cs="Times New Roman" w:eastAsia="Times New Roman" w:hAnsi="Times New Roman"/>
          <w:sz w:val="18"/>
          <w:szCs w:val="18"/>
          <w:color w:val="auto"/>
        </w:rPr>
        <w:t>(see Note 1 to the audited consolidated financial statements).</w:t>
      </w:r>
    </w:p>
    <w:p>
      <w:pPr>
        <w:spacing w:after="0" w:line="95" w:lineRule="exact"/>
        <w:rPr>
          <w:rFonts w:ascii="Times New Roman" w:cs="Times New Roman" w:eastAsia="Times New Roman" w:hAnsi="Times New Roman"/>
          <w:sz w:val="18"/>
          <w:szCs w:val="18"/>
          <w:color w:val="auto"/>
        </w:rPr>
      </w:pPr>
    </w:p>
    <w:p>
      <w:pPr>
        <w:ind w:left="500" w:right="10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2018, the federal statutory income tax rate decreased from 35.0% to 21.0% through the passage of the "Tax Cuts and Jobs Act." This resulted in a non cash tax benefit of approximately $237.8 million recorded in fiscal 2018 to the provision (benefit) for income taxes on the Consolidated Statements of Income.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75"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4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Aramark's (the "Company, "we," "our" and "us") financial condition and results of operations for the fiscal years ended September 27, 2019 and September 28, 2018 should be read in conjunction with Selected Consolidated Financial Data and our audited consolidated financial statements and the notes to those statements. Discussion and analysis of our financial condition and results of operations for the fiscal year ended September 28, 2018 compared to the fiscal year ended September 29, 2017 is included under the heading Item 7 “Management’s Discussion and Analysis of Financial Condition and Results of Operations - Results of Operations - Fiscal 2018 Compared to Fiscal 2017 and - Liquidity and Capital Resources” in our Annual Report on Form 10-K filed for the fiscal year ended September 28, 2018 with the Securities and Exchange Commission ("SEC") on November 21, 2018.</w:t>
      </w:r>
    </w:p>
    <w:p>
      <w:pPr>
        <w:spacing w:after="0" w:line="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set forth under "Risk Factors," "Special Note About Forward-looking Statements" and "Business" sections and elsewhere in this Annual Report on Form 10-K ("Annual Report"). In the following discussion and analysis of financial condition and results of operations, certain financial measures may be considered “non-GAAP financial measures” under SEC rules. These rules require supplemental explanation and reconciliation, which is provided elsewhere in this Annual Report on Form 10-K.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education, healthcare, business, sports, leisure and corrections clients. Through these partnerships we serve millions of consumers including students, patients, employees, sports fans and guests worldwide.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in three reportable segments:</w:t>
      </w:r>
    </w:p>
    <w:p>
      <w:pPr>
        <w:spacing w:after="0" w:line="144" w:lineRule="exact"/>
        <w:rPr>
          <w:sz w:val="20"/>
          <w:szCs w:val="20"/>
          <w:color w:val="auto"/>
        </w:rPr>
      </w:pPr>
    </w:p>
    <w:p>
      <w:pPr>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United States ("FSS United States") - Food, refreshment, specialized dietary and support services, including facility maintenance and housekeeping, provided to business, educational and healthcare institutions and in sports, leisure and other facilities serving the general public in the United States.</w:t>
      </w:r>
    </w:p>
    <w:p>
      <w:pPr>
        <w:spacing w:after="0" w:line="95" w:lineRule="exact"/>
        <w:rPr>
          <w:rFonts w:ascii="Times New Roman" w:cs="Times New Roman" w:eastAsia="Times New Roman" w:hAnsi="Times New Roman"/>
          <w:sz w:val="18"/>
          <w:szCs w:val="18"/>
          <w:color w:val="auto"/>
        </w:rPr>
      </w:pPr>
    </w:p>
    <w:p>
      <w:pPr>
        <w:ind w:left="980" w:hanging="324"/>
        <w:spacing w:after="0" w:line="25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International ("FSS International") - Food, refreshment, specialized dietary and support services, including facility maintenance and housekeeping, provided to business, educational and healthcare institutions and in sports, leisure and other facilities serving the general public. We have operations in 18 countries outside the United States. Our largest international operations are in Canada, Chile, China, Germany, Ireland and the United Kingdom, and in a majority of these countries we are one of the leading food and/or facility services providers. We also have operations in Japan through our 50% ownership of AIM Services Co., Ltd., which is a leader in providing outsourced food services in Japan.</w:t>
      </w:r>
    </w:p>
    <w:p>
      <w:pPr>
        <w:spacing w:after="0" w:line="106" w:lineRule="exact"/>
        <w:rPr>
          <w:rFonts w:ascii="Times New Roman" w:cs="Times New Roman" w:eastAsia="Times New Roman" w:hAnsi="Times New Roman"/>
          <w:sz w:val="18"/>
          <w:szCs w:val="18"/>
          <w:color w:val="auto"/>
        </w:rPr>
      </w:pPr>
    </w:p>
    <w:p>
      <w:pPr>
        <w:ind w:left="980" w:right="180" w:hanging="324"/>
        <w:spacing w:after="0" w:line="25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Uniform and Career Apparel ("Uniform") - Provides a full service employee uniform solution, including design, sourcing and manufacturing, delivery, cleaning and maintenance on a contract basis. We directly market personalized uniforms and accessories, provide managed restroom services and rent uniforms, work clothing, outerwear, particulate-free garments and non-garment items and related services, including mats, shop towels and first aid supplies, to clients in a wide range of industries in the United States, Canada, Puerto Rico and through a joint venture in Japan, including the manufacturing, transportation, construction, restaurant and hotel, healthcare and pharmaceutical industries.</w:t>
      </w:r>
    </w:p>
    <w:p>
      <w:pPr>
        <w:spacing w:after="0" w:line="1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fiscal 2018, we acquired Avendra, LLC ("Avendra") and AmeriPride Services, Inc. ("AmeriPride") in separate transactions (see Note 2 to the audited consolidated financial statements). The Avendra acquisition consideration was $1,386.4 million, partially offset by $87.3 million of cash and restricted investments acquired. The AmeriPride acquisition consideration was $995.4 million, partially offset by $84.9 million of cash acquired. We incurred new debt to finance both the Avendra and AmeriPride acquisitions. Our earnings have been impacted and we expect to continue to be impacted for some period following</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75"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closings as a result of these acquisitions, due to, among other factors, merger and integration costs as well as depreciation and amortization resulting from purchase accounting and higher interest expense as a result of the new debt to finance the transactions. As a part of the integration of Avendra and AmeriPride, we have incurred $92 million of charges and expect to incur approximately $25 million to $30 million of additional charges over the next 12 months.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2018, we launched the next phase of our program related to food, labor and selling and general administrative initiatives to generate additional cost savings. These initiatives include a reduction in headcount through reorganization and integration. Efforts related to this phase have resulted in charges of approximately $46 million during fiscal 2019, which includes $8.2 million for the relocation of our headquarters facility. The Company completed this cost savings phase as of September 27, 2019.</w:t>
      </w:r>
    </w:p>
    <w:p>
      <w:pPr>
        <w:spacing w:after="0" w:line="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August 26, 2019, we announced that Eric J. Foss stepped down from his role as Chairman, President and Chief Executive Officer, effective as of August 25, 2019. We recognized $12.1 million of charges related to his separation from us, of which $10.4 million related to cash compensation. These amounts are expected to be paid through fiscal 2021.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w:t>
      </w:r>
    </w:p>
    <w:p>
      <w:pPr>
        <w:spacing w:after="0" w:line="67"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On November 9, 2018, we completed the sale of our wholly-owned Healthcare Technologies ("HCT") business for $293.7 million in cash. The transaction resulted in a pretax gain of $156.3 million (tax effected gain of $139.2 million) in the audited Consolidated Statements of Income for the fiscal year ended September 27, 2019. We evaluated the business under the rules for discontinued operations and concluded it did not meet all of the criteria required.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w:t>
      </w:r>
    </w:p>
    <w:p>
      <w:pPr>
        <w:spacing w:after="0" w:line="2"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clients engage us, generally through written contracts, to provide our services at their locations. Depending on the type of client and service, we are paid either by our client or directly by the consumer to whom we have been provided access by our client. We typically use either profit and loss contracts or client interest contracts in our FSS United States and FSS International segments. These contracts differ in their provision for the amount of financial risk we bear and, accordingly, the potential compensation, profits or fees we may receive. Under profit and loss contracts, we receive all of the revenue from, and bear all of the expenses of, the provision of our services at a client location. For fiscal 2019, approximately two-thirds of our FSS United States and FSS International segment revenue was derived from profit and loss contracts. Client interest contracts include management fee contracts, under which our clients reimburse our operating costs and pay us a 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customer satisfaction surveys. For fiscal 2019, approximately one-third of our FSS United States and FSS International segment revenue was derived from client interest contracts.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our Uniform segment, we typically serve our rental clients under written service contracts for an initial term of three to five years. As the majority of our clients purchase on a recurring basis, our backlog of orders at any given time consists principally of orders in the process of being filled. With the exception of certain governmental bid business, most of our direct marketing business is conducted under invoice arrangement with repeat clients. To a large degree, our direct marketing business is relationship-driven. While we have long-term relationships with our larger clients, we generally do not have contracts with these clients.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costs and expenses are comprised of cost of services provided, depreciation and amortization and selling and general corporate expenses. Cost of services provided consists of direct expenses associated with our operations, which includes food costs, wages, other labor-related expenses (including workers' compensation, state unemployment insurance and federal or state mandated health benefits and other healthcare costs), insurance, fuel, utilities, piece goods and clothing and equipment. Depreciation and amortization expenses mainly relate to assets used in generating revenue. Selling and general corporate expenses include sales commissions, share-based compensation and other unallocated costs related to administrative functions including finance, legal, human resources and information technology.</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75"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Financing Costs, net</w:t>
      </w:r>
    </w:p>
    <w:p>
      <w:pPr>
        <w:spacing w:after="0" w:line="14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Interest and other financing costs, net, relates primarily to interest expense on long-term borrowings. Interest and other financing costs, net also includes third-party costs associated with long-term borrowings that were capitalized and are being amortized over the term of the borrowing.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provision for income taxes represents federal, foreign, state and local income taxes. Our effective tax rate differs from the statutory U.S. income tax rate due to the effect of state and local income taxes, tax rates in foreign jurisdictions, tax credits and certain nondeductible expenses. Our effective tax rate will change from quarter to quarter based on recurring and nonrecurring factors including, but not limited to, the geographical mix of earnings, state and local income taxes, tax audit settlements, share-based award exercise activity and enacted tax legislation, including certain business tax credits. Both the fiscal 2019 and fiscal 2018 income tax provisions were impacted by U.S. tax reform enacted in the "Tax Cuts and Jobs Act" (see Note 9 to the audited consolidated financial statements). Changes in judgment due to the evaluation of new information resulting in the recognition, derecognition or remeasurement of a tax position taken in a prior annual period are recognized separately in the quarter of the change.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w:t>
      </w:r>
    </w:p>
    <w:p>
      <w:pPr>
        <w:spacing w:after="0" w:line="1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fiscal year is the fifty-two or fifty-three week period which ends on the Friday nearest to September 30th. The fiscal years ended September 27, 2019 and September 28, 2018 are both fifty-two week periods.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75"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2019 Compared to Fiscal 2018</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present an overview of our results on a consolidated and segment basis with the amount of and percentage change between periods for the fiscal years 2019 and 2018 (dollars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4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69"/>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16,227.3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15,789.6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437.7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7"/>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services provided</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14,532.7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13,997.9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534.8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959.7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Healthcare Technologies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15,336.1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14,971.2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364.9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47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47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568.4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22"/>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4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FSS 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9,898.6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10,137.8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FSS International</w:t>
            </w: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3,742.9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3,655.8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87.1</w:t>
            </w:r>
          </w:p>
        </w:tc>
        <w:tc>
          <w:tcPr>
            <w:tcW w:w="1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7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Uniform</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2,585.8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1,996.0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589.8</w:t>
            </w:r>
          </w:p>
        </w:tc>
        <w:tc>
          <w:tcPr>
            <w:tcW w:w="16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w:t>
            </w:r>
          </w:p>
        </w:tc>
      </w:tr>
      <w:tr>
        <w:trPr>
          <w:trHeight w:val="257"/>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16,227.3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15,789.6</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437.7</w:t>
            </w:r>
          </w:p>
        </w:tc>
        <w:tc>
          <w:tcPr>
            <w:tcW w:w="1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90"/>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4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Income by Segment</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FSS 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34.1</w:t>
            </w:r>
          </w:p>
        </w:tc>
        <w:tc>
          <w:tcPr>
            <w:tcW w:w="16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FSS International</w:t>
            </w: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4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Uniform</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16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gridSpan w:val="2"/>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818.4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72.8</w:t>
            </w:r>
          </w:p>
        </w:tc>
        <w:tc>
          <w:tcPr>
            <w:tcW w:w="16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firstLine="8"/>
        <w:spacing w:after="0" w:line="251" w:lineRule="auto"/>
        <w:tabs>
          <w:tab w:leader="none" w:pos="152"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As a percentage of total revenue, FSS United States represented 61% and 64%, FSS International represented 23% and 23% and Uniform represented 16% and 13% for fiscal 2019 and fiscal 2018, respectively. The fiscal 2019 percentages were impacted by the adoption of Accounting Standards Codification ("ASC") 606 (see Note 7 to the audited consolidated financial statements). Revenue and operating income in fiscal 2019 for the FSS United States segment were also impacted by the sale of HCT in the first quarter of fiscal 2019 (see Note 2 to the audited consolidated financial statements). Fiscal 2018 operating income was impacted by the adoption of ASU 2017-07, </w:t>
      </w:r>
      <w:r>
        <w:rPr>
          <w:rFonts w:ascii="Times New Roman" w:cs="Times New Roman" w:eastAsia="Times New Roman" w:hAnsi="Times New Roman"/>
          <w:sz w:val="14"/>
          <w:szCs w:val="14"/>
          <w:i w:val="1"/>
          <w:iCs w:val="1"/>
          <w:color w:val="auto"/>
        </w:rPr>
        <w:t>Compensation - Retirement Benefits (Topic 715): Improving the Presentation of Net Periodic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Pension Cost and Net Periodic Postretirement Benefit Cost </w:t>
      </w:r>
      <w:r>
        <w:rPr>
          <w:rFonts w:ascii="Times New Roman" w:cs="Times New Roman" w:eastAsia="Times New Roman" w:hAnsi="Times New Roman"/>
          <w:sz w:val="14"/>
          <w:szCs w:val="14"/>
          <w:color w:val="auto"/>
        </w:rPr>
        <w:t>(see Note 1 to the audited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increased by approximately 3% during fiscal 2019 compared to the prior year period. The increase was attributable to:</w:t>
      </w:r>
    </w:p>
    <w:p>
      <w:pPr>
        <w:spacing w:after="0" w:line="14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FSS International segment (approximately 2%) and our Uniform segment (approximately 1%);</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the Sports, Leisure &amp; Corrections sector in our FSS United States segment (approximately 1%);</w:t>
      </w:r>
    </w:p>
    <w:p>
      <w:pPr>
        <w:spacing w:after="0" w:line="14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new revenue recognition standard mainly from certain fees previously recognized as a reduction to “Cost of services provided,” that are now recognized in “Revenue" in our Uniform segment (approximately 2%);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due to the Avendra and AmeriPride acquisitions (approximately 1%); which more than offset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divestiture of HCT (approximately -2%);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of foreign currency translation (approximately -2%).</w:t>
      </w:r>
    </w:p>
    <w:p>
      <w:pPr>
        <w:sectPr>
          <w:pgSz w:w="11900" w:h="16838" w:orient="portrait"/>
          <w:cols w:equalWidth="0" w:num="1">
            <w:col w:w="11420"/>
          </w:cols>
          <w:pgMar w:left="240" w:top="17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75"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cost of services provided by segment and as a percent of revenue for the fiscal years ended September 27, 2019 and September 28, 2018.</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6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64"/>
        </w:trPr>
        <w:tc>
          <w:tcPr>
            <w:tcW w:w="6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Cost of services provided</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FSS United States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8,851.5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8,956.9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FSS International</w:t>
            </w: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3,517.1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3,428.8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Uniform</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2,164.1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1,612.2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57"/>
        </w:trPr>
        <w:tc>
          <w:tcPr>
            <w:tcW w:w="6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14,532.7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13,997.9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percentages attributable to the components in cost of services provided for fiscal 2019 and fiscal 2018.</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20" w:type="dxa"/>
            <w:vAlign w:val="bottom"/>
            <w:tcBorders>
              <w:bottom w:val="single" w:sz="8" w:color="auto"/>
            </w:tcBorders>
            <w:gridSpan w:val="3"/>
          </w:tcPr>
          <w:p>
            <w:pPr>
              <w:jc w:val="right"/>
              <w:ind w:right="1494"/>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64"/>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Cost of services provided components</w:t>
            </w:r>
          </w:p>
        </w:tc>
        <w:tc>
          <w:tcPr>
            <w:tcW w:w="22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1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49"/>
        </w:trPr>
        <w:tc>
          <w:tcPr>
            <w:tcW w:w="70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Food and support service costs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Personnel costs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Other direct costs</w:t>
            </w:r>
          </w:p>
        </w:tc>
        <w:tc>
          <w:tcPr>
            <w:tcW w:w="1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Operating income increased by approximately $72.8 million during fiscal 2019 compared to the prior year period. The increase in operating income was attributable to:</w:t>
      </w:r>
    </w:p>
    <w:p>
      <w:pPr>
        <w:spacing w:after="0" w:line="8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from the divestiture of the HCT business (approximately $156.3 million);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profit related to the acquisitions of Avendra and AmeriPride and lower merger and integration costs (approximately $41.1 million);</w:t>
      </w:r>
    </w:p>
    <w:p>
      <w:pPr>
        <w:spacing w:after="0" w:line="144"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share-based compensation expense primarily related to an increase in the prior year actual and expected attainment percentages related to the fiscal 2016 and fiscal 2017 Performance Stock Unit ("PSU") grants, respectively, and a decrease in the actual and expected attainment percentages in the current year related to the fiscal 2017 and fiscal 2018 PSU grants, respectively, (approximately $33.0 million);</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severance and consulting costs related to streamlining initiatives (approximately $22.2 million);</w:t>
      </w:r>
    </w:p>
    <w:p>
      <w:pPr>
        <w:spacing w:after="0" w:line="144"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profit in the Sports, Leisure and Corrections sector in our FSS United States segment, including income relating to the recovery of our investment (possessory interest) at one of the National Park Service ("NPS") sites (approximately $16.2 million); partially offset by</w:t>
      </w:r>
    </w:p>
    <w:p>
      <w:pPr>
        <w:spacing w:after="0" w:line="80"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personnel costs, including employee incentive expenses related to the annual bonus (approximately $87.6 million) and employer retirement matching contributions (approximately $12.4 million) and expenses for employee reinvestments funded by benefits from U.S. tax reform (approximately $74.9 million);</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decline in the Business &amp; Industry sector and from the divestiture of HCT (approximately $30.2 million);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certain legal settlements (approximately $27.9 million);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 cash impairment charges related to various assets (approximately $14.8 million);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compensation charges related to the retirement of our former chief executive officer (approximately $10.4 million);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costs mainly related to customer contracts within our FSS International segment (approximately $10.3 million);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legal and other professional fees related to the Mantle Ridge Group (approximately $7.7 million).</w:t>
      </w:r>
    </w:p>
    <w:p>
      <w:pPr>
        <w:spacing w:after="0" w:line="14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Interest and Other Financing Costs, net, decreased 3% during fiscal 2019 compared to the prior year period. The decrease for fiscal 2019 was primarily due to lower refinancing activity expenses compared to fiscal 2018 of $15.6 million and an increase in favorable returns on our interest rate swaps of $11.7 million, partially offset by higher borrowings from the financing in fiscal 2018 for the Avendra and AmeriPride acquisitions.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75"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effective income tax rate for fiscal 2019 was 19.4% compared to (20.5)% in the prior year. The increase in the effective tax rate in fiscal 2019 was driven by prior year one-time benefits resulting from a reduction in the U.S. federal statutory rate from 35% to 21% and the re-measurement of our deferred tax assets and liabilities as a result of the “Tax Cuts and Jobs Act." A non cash benefit of approximately $237.8 million was recorded to the provision (benefit) for income taxes for fiscal 2018 in the Consolidated Statements of Income as a result of U.S. tax reform, the impact of certain permanently reinvested foreign earnings and certain other tax adjustments. The effective tax rate for fiscal 2019 also includes a tax benefit of approximately $10.4 million, mainly as a result of U.S. tax reform (see Note 9 to the audited consolidated financial statements) and a $17 million tax provision related to the sale of HCT (see Note 2 to the audited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United States Segment</w:t>
      </w:r>
    </w:p>
    <w:p>
      <w:pPr>
        <w:spacing w:after="0" w:line="14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FSS United States reportable segment consists of five sectors which have similar economic characteristics and are aggregated into a single operating segment. The five sectors of the FSS United States reportable segment are Business &amp; Industry, Education, Healthcare, Sports, Leisure &amp; Corrections and Facilities &amp; Other.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each of these sectors is summarized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4"/>
        </w:trPr>
        <w:tc>
          <w:tcPr>
            <w:tcW w:w="6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2"/>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 &amp; Industry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1,587.0</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1,550.6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3,228.8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3,239.6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Healthcare</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2,557.5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2,445.1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Facilities &amp; Other</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1,591.8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1,610.4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9,898.6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10,137.8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Healthcare, Education and Facilities &amp; Other sectors generally have high-single digit operating income margins and the Business &amp; Industry and Sports, Leisure &amp; Corrections sectors generally have mid-single digit operating income margins.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FSS United States segment revenue decreased by approximately 2% during fiscal 2019 compared to the prior year period. The decrease was attributable to:</w:t>
      </w:r>
    </w:p>
    <w:p>
      <w:pPr>
        <w:spacing w:after="0" w:line="14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Healthcare sector revenue resulting from the divestiture of HCT (approximately -29% of Healthcare sector);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Facilities &amp; Other sector revenue resulting from a decline in base business within our facilities business; which more than offset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Sports, Leisure &amp; Corrections sector revenue resulting from new business and base business growth in stadiums and arenas;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Business &amp; Industry sector revenue resulting from new business and base business growth.</w:t>
      </w:r>
    </w:p>
    <w:p>
      <w:pPr>
        <w:spacing w:after="0" w:line="14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Operating income increased by approximately $34.1 million during fiscal 2019 compared to the prior year period. The increase in operating income was attributable to:</w:t>
      </w:r>
    </w:p>
    <w:p>
      <w:pPr>
        <w:spacing w:after="0" w:line="8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from the divestiture of the HCT business (approximately $156.3 million);</w:t>
      </w:r>
    </w:p>
    <w:p>
      <w:pPr>
        <w:spacing w:after="0" w:line="14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profit in the Sports, Leisure and Corrections sector, including income relating to the recovery of our investment (possessory interest) at one of the NPS sites (approximately $16.2 million);</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severance charges related to streamlining initiatives (approximately $9.3 million); and</w:t>
      </w:r>
    </w:p>
    <w:p>
      <w:pPr>
        <w:spacing w:after="0" w:line="14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profit related to the acquisition of Avendra and lower merger and integration costs (approximately $7.9 million); which more than offset</w:t>
      </w:r>
    </w:p>
    <w:p>
      <w:pPr>
        <w:spacing w:after="0" w:line="80"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personnel costs, including employee incentive expenses related to the annual bonus (approximately $45.0 million) and employer retirement matching contributions (approximately $7.8 million) and expenses for employee reinvestments funded by benefits from U.S. tax reform (approximately $58.7 million);</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decline in the Business &amp; Industry sector and from the divestiture of HCT (approximately $30.2 million);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certain legal settlements (approximately $11.1 million);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75"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 cash impairment charges related to various assets ($11.1 million).</w:t>
      </w:r>
    </w:p>
    <w:p>
      <w:pPr>
        <w:spacing w:after="0" w:line="1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 and operating income were both negatively impacted during fiscal 2018 by natural disasters, specifically the wildfires at Yosemite National Park. The impact to the FSS United States segment was an approximate $28 million decline in revenue and an approximate $9 million decline in operating income, which includes $5 million of recoveries under our insurance program.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International Segment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FSS International segment revenue increased by approximately 2% during fiscal 2019 compared to the prior year period. The increase was attributable to:</w:t>
      </w:r>
    </w:p>
    <w:p>
      <w:pPr>
        <w:spacing w:after="0" w:line="14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across all regions; partially offset by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of foreign currency translation (approximately 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2019, the consolidation of a joint venture contributed approximately 1% revenue growth.</w:t>
      </w:r>
    </w:p>
    <w:p>
      <w:pPr>
        <w:spacing w:after="0" w:line="14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Operating income increased by approximately $0.5 million during fiscal 2019 compared to the prior year period. The increase in operating income was attributable to:</w:t>
      </w:r>
    </w:p>
    <w:p>
      <w:pPr>
        <w:spacing w:after="0" w:line="8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growth in Germany, Canada, China, South America and our 50% joint venture ownership in AIM Services Co. Ltd. in Japan;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charges related to a joint venture partner liquidation and related acquisition (approximately $7.5 million);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severance costs related to streamlining initiatives (approximately $4.3 million); partially offset by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personnel costs, including employee incentive expenses related to the annual bonus (approximately $24.4 million);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costs mainly related to customer contracts (approximately $10.3 million);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of foreign currency translation (approximately $3.4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Uniform Segment</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Uniform segment revenue increased by approximately 30% during fiscal 2019 compared to the prior year period. The increase was primarily from the adoption of the new revenue recognition standard mainly from certain fees previously recognized as a reduction to “Cost of services provided” that are now recognized in “Revenue” (approximately 19%) and growth within our uniform rental business. The acquisition of AmeriPride contributed approximately 8% to revenue growth in fiscal 2019.</w:t>
      </w:r>
    </w:p>
    <w:p>
      <w:pPr>
        <w:spacing w:after="0" w:line="9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Operating income increased by approximately $9.9 million during fiscal 2019 compared to the prior year period. The increase in operating income was attributable to:</w:t>
      </w:r>
    </w:p>
    <w:p>
      <w:pPr>
        <w:spacing w:after="0" w:line="8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growth related to the acquisition of AmeriPride and our legacy uniform rental business;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merger and integration related costs from the AmeriPride acquisition (approximately $8.0 million); and</w:t>
      </w:r>
    </w:p>
    <w:p>
      <w:pPr>
        <w:spacing w:after="0" w:line="14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prior year environmental reserve related to a reassessment of the monitoring period of respective sites (approximately $5.0 million); which more than offset</w:t>
      </w:r>
    </w:p>
    <w:p>
      <w:pPr>
        <w:spacing w:after="0" w:line="80"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personnel costs, including employee incentive expenses related to the annual bonus ($13.6 million) and employer retirement matching contributions (approximately $4.7 million) and expenses for employee reinvestments funded by benefits from U.S. tax reform (approximately $14.4 million);</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certain legal settlements (approximately $5.1 million);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 cash impairment charges (approximately $3.7 million); and</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received in fiscal 2018 as a result of favorable loss experience in older insurance years under our casualty insurance program (approximately $3.4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4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Corporate expenses, those administrative expenses not allocated to the business segments, decreased by approximately $28.3 million during fiscal 2019 compared to the prior year period. The decrease was attributable to:</w:t>
      </w:r>
    </w:p>
    <w:p>
      <w:pPr>
        <w:spacing w:after="0" w:line="81" w:lineRule="exact"/>
        <w:rPr>
          <w:sz w:val="20"/>
          <w:szCs w:val="20"/>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share-based compensation expense primarily related to an increase in the prior year actual and expected attainment percentages related to the fiscal 2016 and fiscal 2017 PSU grants, respectively, and a decrease in the actual</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175" w:right="29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and expected attainment percentages in the current year related to the fiscal 2017 and fiscal 2018 PSU grants, respectively, (approximately $33.0 million);</w:t>
      </w:r>
    </w:p>
    <w:p>
      <w:pPr>
        <w:spacing w:after="0" w:line="8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acquisition related costs from the Avendra and AmeriPride acquisitions (approximately $25.3 million);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consulting costs (approximately $5.8 million); partially offset by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certain legal settlements (approximately $11.7 million);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compensation charges related to the retirement of our former chief executive officer (approximately $10.4 million);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legal and other professional fees related to the Mantle Ridge Group (approximately $7.7 million);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 fees related to the divestiture of HCT (approximately $6.1 million);</w:t>
      </w:r>
    </w:p>
    <w:p>
      <w:pPr>
        <w:spacing w:after="0" w:line="14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personnel costs, including employee incentive expenses related to the annual bonus (approximately $4.6 million) and expenses for employee reinvestments funded by benefits from U.S. tax reform (approximately $1.4 million);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fair value of certain gasoline and diesel agreements (a loss of approximately $5.0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generated from operating activities, funds from borrowings and existing cash on hand. As of September 27, 2019, we had $246.6 million of cash and cash equivalents and approximately $897.8 million of availability under our senior secured revolving credit facility. A significant portion of our cash and cash equivalents is held in mature, liquid geographies where we have operations. As of September 27, 2019, there was approximately $881.9 million of outstanding foreign currency borrowings.</w:t>
      </w:r>
    </w:p>
    <w:p>
      <w:pPr>
        <w:spacing w:after="0" w:line="9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We believe that our cash generated from operations, cash and cash equivalents and the unused portion of our committed credit availability under the senior secured revolving credit facility will be adequate to meet anticipated cash requirements to fund working capital, capital spending, debt service obligations, refinancings, dividends and other cash needs. As part of our ongoing liquidity assessments, we routinely monitor our cash flow (including the mix of domestic and international inflows and outflows) and the condition of the capital markets in order to be prepared to respond to changing conditions.</w:t>
      </w:r>
    </w:p>
    <w:p>
      <w:pPr>
        <w:spacing w:after="0" w:line="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5, 2019, we announced as a result of tax savings from U.S. tax reform that we would invest $90 million in our workforce through targeted wage adjustments, retirement contributions and special recognition awards, as well as employee training programs and scholarships. We funded a majority of these investments during fiscal 2019, of which $62.5 million was paid in special recognition awards and employee training programs. We have $12.4 million of accrued retirement contributions in the audited Consolidated Balance Sheets as of September 27, 2019, which are expected to be paid during the first quarter of fiscal 2020. We expect to spend approximately $10 million during fiscal 2020 related to the investment in our workforce.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activity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64"/>
        </w:trPr>
        <w:tc>
          <w:tcPr>
            <w:tcW w:w="7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80" w:type="dxa"/>
            <w:vAlign w:val="bottom"/>
          </w:tcPr>
          <w:p>
            <w:pPr>
              <w:spacing w:after="0"/>
              <w:rPr>
                <w:sz w:val="22"/>
                <w:szCs w:val="22"/>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1,051.9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(2,865.3)</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1,794.2</w:t>
            </w:r>
          </w:p>
        </w:tc>
      </w:tr>
      <w:tr>
        <w:trPr>
          <w:trHeight w:val="27"/>
        </w:trPr>
        <w:tc>
          <w:tcPr>
            <w:tcW w:w="7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to the audited Consolidated Statements of Cash Flows will facilitate understanding of the discussion that follows.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fiscal 2019, as discussed in "Results of Operations" above, net income and non cash charges decreased during fiscal 2019 compared to fiscal 2018. Fiscal 2019 was impacted by the gain from the divestiture of the HCT business of approximately $139.2 million, partially offset by $74.9 million of employee reinvestments from U.S. tax reform. Fiscal 2018 includes the non cash benefit of approximately $237.8 million recorded to the provision (benefit) to income taxes. The decrease in cash flows provided by operating activities was partially offset by the favorable change in operating assets and liabilities ($173.2 million). The change in operating assets and liabilities compared to the prior year period was primarily due to the following:</w:t>
      </w:r>
    </w:p>
    <w:p>
      <w:pPr>
        <w:spacing w:after="0" w:line="76" w:lineRule="exact"/>
        <w:rPr>
          <w:sz w:val="20"/>
          <w:szCs w:val="20"/>
          <w:color w:val="auto"/>
        </w:rPr>
      </w:pPr>
    </w:p>
    <w:p>
      <w:pPr>
        <w:ind w:left="660" w:right="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were a source of cash in fiscal 2019 compared to a use of cash in fiscal 2018 primarily due to higher accruals related to the annual bonus, legal settlements and payroll and benefits and the timing of deferred income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75"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one-time payments made during fiscal 2018 for certain liabilities assumed related to the Avendra and AmeriPride acquisitions, partially offset by the timing of insurance and interest payments;</w:t>
      </w:r>
    </w:p>
    <w:p>
      <w:pPr>
        <w:spacing w:after="0" w:line="5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were a greater use of cash due to the timing of income tax payments;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were a greater use of cash due to the timing of collections and revenue growth.</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fiscal 2019, we paid approximately $62.5 million of special recognition awards and employee training costs funded by benefits from U.S. tax reform. The Company also received income of approximately $14.6 million related to favorable loss experience in older insurance years under our casualty insurance program. We received approximately $18.9 million of comparable proceeds under our casualty insurance program during fiscal 2018. During fiscal 2018, we incurred approximately $58.2 million of acquisition related costs related to Avendra and AmeriPride. As a result of the adoption of the new revenue recognition standard in the first quarter of fiscal 2019, certain payments made to our clients, previously included within "Purchases of property and equipment and other" in Cash Flows Used in Investing Activities, are now included within "Payments made to clients on contracts" in Cash Flows Provided by Operating Activities. These client payments were approximately $40.1 million during fiscal 2019. The "Changes in other assets" caption was a greater use of cash during fiscal 2019 mainly from the change in our 50% ownership interest in AIM Services Co., Ltd., as cash distributions received were higher during fiscal 2018 by $25.2 million. The "Other operating activities" caption in both periods reflects adjustments to net income related to non-operating gains and losses.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decrease in net cash flows used in investing activities during fiscal 2019 compared to fiscal 2018 relates primarily to the proceeds from the sale of HCT in the first quarter of fiscal 2019 of $293.7 million, lower levels of capital expenditures and lower spending for acquisitions for fiscal 2019 compared to fiscal 2018, which included the Avendra and AmeriPride acquisitions. The "Proceeds from governmental agencies related to property and equipment" caption includes $16.2 million of proceeds relating to the recovery of our investment (possessory interest) at one of the NPS sites within our Sports, Leisure &amp; Corrections sector and $6.8 million of proceeds from government grants related to our new headquarters.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Financing Activities</w:t>
      </w:r>
    </w:p>
    <w:p>
      <w:pPr>
        <w:spacing w:after="0" w:line="14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fiscal 2019, cash used by financing activities was impacted by $500.0 million of optional prepayments on term loans borrowings, of which $200.0 million was from the proceeds of the HCT divestiture.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2018, cash provided by financing activities was impacted by the following:</w:t>
      </w:r>
    </w:p>
    <w:p>
      <w:pPr>
        <w:spacing w:after="0" w:line="14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 new $1.785 billion U.S. Term Loan B due 2025;</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$1.150 billion aggregate principal amount of 5.000% senior unsecured notes due 2028;</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the U.S. dollar denominated term loan to Aramark Services, Inc. ("ASI") due 2022 ($633.8 million of principal);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borrowings on term loans ($302.6 million, which includes $260.4 million of optional prepayments);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funding under the Receivables Facility ($254.2 million);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fees related to the U.S. Term Loan B due 2025 and the 5.000% senior unsecured notes due 2028 (approximately $24.7 million).</w:t>
      </w:r>
    </w:p>
    <w:p>
      <w:pPr>
        <w:spacing w:after="0" w:line="1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6, 2019, the Board of Directors authorized a new share repurchase program providing for purchases up to $200.0 million of Aramark common stock through July 2022. We may utilize various methods to effect repurchases of our common stock under the repurchase program, which could include open market repurchases, privately negotiated transactions, block transactions, accelerated share repurchase or open market solicitations for shares, some of which may be effected through Rule 10b5-1 plans. Repurchases will be made based on ongoing assessments of the capital needs of the business, the market price of our common stock and general market conditions. The program may be suspended or discontinued at any time.</w:t>
      </w:r>
    </w:p>
    <w:p>
      <w:pPr>
        <w:spacing w:after="0" w:line="1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fiscal 2017, the Board of Directors authorized a share repurchase program providing for purchases of up to $250.0 million of Aramark common stock, which expired February 1, 2019. During fiscal 2019, we completed a repurchase of 1.6 million shares of our common stock for $50.0 million under this program. During fiscal 2018, we completed a repurchase of 0.6 million shares of our common stock for $24.4 million.</w:t>
      </w:r>
    </w:p>
    <w:p>
      <w:pPr>
        <w:spacing w:after="0" w:line="9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"Other financing activities" caption also reflects a use of cash during fiscal 2019 and fiscal 2018, primarily related to taxes paid by us when we withhold shares upon an employee's exercise or vesting of equity awards to cover income taxes.</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intend to continue to pay cash dividends on our common stock, subject to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75"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may deem relevant. However, the payment of any future dividends will be at the discretion of our Board of Directors and our Board of Directors may, at any time, determine not to continue to declare quarterly dividends.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September 27, 2019, we were in compliance with these covenants.</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9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(loss) of ASI.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1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9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attributable to ASI stockholder, which is a U.S. GAAP measure of Aramark Services, Inc.'s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932"/>
              <w:spacing w:after="0"/>
              <w:rPr>
                <w:sz w:val="20"/>
                <w:szCs w:val="20"/>
                <w:color w:val="auto"/>
              </w:rPr>
            </w:pPr>
            <w:r>
              <w:rPr>
                <w:rFonts w:ascii="Times New Roman" w:cs="Times New Roman" w:eastAsia="Times New Roman" w:hAnsi="Times New Roman"/>
                <w:sz w:val="13"/>
                <w:szCs w:val="13"/>
                <w:b w:val="1"/>
                <w:bCs w:val="1"/>
                <w:color w:val="auto"/>
              </w:rPr>
              <w:t>Fiscal Year Ended</w:t>
            </w:r>
          </w:p>
        </w:tc>
      </w:tr>
      <w:tr>
        <w:trPr>
          <w:trHeight w:val="264"/>
        </w:trPr>
        <w:tc>
          <w:tcPr>
            <w:tcW w:w="8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27, 2019</w:t>
            </w:r>
          </w:p>
        </w:tc>
        <w:tc>
          <w:tcPr>
            <w:tcW w:w="180" w:type="dxa"/>
            <w:vAlign w:val="bottom"/>
          </w:tcPr>
          <w:p>
            <w:pPr>
              <w:spacing w:after="0"/>
              <w:rPr>
                <w:sz w:val="22"/>
                <w:szCs w:val="22"/>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w w:val="97"/>
              </w:rPr>
              <w:t>September 28, 2018</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ASI stockholder</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567.9</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346.5</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596.2</w:t>
            </w:r>
          </w:p>
        </w:tc>
      </w:tr>
      <w:tr>
        <w:trPr>
          <w:trHeight w:val="270"/>
        </w:trPr>
        <w:tc>
          <w:tcPr>
            <w:tcW w:w="83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88.3</w:t>
            </w: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Unusual or non-recurring (gains)/losses</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Pro forma EBITDA for equity method investees</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w:t>
            </w: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Pro forma EBITDA for certain transactions</w:t>
            </w:r>
            <w:r>
              <w:rPr>
                <w:rFonts w:ascii="Times New Roman" w:cs="Times New Roman" w:eastAsia="Times New Roman" w:hAnsi="Times New Roman"/>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58.6</w:t>
            </w:r>
          </w:p>
        </w:tc>
      </w:tr>
      <w:tr>
        <w:trPr>
          <w:trHeight w:val="270"/>
        </w:trPr>
        <w:tc>
          <w:tcPr>
            <w:tcW w:w="83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5"/>
                <w:szCs w:val="25"/>
                <w:color w:val="auto"/>
                <w:vertAlign w:val="superscript"/>
              </w:rPr>
              <w:t>(5)</w:t>
            </w: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151.7</w:t>
            </w: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Covenant Adjusted EBITDA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1,727.8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500" w:right="1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resulting from the application of accounting for stock options, restricted stock units, performance stock units and deferred stock unit awards (see Note 11 to the audited consolidated financial statements).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75"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gain from the divestiture of HCT.</w:t>
      </w:r>
    </w:p>
    <w:p>
      <w:pPr>
        <w:spacing w:after="0" w:line="144" w:lineRule="exact"/>
        <w:rPr>
          <w:rFonts w:ascii="Times New Roman" w:cs="Times New Roman" w:eastAsia="Times New Roman" w:hAnsi="Times New Roman"/>
          <w:sz w:val="18"/>
          <w:szCs w:val="18"/>
          <w:color w:val="auto"/>
        </w:rPr>
      </w:pPr>
    </w:p>
    <w:p>
      <w:pPr>
        <w:ind w:left="500" w:right="360" w:hanging="492"/>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estimated share of EBITDA, primarily from our AIM Services Co., Ltd. equity method investment, not already reflected in our Net income attributable to ASI stockholder. EBITDA for this equity method investee is calculated in a manner consistent with consolidated Covenant Adjusted EBITDA but does not represent cash distributions received from this investee.</w:t>
      </w:r>
    </w:p>
    <w:p>
      <w:pPr>
        <w:spacing w:after="0" w:line="9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annualizing of net EBITDA from acquisitions and divestitures made during the period.</w:t>
      </w:r>
    </w:p>
    <w:p>
      <w:pPr>
        <w:spacing w:after="0" w:line="144" w:lineRule="exact"/>
        <w:rPr>
          <w:rFonts w:ascii="Times New Roman" w:cs="Times New Roman" w:eastAsia="Times New Roman" w:hAnsi="Times New Roman"/>
          <w:sz w:val="18"/>
          <w:szCs w:val="18"/>
          <w:color w:val="auto"/>
        </w:rPr>
      </w:pPr>
    </w:p>
    <w:p>
      <w:pPr>
        <w:ind w:left="500" w:right="20" w:hanging="492"/>
        <w:spacing w:after="0" w:line="253"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for the twelve months ended September 27, 2019 and September 28, 2018, respectively, includes expenses related to merger and integration related charges ($36.1 million and $78.1 million), adjustments to remove the impact attributable to the adoption of certain new accounting standards, including Accounting Standards Codification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in accordance with the Credit Agreement and indentures ($23.7 million and $7.7 million), organizational streamlining initiatives ($18.7 million and $36.6 million), duplicate rent charges, moving costs, opening costs to build out and ready the Company's new headquarters while occupying its then existing headquarters and closing costs ($8.2 million and $7.7 million), the impact of hyperinflation in Argentina ($4.9 million and $3.8 million), the impact of the change in fair value related to certain gasoline and diesel agreements ($4.7 million loss and $0.2 million gain) and other miscellaneous expenses. "Other" for the twelve months ended September 27, 2019 also includes compensation expense for employee reinvestments funded by benefits from U.S. tax reform ($74.9 million), charges related to certain legal settlements ($27.9 million), non cash impairment charges ($14.8 million), cash compensation charges associated with the retirement of the Company's former chief executive officer ($10.4 million), closing costs mainly related to customer contracts ($8.5 million), advisory fees related to shareholder matters ($7.7 million), banker fees and other charges related to the sale of HCT ($7.7 million) and settlement charges related to exiting a joint venture arrangement ($4.5 million). "Other" for the twelve months ended September 28, 2018 also includes property and other asset write-downs related to a joint venture liquidation and acquisition ($7.5 million) and certain environmental charges ($5.0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covenant requirements and actual ratios for the fiscal year ended September 27, 2019 are as follows:</w:t>
      </w:r>
    </w:p>
    <w:p>
      <w:pPr>
        <w:spacing w:after="0" w:line="15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95"/>
        </w:trPr>
        <w:tc>
          <w:tcPr>
            <w:tcW w:w="694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Requirements</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Ratios</w:t>
            </w:r>
          </w:p>
        </w:tc>
      </w:tr>
      <w:tr>
        <w:trPr>
          <w:trHeight w:val="269"/>
        </w:trPr>
        <w:tc>
          <w:tcPr>
            <w:tcW w:w="694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Consolidated Secured Debt Ratio</w:t>
            </w:r>
            <w:r>
              <w:rPr>
                <w:rFonts w:ascii="Times New Roman" w:cs="Times New Roman" w:eastAsia="Times New Roman" w:hAnsi="Times New Roman"/>
                <w:sz w:val="25"/>
                <w:szCs w:val="25"/>
                <w:color w:val="auto"/>
                <w:vertAlign w:val="superscript"/>
              </w:rPr>
              <w:t>(1)</w:t>
            </w:r>
          </w:p>
        </w:tc>
        <w:tc>
          <w:tcPr>
            <w:tcW w:w="17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5.125x</w:t>
            </w:r>
          </w:p>
        </w:tc>
        <w:tc>
          <w:tcPr>
            <w:tcW w:w="16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1.78x</w:t>
            </w:r>
          </w:p>
        </w:tc>
      </w:tr>
      <w:tr>
        <w:trPr>
          <w:trHeight w:val="341"/>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Coverage Ratio (Fixed Charge Coverage Ratio)</w:t>
            </w:r>
            <w:r>
              <w:rPr>
                <w:rFonts w:ascii="Times New Roman" w:cs="Times New Roman" w:eastAsia="Times New Roman" w:hAnsi="Times New Roman"/>
                <w:sz w:val="25"/>
                <w:szCs w:val="25"/>
                <w:color w:val="auto"/>
                <w:vertAlign w:val="superscript"/>
              </w:rPr>
              <w:t>(2)</w:t>
            </w:r>
          </w:p>
        </w:tc>
        <w:tc>
          <w:tcPr>
            <w:tcW w:w="17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2.000x</w:t>
            </w:r>
          </w:p>
        </w:tc>
        <w:tc>
          <w:tcPr>
            <w:tcW w:w="1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5.02x</w:t>
            </w:r>
          </w:p>
        </w:tc>
      </w:tr>
    </w:tbl>
    <w:p>
      <w:pPr>
        <w:spacing w:after="0" w:line="45" w:lineRule="exact"/>
        <w:rPr>
          <w:sz w:val="20"/>
          <w:szCs w:val="20"/>
          <w:color w:val="auto"/>
        </w:rPr>
      </w:pPr>
    </w:p>
    <w:p>
      <w:pPr>
        <w:ind w:left="500" w:right="60" w:hanging="492"/>
        <w:spacing w:after="0" w:line="255"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capital leases, debt in respect of sale-leaseback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U.S. Term Loan B, which lenders do not benefit from the maximum Consolidated Secured Debt Ratio covenant) failed to waive any such default, would also constitute a default under the indentures governing our senior notes.</w:t>
      </w:r>
    </w:p>
    <w:p>
      <w:pPr>
        <w:spacing w:after="0" w:line="104" w:lineRule="exact"/>
        <w:rPr>
          <w:rFonts w:ascii="Times New Roman" w:cs="Times New Roman" w:eastAsia="Times New Roman" w:hAnsi="Times New Roman"/>
          <w:sz w:val="18"/>
          <w:szCs w:val="18"/>
          <w:color w:val="auto"/>
        </w:rPr>
      </w:pPr>
    </w:p>
    <w:p>
      <w:pPr>
        <w:ind w:left="500" w:hanging="492"/>
        <w:spacing w:after="0" w:line="254"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incur additional indebtedness, other than the incremental capacity provided for under the Credit Agreement and pursuant to specified exceptions, and make certain restricted payments, other than pursuant to certain exceptions. The minimum Interest Coverage Ratio is 2.000x for the term of the Credit Agreement. Consolidated interest expense is defined in the Credit Agreement as 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and affiliates may from time to time, in their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75"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future obligations for debt repayments, capital leases, estimated interest payments, future minimum rental and similar commitments under noncancelable operating leases as well as contingent obligations related to outstanding letters of credit and guarantees as of September 27, 2019 (dollars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Obligations as of September 27, 2019</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5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69"/>
        </w:trPr>
        <w:tc>
          <w:tcPr>
            <w:tcW w:w="524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Long-term borrowings</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6,571,716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38,607</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92,211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2,169,447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4,271,451</w:t>
            </w:r>
          </w:p>
        </w:tc>
        <w:tc>
          <w:tcPr>
            <w:tcW w:w="0" w:type="dxa"/>
            <w:vAlign w:val="bottom"/>
          </w:tcPr>
          <w:p>
            <w:pPr>
              <w:spacing w:after="0"/>
              <w:rPr>
                <w:sz w:val="1"/>
                <w:szCs w:val="1"/>
                <w:color w:val="auto"/>
              </w:rPr>
            </w:pPr>
          </w:p>
        </w:tc>
      </w:tr>
      <w:tr>
        <w:trPr>
          <w:trHeight w:val="243"/>
        </w:trPr>
        <w:tc>
          <w:tcPr>
            <w:tcW w:w="5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148,754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30,814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36,199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Estimated interest payments</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1,473,800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478,100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471,500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287,000</w:t>
            </w:r>
          </w:p>
        </w:tc>
        <w:tc>
          <w:tcPr>
            <w:tcW w:w="0" w:type="dxa"/>
            <w:vAlign w:val="bottom"/>
          </w:tcPr>
          <w:p>
            <w:pPr>
              <w:spacing w:after="0"/>
              <w:rPr>
                <w:sz w:val="1"/>
                <w:szCs w:val="1"/>
                <w:color w:val="auto"/>
              </w:rPr>
            </w:pPr>
          </w:p>
        </w:tc>
      </w:tr>
      <w:tr>
        <w:trPr>
          <w:trHeight w:val="243"/>
        </w:trPr>
        <w:tc>
          <w:tcPr>
            <w:tcW w:w="5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leases and other noncancelable commitments</w:t>
            </w:r>
          </w:p>
        </w:tc>
        <w:tc>
          <w:tcPr>
            <w:tcW w:w="2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527,562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131,673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80,010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214,818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595,289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248,926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158,449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63,031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124,883</w:t>
            </w:r>
          </w:p>
        </w:tc>
        <w:tc>
          <w:tcPr>
            <w:tcW w:w="0" w:type="dxa"/>
            <w:vAlign w:val="bottom"/>
          </w:tcPr>
          <w:p>
            <w:pPr>
              <w:spacing w:after="0"/>
              <w:rPr>
                <w:sz w:val="1"/>
                <w:szCs w:val="1"/>
                <w:color w:val="auto"/>
              </w:rPr>
            </w:pPr>
          </w:p>
        </w:tc>
      </w:tr>
      <w:tr>
        <w:trPr>
          <w:trHeight w:val="270"/>
        </w:trPr>
        <w:tc>
          <w:tcPr>
            <w:tcW w:w="5240" w:type="dxa"/>
            <w:vAlign w:val="bottom"/>
            <w:tcBorders>
              <w:bottom w:val="single" w:sz="8" w:color="CCEEFF"/>
            </w:tcBorders>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Other liabilities</w:t>
            </w:r>
            <w:r>
              <w:rPr>
                <w:rFonts w:ascii="Times New Roman" w:cs="Times New Roman" w:eastAsia="Times New Roman" w:hAnsi="Times New Roman"/>
                <w:sz w:val="25"/>
                <w:szCs w:val="25"/>
                <w:color w:val="auto"/>
                <w:vertAlign w:val="superscript"/>
              </w:rPr>
              <w:t>(4)</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270,100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165,300</w:t>
            </w: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9,587,221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715,915</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942,853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2,828,802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5,099,651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 of Commitment Expiration by Period</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Commercial Commitments as of September 27, 2019</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42"/>
        </w:trPr>
        <w:tc>
          <w:tcPr>
            <w:tcW w:w="5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110,052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110,052</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00" w:right="380" w:hanging="492"/>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$48.3 million reduction to long-term borrowings from debt issuance costs and the increase of $10.0 million from the premium on the 5.125% Senior Notes due 2024.</w:t>
      </w:r>
    </w:p>
    <w:p>
      <w:pPr>
        <w:spacing w:after="0" w:line="80" w:lineRule="exact"/>
        <w:rPr>
          <w:rFonts w:ascii="Times New Roman" w:cs="Times New Roman" w:eastAsia="Times New Roman" w:hAnsi="Times New Roman"/>
          <w:sz w:val="18"/>
          <w:szCs w:val="18"/>
          <w:color w:val="auto"/>
        </w:rPr>
      </w:pPr>
    </w:p>
    <w:p>
      <w:pPr>
        <w:ind w:left="500" w:right="40" w:hanging="492"/>
        <w:spacing w:after="0" w:line="255"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future interest payments related to our existing debt obligations based on fixed and variable interest rates specified in the associated debt agreements and reflect any current hedging arrangements. Payments related to variable debt are based on applicable rates at September 27, 2019 plus the specified margin in the associated debt agreements for each period presented. The amounts provided relate only to existing debt obligations and do not assume the refinancing or replacement of such debt. The average debt balance for each fiscal year from 2020 through 2025 is $6,496.2 million, $6,460.4 million, $6,414.7 million, $6,195.8 million, $4,956.9 million and $2,976.1 million, respectively. The weighted average interest rate of our existing debt obligations for each fiscal year from 2020 through 2025 is 3.65%, 3.67%, 3.75%, 4.04%, 4.46% and 4.59%, respectively (see Note 5 to the audited consolidated financial statements for the terms and maturities of existing debt obligations).</w:t>
      </w:r>
    </w:p>
    <w:p>
      <w:pPr>
        <w:spacing w:after="0" w:line="10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commitments for capital projects to help finance improvements or renovations at the facilities in which we operate.</w:t>
      </w:r>
    </w:p>
    <w:p>
      <w:pPr>
        <w:spacing w:after="0" w:line="144"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unfunded employee retirement, legal settlement, CEO retirement and severance related obligations.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2019, we extended the maturity dates of the Revolving Credit Facility, Yen Term Loan due 2022, Canadian Term Loan due 2022, Canadian Term Loan A-1 due 2023 and Euro Term Loan due 2022 to October 1, 2023 (see Note 5 to the audited consolidated financial statements).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excluded from the table above uncertain tax liabilities due to the uncertainty of the amount and period of payment. As of September 27, 2019, we have gross uncertain tax liabilities of $36.3 million (see Note 9 to the audited consolidated financial statements). During fiscal 2019, we made contributions totaling $10.5 million into our defined benefit pension plans and benefit payments and settlements of $21.5 million out of these plans. Estimated contributions to our defined benefit pension plans in fiscal 2020 are $4.1 million and estimated benefit payments out of these plans in fiscal 2020 are $13.6 million (see Note 8 to the audited consolidated financial statements).</w:t>
      </w:r>
    </w:p>
    <w:p>
      <w:pPr>
        <w:spacing w:after="0" w:line="1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an agreement (the "Receivables Facility") with three financial institutions where we sell on a continuous basis an undivided interest in all eligible accounts receivable, as defined in the Receivables Facility. The maximum amount available under the Receivables Facility is $400.0 million, which expires in May 2021. In addition, the Receivables Facility includes a seasonal tranche which increases the capacity of the Receivables Facility and the maximum amount available by $100.0 million from October through March. As of September 27, 2019, there were no borrowings outstanding under the Receivables Facility. Amounts borrowed under the Receivables Facility fluctuate monthly based on our funding requirements and the level of qualified receivables available to collateralize the Receivables Facility.</w:t>
      </w:r>
    </w:p>
    <w:p>
      <w:pPr>
        <w:spacing w:after="0" w:line="1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Receivables Facility, we formed ARAMARK Receivables, LLC, a wholly-owned, consolidated, bankruptcy-remote subsidiary. ARAMARK Receivables, LLC was formed for the sole purpose of transferring receivables generated by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75"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certain of our subsidiaries. Under the Receivables Facility, we and certain of our subsidiaries transfer without recourse all of their accounts receivable to ARAMARK Receivables, LLC. As collections reduce previously transferred interests, interests in new, eligible receivables are transferred to ARAMARK Receivables, LLC, subject to meeting certain conditions.</w:t>
      </w:r>
    </w:p>
    <w:p>
      <w:pPr>
        <w:spacing w:after="0" w:line="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activities do not include the use of unconsolidated special purpose entities and there are no significant business transactions that have not been reflected in the accompanying financial statements. In fiscal 2019, we began insuring portions of our general liability, automobile liability and workers’ compensation risks through a wholly owned captive insurance subsidiary (the "Captive") to enhance our risk financing strategies. The Captive is subject to regulation in its jurisdiction of domicile, including regulations relating to levels of liquidity and solvency as such concepts are defined by the regulator. The Captive was in compliance with these regulations as of year-end. These regulations may have the effect of limiting our ability to access certain cash and cash equivalents held by the Captive for uses other than for the payment of our general liability, automobile liability and workers’ compensation claims and related Captive costs. As of September 27, 2019, cash and cash equivalents at the Captive was $50.4 million.</w:t>
      </w:r>
    </w:p>
    <w:p>
      <w:pPr>
        <w:spacing w:after="0" w:line="2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We are self-insured for a limited portion of the risk retained under our general liability, automobile liability and workers’ compensation insurance arrangements. Self-insurance reserves are recorded based on actuarial analyses.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described in the notes to the audited consolidated financial statements included in this Annual Report. As described in such notes, we recognize revenue in the period in which the performance obligation is satisfied. During the first quarter of fiscal 2019, we adopted the new accounting standard related to revenue recognition. See Notes 1 and 7 to our audited consolidated financial statements for our revenue recognition policy and the impact of adoption of the new accounting standard.</w:t>
      </w:r>
    </w:p>
    <w:p>
      <w:pPr>
        <w:spacing w:after="0" w:line="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Determinations</w:t>
      </w:r>
    </w:p>
    <w:p>
      <w:pPr>
        <w:spacing w:after="0" w:line="14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Goodwill, the Aramark trade name and other trade names are primarily indefinite lived intangible assets that are not amortizable and are subject to an impairment test that we conduct annually or more frequently if a change in circumstances or the occurrence of events indicates that potential impairment exists. The impairment test may first consider qualitative factors to determine whether it is more likely than not that the fair value of a reporting unit is less than its carrying amount. Examples of qualitative factors include, macroeconomic conditions, industry and market considerations, cost factors, overall financial performance, entity-specific events, events affecting reporting units and sustained changes in our stock price. If results of the qualitative assessment indicate a more likely than not determination or if a qualitative assessment is not performed, a quantitative test is performed by comparing the estimated fair value using discounted cash flow calculations of each reporting unit with its estimated net book value. The discounted cash flow calculations are dependent on several subjective factors including the timing of future cash flows, future growth rates and the discount rate. If our assumptions or estimates in our fair value calculations change or if future cash flows or future growth rates vary from what was planned, this may impact our impairment analysis.</w:t>
      </w:r>
    </w:p>
    <w:p>
      <w:pPr>
        <w:spacing w:after="0" w:line="1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perform the assessment of goodwill at the reporting unit level. Within our FSS International segment, each country or region is evaluated separately since they are relatively autonomous and separate goodwill balances have been recorded for each entity. During the fourth quarter of fiscal 2019, we performed an impairment test for goodwill for each of our reporting units using a qualitative testing approach, except for one reporting unit which was tested using the quantitative approach. Based on our evaluation performed, we determined that it was more likely than not that the fair value of each of the reporting units exceeded its respective carrying amount, and therefore, we determined that goodwill was not impaired. The fair value of the reporting unit in our FSS International segment for which goodwill was tested using the quantitative approach has a goodwill balance of $282.3 million and a fair value that exceeded its carrying value by approximately 22% in fiscal 2019.</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With respect to our other long-lived assets, we are required to test for asset impairment whenever events or circumstances indicate that the carrying value of an asset may not be recoverable. If indicators of impairment are present, we compare the sum of the future expected cash flows from the asset, undiscounted and without interest charges, to the asset’s carrying value. If the sum of the future expected cash flows from the asset is less than the carrying value, an impairment would be recognized for the difference between the estimated fair value and the carrying value of the asset.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future cash flow analyses of various assets, we make assumptions relating to the following:</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175" w:right="27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use of assets and the expected future cash flows resulting directly from such use;</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market valuations of businesses similar to Aramark's business segments;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specific economic conditions;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activities and regulatory initiatives;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customer preferences and behavior patterns.</w:t>
      </w:r>
    </w:p>
    <w:p>
      <w:pPr>
        <w:spacing w:after="0" w:line="14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 believe that an accounting estimate relating to asset impairment is a critical accounting estimate because the assumptions underlying future cash flow estimates are subject to change from time to time and the recognition of an impairment could have a significant impact on our consolidated statement of income.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2019, the Company recorded non cash impairment charges of approximately $14.8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Claims</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our businesses,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 of contractual and other obligations. We consider the measurement of litigation reserves as a critical accounting estimate because of the significant uncertainty in some cases relating to the outcome of potential claims or litigation and the difficulty of predicting the likelihood and range of potential liability involved, coupled with the material impact on our results of operations that could result from litigation or other claims. In determining legal reserves, we consider, among other issues:</w:t>
      </w:r>
    </w:p>
    <w:p>
      <w:pPr>
        <w:spacing w:after="0" w:line="108"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 of contractual rights and obligations;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government regulatory initiatives, interpretations and investigations;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settlement negotiations;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experience with similar types of claims;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available insurance;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of counsel.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2019, the Company recorded certain legal settlements of approximately $27.9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4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encounter risks associated with revenue and the collection of the associated accounts receivable. We record a provision for accounts receivable that are considered to be uncollectible. In order to calculate the appropriate provision, we analyze the creditworthiness of specific customers, aging of customer balances, general and specific industry economic conditions, industry concentrations, such as exposure to small and medium-sized businesses, the non-profit healthcare sector and the automotive industry, the airline and financial services industries, and contractual rights and obligations. The accounting estimate related to the allowance for doubtful accounts is a critical accounting estimate because the underlying assumptions used for the allowance can change from time to time and uncollectible accounts could potentially have a material impact on our results of operations.</w:t>
      </w:r>
    </w:p>
    <w:p>
      <w:pPr>
        <w:spacing w:after="0" w:line="1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September 27, 2019 and September 28, 2018, the Company's allowance for doubtful accounts was approximately $49.6 million and $52.7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Obsolescence</w:t>
      </w:r>
    </w:p>
    <w:p>
      <w:pPr>
        <w:spacing w:after="0" w:line="1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record an inventory obsolescence reserve for obsolete, excess and slow-moving inventory, principally in the Uniform segment. In calculating our inventory obsolescence reserve, we analyze historical and projected data regarding customer demand within specific product categories and make assumptions regarding economic conditions within customer specific industries, as well as style and product changes. Our accounting estimate related to inventory obsolescence is a critical accounting estimate because customer demand in certain of our businesses can be variable and changes in our reserve for inventory obsolescence could materially affect our results of operations.</w:t>
      </w:r>
    </w:p>
    <w:p>
      <w:pPr>
        <w:spacing w:after="0" w:line="1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September 27, 2019 and September 28, 2018, the Company's reserve for inventory obsolescence was approximately $23.6 million and $21.5 million, respectively.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75"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income tax expense is recognized for the amount of taxes payable or refundable for the current year and for deferred tax liabilities and assets for the future tax consequences of events that have been recognized in our consolidated financial statements or tax returns. We make assumptions, judgments and estimates to determine the current income tax provision, deferred tax asset and liabilities and valuation allowance recorded against a deferred tax asset. The assumptions, judgments and estimates relative to the current income tax provision take into account current tax laws, their interpretation and possible results of foreign and domestic tax audits. Changes in tax law, their interpretation and resolution of tax audits could significantly impact the income taxes provided in our consolidated financial statements. Assumptions, judgments and estimates relative to the amount of deferred income taxes take into account future taxable income. Any of the assumptions, judgments and estimates mentioned above could cause the actual income tax obligations to differ from our estimates.</w:t>
      </w:r>
    </w:p>
    <w:p>
      <w:pPr>
        <w:spacing w:after="0" w:line="10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75"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14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See Note 1 to the audited consolidated financial statements for a full description of recent accounting standards updates, including the expected dates of adoption.</w:t>
      </w: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4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information below summarizes our market risks associated with debt obligations and other significant financial instruments as of September 27, 2019 (see Notes 5 and 6 to the audited consolidated financial statements). Fair values were computed using market quotes, if available, or based on discounted cash flows using market interest rates as of the end of the respective periods. For debt obligations, the table presents principal cash flows and related interest rates by contractual fiscal year of maturity. Variable interest rates disclosed represent the weighted-average rates of the portfolio at September 27, 2019. For interest rate swaps, the table presents the notional amounts and related weighted-average interest rates by fiscal year of maturity. The variable rates presented are the average forward rates for the term of each contract.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(US$ equivalent in millions)</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0"/>
        </w:trPr>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Expected Fiscal Year of Maturity</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27, 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Fixed rate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2,641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3,782</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Variable rate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3,069</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Receive variable/pay fixed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Average pay rate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97"/>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2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receive rate</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7"/>
        </w:trPr>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27, 2019, there were no borrowings outstanding under the Receivables Facility due 2021.</w:t>
      </w:r>
    </w:p>
    <w:p>
      <w:pPr>
        <w:spacing w:after="0" w:line="14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of September 27, 2019, the Company had foreign currency forward exchange contracts outstanding with notional amounts of €72.6 million, CAD 30.0 million and £7.5 million to mitigate the risk of changes in foreign currency exchange rates on short-term intercompany loans to certain international subsidiaries. As of September 27, 2019, the fair value of these foreign exchange contracts is $0.1 million, which is included in "Prepayments and Other Current Assets" in our Consolidated Balance Sheets.</w:t>
      </w:r>
    </w:p>
    <w:p>
      <w:pPr>
        <w:spacing w:after="0" w:line="9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entered into a series of pay fixed/receive floating gasoline and diesel fuel agreements based on the Department of Energy weekly retail on-highway index in order to limit its exposure to price fluctuations for gasoline and diesel fuel. As of September 27, 2019, the Company has contracts for approximately 18.6 million gallons outstanding through fiscal 2020. As of September 27, 2019, the fair value of the Company’s gasoline and diesel fuel hedge agreements is $0.5 million, which is included in "Accounts Payable" in our Consolidated Balance Sheets.</w:t>
      </w:r>
    </w:p>
    <w:p>
      <w:pPr>
        <w:spacing w:after="0" w:line="23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Financial Statements and Schedule beginning on page S-1.</w:t>
      </w:r>
    </w:p>
    <w:p>
      <w:pPr>
        <w:spacing w:after="0" w:line="275" w:lineRule="exact"/>
        <w:rPr>
          <w:sz w:val="20"/>
          <w:szCs w:val="20"/>
          <w:color w:val="auto"/>
        </w:rPr>
      </w:pPr>
    </w:p>
    <w:p>
      <w:pPr>
        <w:ind w:right="384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75"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that term is defined in Rules 13a-15(e) and 15d-15(e) under the Securities Exchange Act of 1934, as amended) as of the end of the period covered by this report. Based on that evaluation, management, with the participation of the Chief Executive Officer and Chief Financial Officer, concluded that the Company’s disclosure controls and procedures, as of the end of the period covered by this report, are functioning effectively to provide reasonable assurance that the information required to be disclosed by the Company in reports filed under the Securities Exchange Act of 1934 is recorded, processed, summarized and reported within the time periods specified in the SEC’s rules and forms and is accumulated and communicated to the Company's management, including its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Management’s Annual Report on Internal Control Over Financial Reporting</w:t>
      </w:r>
    </w:p>
    <w:p>
      <w:pPr>
        <w:spacing w:after="0" w:line="14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such term is defined in Rule 13a-15(f) of the Exchange Act. Under the supervision and with the participation of the Company's management, including the Chief Executive Officer and Chief Financial Officer, the Company conducted an evaluation of the effectiveness of the Company's internal control over financial reporting based upon criteria established in Internal Control – Integrated Framework (2013) by the Committee of Sponsoring Organizations of the Treadway Commission. Based on that evaluation, the Company's management concluded that the Company's internal control over financial reporting was effective as of September 27, 2019. The effectiveness of the Company's internal control over financial reporting as of September 27, 2019 has been audited by KPMG LLP, the Company's independent registered public accounting firm, as stated in their report that is included herein on the following page.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Change in Internal Control over Financial Reporting</w:t>
      </w:r>
    </w:p>
    <w:p>
      <w:pPr>
        <w:spacing w:after="0" w:line="14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No change in the Company’s internal control over financial reporting occurred during the Company’s fourth quarter of fiscal 2019 that has materially affected, or is reasonably likely to materially affect, the Company’s internal control over financial reporting.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75"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Aramark and subsidiaries, (the Company) internal control over financial reporting as of September 27, 2019,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 In our opinion,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maintained, in all material respects, effective internal control over financial reporting as of September 27, 2019,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27, 2019 and September 28, 2018, the related consolidated statements of income, comprehensive income, cash flows, and stockholders’ equity for each of the fiscal years ended September 27, 2019, September 28, 2018 and September 29, 2017 and the related notes and financial statement schedule II (collectively, the consolidated financial statements), and our report dated November 26, 2019 expressed an unqualified opinion on those consolidated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2019</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75"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219"/>
          </w:cols>
          <w:pgMar w:left="240" w:top="175" w:right="1440"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4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Information about our directors and persons nominated to become directors required by Item 10 will be included under the caption "Proposal No. 1 - Election of Directors" in the Company's Proxy Statement for the 2020 Annual Meeting of Stockholders and is incorporated herein by reference. Information about our executive officers is included under the caption “Information About Our Executive Officers” in Part I of this report and incorporated herein.</w:t>
      </w:r>
    </w:p>
    <w:p>
      <w:pPr>
        <w:spacing w:after="0" w:line="9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Information on beneficial ownership reporting required by Item 10, if any, will be included under the caption "Delinquent Section 16(a) Reports" in the Company's Proxy Statement for the 2020 Annual Meeting of Stockholders and is incorporated herein by reference.</w:t>
      </w:r>
    </w:p>
    <w:p>
      <w:pPr>
        <w:spacing w:after="0" w:line="8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have a Business Conduct Policy that applies to all of our directors, officers and employees, including our principal executive officer, principal financial officer and principal accounting officer, which is available on the Investor Relations section of our website at www.aramark.com. A copy of our Business Conduct Policy may be obtained free of charge by writing to Investor Relations, Aramark, 2400 Market Street, Philadelphia, PA 19103. Our Business Conduct Policy contains a "code of ethics," as defined in Item 406(b) of Regulation S-K. Please note that our website address is provided as an inactive textual reference only. We will make any legally required disclosures regarding amendments to, or waivers of, provisions of our code of ethics on our website.</w:t>
      </w:r>
    </w:p>
    <w:p>
      <w:pPr>
        <w:spacing w:after="0" w:line="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Item 10 will be included under the caption "Board Committees and Meetings" in the Company's Proxy Statement for the 2020 Annual Meeting of Stockholders and is incorporated herein by reference.</w:t>
      </w:r>
    </w:p>
    <w:p>
      <w:pPr>
        <w:spacing w:after="0" w:line="2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required by Item 11 will be included under the caption "Compensation Matters" in the Company's Proxy Statement for the 2020 Annual Meeting of Stockholders and is incorporated herein by reference.</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4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Information required by Item 12 will be included under the captions "Security Ownership of Certain Beneficial Owners and Management" and "Equity Compensation Plan Information" in the Company's Proxy Statement for the 2020 Annual Meeting of Stockholders and is incorporated herein by reference.</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4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Information required by Item 13 will be included under the captions "Certain Relationships and Related Transactions" and "Director Independence and Independence Determinations" in the Company's Proxy Statement for the 2020 Annual Meeting of Stockholders and is incorporated herein by reference.</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4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Information required by Item 14 will be included under the caption "Fees to Independent Registered Public Accounting Firm" in the Company's Proxy Statement for the 2020 Annual Meeting of Stockholders and is incorporated herein by reference.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75" w:right="2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right"/>
        <w:ind w:right="4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46"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and Schedule at page S-1 and the Exhibit Index.</w:t>
      </w:r>
    </w:p>
    <w:p>
      <w:pPr>
        <w:spacing w:after="0" w:line="142"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 Required by Item 601 of Regulation S-K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is incorporated herein by reference.</w:t>
      </w:r>
    </w:p>
    <w:p>
      <w:pPr>
        <w:spacing w:after="0" w:line="142"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and Schedule at page S-1.</w:t>
      </w:r>
    </w:p>
    <w:p>
      <w:pPr>
        <w:spacing w:after="0" w:line="27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219"/>
          </w:cols>
          <w:pgMar w:left="240" w:top="175"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 on November 26, 2019.</w:t>
      </w:r>
    </w:p>
    <w:p>
      <w:pPr>
        <w:spacing w:after="0" w:line="243" w:lineRule="exact"/>
        <w:rPr>
          <w:sz w:val="20"/>
          <w:szCs w:val="20"/>
          <w:color w:val="auto"/>
        </w:rPr>
      </w:pPr>
    </w:p>
    <w:tbl>
      <w:tblPr>
        <w:tblLayout w:type="fixed"/>
        <w:tblInd w:w="586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Aramark</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STEPHEN P. BRAMLAGE, JR.</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00" w:type="dxa"/>
            <w:vAlign w:val="bottom"/>
            <w:vMerge w:val="continue"/>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Stephen P. Bramlage, Jr.</w:t>
            </w: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indicated on November 26, 2019.</w:t>
      </w:r>
    </w:p>
    <w:p>
      <w:pPr>
        <w:spacing w:after="0" w:line="304"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5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377"/>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JOHN J. ZILLMER</w:t>
            </w:r>
          </w:p>
        </w:tc>
        <w:tc>
          <w:tcPr>
            <w:tcW w:w="18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0" w:type="dxa"/>
            <w:vAlign w:val="bottom"/>
          </w:tcPr>
          <w:p>
            <w:pPr>
              <w:spacing w:after="0"/>
              <w:rPr>
                <w:sz w:val="1"/>
                <w:szCs w:val="1"/>
                <w:color w:val="auto"/>
              </w:rPr>
            </w:pPr>
          </w:p>
        </w:tc>
      </w:tr>
      <w:tr>
        <w:trPr>
          <w:trHeight w:val="223"/>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J. Zillmer</w:t>
            </w:r>
          </w:p>
        </w:tc>
        <w:tc>
          <w:tcPr>
            <w:tcW w:w="18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STEPHEN P. BRAMLAGE JR.</w:t>
            </w:r>
          </w:p>
        </w:tc>
        <w:tc>
          <w:tcPr>
            <w:tcW w:w="18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0" w:type="dxa"/>
            <w:vAlign w:val="bottom"/>
          </w:tcPr>
          <w:p>
            <w:pPr>
              <w:spacing w:after="0"/>
              <w:rPr>
                <w:sz w:val="1"/>
                <w:szCs w:val="1"/>
                <w:color w:val="auto"/>
              </w:rPr>
            </w:pPr>
          </w:p>
        </w:tc>
      </w:tr>
      <w:tr>
        <w:trPr>
          <w:trHeight w:val="223"/>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Stephen P. Bramlage, Jr.</w:t>
            </w:r>
          </w:p>
        </w:tc>
        <w:tc>
          <w:tcPr>
            <w:tcW w:w="18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SUSAN CAMERON</w:t>
            </w:r>
          </w:p>
        </w:tc>
        <w:tc>
          <w:tcPr>
            <w:tcW w:w="18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Susan Cameron</w:t>
            </w:r>
          </w:p>
        </w:tc>
        <w:tc>
          <w:tcPr>
            <w:tcW w:w="1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CALVIN DARDEN</w:t>
            </w:r>
          </w:p>
        </w:tc>
        <w:tc>
          <w:tcPr>
            <w:tcW w:w="18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Calvin Darden</w:t>
            </w:r>
          </w:p>
        </w:tc>
        <w:tc>
          <w:tcPr>
            <w:tcW w:w="1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RICHARD W. DREILING</w:t>
            </w:r>
          </w:p>
        </w:tc>
        <w:tc>
          <w:tcPr>
            <w:tcW w:w="18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Richard W. Dreiling</w:t>
            </w:r>
          </w:p>
        </w:tc>
        <w:tc>
          <w:tcPr>
            <w:tcW w:w="1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IRENE M. ESTEVES</w:t>
            </w:r>
          </w:p>
        </w:tc>
        <w:tc>
          <w:tcPr>
            <w:tcW w:w="18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Irene M. Esteves</w:t>
            </w:r>
          </w:p>
        </w:tc>
        <w:tc>
          <w:tcPr>
            <w:tcW w:w="1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DANIEL J. HEINRICH</w:t>
            </w:r>
          </w:p>
        </w:tc>
        <w:tc>
          <w:tcPr>
            <w:tcW w:w="18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Daniel J. Heinrich</w:t>
            </w:r>
          </w:p>
        </w:tc>
        <w:tc>
          <w:tcPr>
            <w:tcW w:w="1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PAUL HILAL</w:t>
            </w:r>
          </w:p>
        </w:tc>
        <w:tc>
          <w:tcPr>
            <w:tcW w:w="18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Paul Hilal</w:t>
            </w:r>
          </w:p>
        </w:tc>
        <w:tc>
          <w:tcPr>
            <w:tcW w:w="1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KAREN KING</w:t>
            </w:r>
          </w:p>
        </w:tc>
        <w:tc>
          <w:tcPr>
            <w:tcW w:w="18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Karen King</w:t>
            </w:r>
          </w:p>
        </w:tc>
        <w:tc>
          <w:tcPr>
            <w:tcW w:w="1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STEPHEN I. SADOVE</w:t>
            </w:r>
          </w:p>
        </w:tc>
        <w:tc>
          <w:tcPr>
            <w:tcW w:w="18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Director</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Stephen I. Sadove</w:t>
            </w:r>
          </w:p>
        </w:tc>
        <w:tc>
          <w:tcPr>
            <w:tcW w:w="1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ART WINKLEBLACK</w:t>
            </w:r>
          </w:p>
        </w:tc>
        <w:tc>
          <w:tcPr>
            <w:tcW w:w="18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Art Winkleblack</w:t>
            </w:r>
          </w:p>
        </w:tc>
        <w:tc>
          <w:tcPr>
            <w:tcW w:w="1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4"/>
        </w:trPr>
        <w:tc>
          <w:tcPr>
            <w:tcW w:w="3860" w:type="dxa"/>
            <w:vAlign w:val="bottom"/>
          </w:tcPr>
          <w:p>
            <w:pPr>
              <w:spacing w:after="0"/>
              <w:rPr>
                <w:sz w:val="24"/>
                <w:szCs w:val="24"/>
                <w:color w:val="auto"/>
              </w:rPr>
            </w:pPr>
          </w:p>
        </w:tc>
        <w:tc>
          <w:tcPr>
            <w:tcW w:w="6020" w:type="dxa"/>
            <w:vAlign w:val="bottom"/>
            <w:gridSpan w:val="2"/>
          </w:tcPr>
          <w:p>
            <w:pPr>
              <w:jc w:val="right"/>
              <w:ind w:right="477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ectPr>
          <w:pgSz w:w="11900" w:h="16838" w:orient="portrait"/>
          <w:cols w:equalWidth="0" w:num="1">
            <w:col w:w="11420"/>
          </w:cols>
          <w:pgMar w:left="240" w:top="387"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SCHEDULE</w:t>
      </w:r>
    </w:p>
    <w:p>
      <w:pPr>
        <w:spacing w:after="0" w:line="200" w:lineRule="exact"/>
        <w:rPr>
          <w:sz w:val="20"/>
          <w:szCs w:val="20"/>
          <w:color w:val="auto"/>
        </w:rPr>
      </w:pP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6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5760" w:type="dxa"/>
            <w:vAlign w:val="bottom"/>
            <w:gridSpan w:val="7"/>
            <w:vMerge w:val="restart"/>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Report of Independent Registered Public Accounting Firm</w:t>
              </w:r>
            </w:hyperlink>
          </w:p>
        </w:tc>
        <w:tc>
          <w:tcPr>
            <w:tcW w:w="4260" w:type="dxa"/>
            <w:vAlign w:val="bottom"/>
            <w:gridSpan w:val="6"/>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60" w:type="dxa"/>
            <w:vAlign w:val="bottom"/>
            <w:tcBorders>
              <w:bottom w:val="single" w:sz="8" w:color="0000EE"/>
            </w:tcBorders>
            <w:gridSpan w:val="7"/>
            <w:vMerge w:val="continue"/>
          </w:tcPr>
          <w:p>
            <w:pPr>
              <w:spacing w:after="0"/>
              <w:rPr>
                <w:sz w:val="16"/>
                <w:szCs w:val="16"/>
                <w:color w:val="auto"/>
              </w:rPr>
            </w:pPr>
          </w:p>
        </w:tc>
        <w:tc>
          <w:tcPr>
            <w:tcW w:w="4260" w:type="dxa"/>
            <w:vAlign w:val="bottom"/>
            <w:gridSpan w:val="6"/>
            <w:vMerge w:val="continue"/>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0000EE"/>
            </w:tcBorders>
          </w:tcPr>
          <w:p>
            <w:pPr>
              <w:jc w:val="right"/>
              <w:spacing w:after="0" w:line="170" w:lineRule="exact"/>
              <w:rPr>
                <w:rFonts w:ascii="Times New Roman" w:cs="Times New Roman" w:eastAsia="Times New Roman" w:hAnsi="Times New Roman"/>
                <w:sz w:val="18"/>
                <w:szCs w:val="18"/>
                <w:color w:val="0000EE"/>
                <w:w w:val="95"/>
              </w:rPr>
            </w:pPr>
            <w:hyperlink w:anchor="page52">
              <w:r>
                <w:rPr>
                  <w:rFonts w:ascii="Times New Roman" w:cs="Times New Roman" w:eastAsia="Times New Roman" w:hAnsi="Times New Roman"/>
                  <w:sz w:val="18"/>
                  <w:szCs w:val="18"/>
                  <w:color w:val="0000EE"/>
                  <w:w w:val="95"/>
                </w:rPr>
                <w:t>S-2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7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Consolidated Balance Sheets as of September 27, 2019 and September 28, 2018</w:t>
              </w:r>
            </w:hyperlink>
          </w:p>
        </w:tc>
        <w:tc>
          <w:tcPr>
            <w:tcW w:w="4260" w:type="dxa"/>
            <w:vAlign w:val="bottom"/>
            <w:gridSpan w:val="6"/>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95"/>
              </w:rPr>
            </w:pPr>
            <w:hyperlink w:anchor="page54">
              <w:r>
                <w:rPr>
                  <w:rFonts w:ascii="Times New Roman" w:cs="Times New Roman" w:eastAsia="Times New Roman" w:hAnsi="Times New Roman"/>
                  <w:sz w:val="18"/>
                  <w:szCs w:val="18"/>
                  <w:color w:val="0000EE"/>
                  <w:w w:val="95"/>
                </w:rPr>
                <w:t>S-4</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020" w:type="dxa"/>
            <w:vAlign w:val="bottom"/>
            <w:gridSpan w:val="13"/>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Consolidated Statements of Income for the fiscal years ended September 27, 2019, September 28, 2018 and September</w:t>
              </w:r>
            </w:hyperlink>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55">
              <w:r>
                <w:rPr>
                  <w:rFonts w:ascii="Times New Roman" w:cs="Times New Roman" w:eastAsia="Times New Roman" w:hAnsi="Times New Roman"/>
                  <w:sz w:val="18"/>
                  <w:szCs w:val="18"/>
                  <w:color w:val="0000EE"/>
                  <w:w w:val="95"/>
                </w:rPr>
                <w:t>29, 2017</w:t>
              </w:r>
            </w:hyperlink>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95"/>
              </w:rPr>
            </w:pPr>
            <w:hyperlink w:anchor="page55">
              <w:r>
                <w:rPr>
                  <w:rFonts w:ascii="Times New Roman" w:cs="Times New Roman" w:eastAsia="Times New Roman" w:hAnsi="Times New Roman"/>
                  <w:sz w:val="18"/>
                  <w:szCs w:val="18"/>
                  <w:color w:val="0000EE"/>
                  <w:w w:val="95"/>
                </w:rPr>
                <w:t>S-5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Consolidated Statements of Comprehensive Income for the fiscal years ended September 27, 2019, September 28, 2018</w:t>
              </w:r>
            </w:hyperlink>
          </w:p>
        </w:tc>
        <w:tc>
          <w:tcPr>
            <w:tcW w:w="140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20" w:type="dxa"/>
            <w:vAlign w:val="bottom"/>
            <w:gridSpan w:val="13"/>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and September 29, 2017</w:t>
              </w:r>
            </w:hyperlink>
          </w:p>
        </w:tc>
        <w:tc>
          <w:tcPr>
            <w:tcW w:w="1000" w:type="dxa"/>
            <w:vAlign w:val="bottom"/>
          </w:tcPr>
          <w:p>
            <w:pPr>
              <w:spacing w:after="0"/>
              <w:rPr>
                <w:sz w:val="17"/>
                <w:szCs w:val="17"/>
                <w:color w:val="auto"/>
              </w:rPr>
            </w:pPr>
          </w:p>
        </w:tc>
        <w:tc>
          <w:tcPr>
            <w:tcW w:w="360" w:type="dxa"/>
            <w:vAlign w:val="bottom"/>
            <w:gridSpan w:val="3"/>
          </w:tcPr>
          <w:p>
            <w:pPr>
              <w:jc w:val="right"/>
              <w:ind w:right="20"/>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S-6</w:t>
              </w:r>
            </w:hyperlink>
          </w:p>
        </w:tc>
        <w:tc>
          <w:tcPr>
            <w:tcW w:w="0" w:type="dxa"/>
            <w:vAlign w:val="bottom"/>
          </w:tcPr>
          <w:p>
            <w:pPr>
              <w:spacing w:after="0"/>
              <w:rPr>
                <w:sz w:val="1"/>
                <w:szCs w:val="1"/>
                <w:color w:val="auto"/>
              </w:rPr>
            </w:pPr>
          </w:p>
        </w:tc>
      </w:tr>
      <w:tr>
        <w:trPr>
          <w:trHeight w:val="20"/>
        </w:trPr>
        <w:tc>
          <w:tcPr>
            <w:tcW w:w="1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20" w:type="dxa"/>
            <w:vAlign w:val="bottom"/>
            <w:gridSpan w:val="13"/>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Consolidated Statements of Cash Flows for the fiscal years ended September 27, 2019, September 28, 2018 and</w:t>
              </w:r>
            </w:hyperlink>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57">
              <w:r>
                <w:rPr>
                  <w:rFonts w:ascii="Times New Roman" w:cs="Times New Roman" w:eastAsia="Times New Roman" w:hAnsi="Times New Roman"/>
                  <w:sz w:val="18"/>
                  <w:szCs w:val="18"/>
                  <w:color w:val="0000EE"/>
                  <w:w w:val="98"/>
                </w:rPr>
                <w:t>September 29, 2017</w:t>
              </w:r>
            </w:hyperlink>
          </w:p>
        </w:tc>
        <w:tc>
          <w:tcPr>
            <w:tcW w:w="6600" w:type="dxa"/>
            <w:vAlign w:val="bottom"/>
            <w:tcBorders>
              <w:top w:val="single" w:sz="8" w:color="0000EE"/>
            </w:tcBorders>
            <w:gridSpan w:val="7"/>
          </w:tcPr>
          <w:p>
            <w:pPr>
              <w:spacing w:after="0"/>
              <w:rPr>
                <w:sz w:val="17"/>
                <w:szCs w:val="17"/>
                <w:color w:val="auto"/>
              </w:rPr>
            </w:pPr>
          </w:p>
        </w:tc>
        <w:tc>
          <w:tcPr>
            <w:tcW w:w="1980" w:type="dxa"/>
            <w:vAlign w:val="bottom"/>
            <w:gridSpan w:val="4"/>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95"/>
              </w:rPr>
            </w:pPr>
            <w:hyperlink w:anchor="page57">
              <w:r>
                <w:rPr>
                  <w:rFonts w:ascii="Times New Roman" w:cs="Times New Roman" w:eastAsia="Times New Roman" w:hAnsi="Times New Roman"/>
                  <w:sz w:val="18"/>
                  <w:szCs w:val="18"/>
                  <w:color w:val="0000EE"/>
                  <w:w w:val="95"/>
                </w:rPr>
                <w:t>S-7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20" w:type="dxa"/>
            <w:vAlign w:val="bottom"/>
            <w:gridSpan w:val="13"/>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Consolidated Statements of Stockholders' Equity for the fiscal years ended September 27, 2019, September 28, 2018 and</w:t>
              </w:r>
            </w:hyperlink>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58">
              <w:r>
                <w:rPr>
                  <w:rFonts w:ascii="Times New Roman" w:cs="Times New Roman" w:eastAsia="Times New Roman" w:hAnsi="Times New Roman"/>
                  <w:sz w:val="18"/>
                  <w:szCs w:val="18"/>
                  <w:color w:val="0000EE"/>
                  <w:w w:val="98"/>
                </w:rPr>
                <w:t>September 29, 2017</w:t>
              </w:r>
            </w:hyperlink>
          </w:p>
        </w:tc>
        <w:tc>
          <w:tcPr>
            <w:tcW w:w="7260" w:type="dxa"/>
            <w:vAlign w:val="bottom"/>
            <w:tcBorders>
              <w:top w:val="single" w:sz="8" w:color="0000EE"/>
            </w:tcBorders>
            <w:gridSpan w:val="10"/>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95"/>
              </w:rPr>
            </w:pPr>
            <w:hyperlink w:anchor="page58">
              <w:r>
                <w:rPr>
                  <w:rFonts w:ascii="Times New Roman" w:cs="Times New Roman" w:eastAsia="Times New Roman" w:hAnsi="Times New Roman"/>
                  <w:sz w:val="18"/>
                  <w:szCs w:val="18"/>
                  <w:color w:val="0000EE"/>
                  <w:w w:val="95"/>
                </w:rPr>
                <w:t>S-8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20" w:type="dxa"/>
            <w:vAlign w:val="bottom"/>
            <w:gridSpan w:val="13"/>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Notes to Consolidated Financial Statements</w:t>
              </w:r>
            </w:hyperlink>
          </w:p>
        </w:tc>
        <w:tc>
          <w:tcPr>
            <w:tcW w:w="1000" w:type="dxa"/>
            <w:vAlign w:val="bottom"/>
          </w:tcPr>
          <w:p>
            <w:pPr>
              <w:spacing w:after="0"/>
              <w:rPr>
                <w:sz w:val="21"/>
                <w:szCs w:val="21"/>
                <w:color w:val="auto"/>
              </w:rPr>
            </w:pPr>
          </w:p>
        </w:tc>
        <w:tc>
          <w:tcPr>
            <w:tcW w:w="3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S-9</w:t>
              </w:r>
            </w:hyperlink>
          </w:p>
        </w:tc>
        <w:tc>
          <w:tcPr>
            <w:tcW w:w="0" w:type="dxa"/>
            <w:vAlign w:val="bottom"/>
          </w:tcPr>
          <w:p>
            <w:pPr>
              <w:spacing w:after="0"/>
              <w:rPr>
                <w:sz w:val="1"/>
                <w:szCs w:val="1"/>
                <w:color w:val="auto"/>
              </w:rPr>
            </w:pPr>
          </w:p>
        </w:tc>
      </w:tr>
      <w:tr>
        <w:trPr>
          <w:trHeight w:val="20"/>
        </w:trPr>
        <w:tc>
          <w:tcPr>
            <w:tcW w:w="31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Schedule II—Valuation and Qualifying Accounts and Reserves for the fiscal years ended September 27, 2019,</w:t>
              </w:r>
            </w:hyperlink>
          </w:p>
        </w:tc>
        <w:tc>
          <w:tcPr>
            <w:tcW w:w="2080" w:type="dxa"/>
            <w:vAlign w:val="bottom"/>
            <w:gridSpan w:val="5"/>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September 28, 2018 and September 29, 2017</w:t>
              </w:r>
            </w:hyperlink>
          </w:p>
        </w:tc>
        <w:tc>
          <w:tcPr>
            <w:tcW w:w="6780" w:type="dxa"/>
            <w:vAlign w:val="bottom"/>
            <w:gridSpan w:val="8"/>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93"/>
              </w:rPr>
            </w:pPr>
            <w:hyperlink w:anchor="page109">
              <w:r>
                <w:rPr>
                  <w:rFonts w:ascii="Times New Roman" w:cs="Times New Roman" w:eastAsia="Times New Roman" w:hAnsi="Times New Roman"/>
                  <w:sz w:val="18"/>
                  <w:szCs w:val="18"/>
                  <w:color w:val="0000EE"/>
                  <w:w w:val="93"/>
                </w:rPr>
                <w:t>S-59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the information required to be set forth therein is included in the consolidated financial statements or in the notes thereto.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420"/>
          </w:cols>
          <w:pgMar w:left="240" w:top="175"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Aramark and subsidiaries (the Company) as of September 27, 2019 and September 28, 2018, the related consolidated statements of income, comprehensive income, cash flows, and stockholders’ equity for each of the fiscal years ended September 27, 2019, September 28, 2018 and September 29, 2017 and the related notes and financial statement schedule II (collectively, the consolidated financial statements). In our opinion, the consolidated financial statements present fairly, in all material respects, the financial position of the Company as of September 27, 2019 and September 28, 2018, and the results of its operations and its cash flows for each of the fiscal years ended September 27, 2019, September 28, 2018 and September 29, 2017, in conformity with U.S. generally accepted accounting principles.</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September 27,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November 26, 2019, expressed an unqualified opinion on the effectiveness of the Company’s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 7 to the consolidated financial statements, the Company has changed its method of accounting for revenue as of September 29, 2018 due to the adoption of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Assessment of the carrying value of goodwill in one reporting unit in the FSS International segment</w:t>
      </w:r>
    </w:p>
    <w:p>
      <w:pPr>
        <w:spacing w:after="0" w:line="11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As discussed in Note 4 to the consolidated financial statements, the Company performs goodwill impairment testing on an annual basis and whenever events and changes in circumstances indicate that the carrying value of a reporting unit might exceed its fair value. The goodwill balance as of September 27, 2019 was $5,518.8 million. The Company performed a goodwill impairment test for each reporting unit using a qualitative approach, except for one reporting unit in the FSS International segment which was tested using the quantitative approach. The goodwill balance for that reporting unit was $282.3 million as of September 27, 2019.</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20"/>
          </w:cols>
          <w:pgMar w:left="240" w:top="175"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We identified the assessment of the carrying value of goodwill for that reporting unit as a critical audit matter. Significant auditor judgment was required to evaluate the Company’s impairment test, which was performed using a discounted cash flow model and included assumptions related to forecasted revenue growth rates, earnings, discount rate, and the effect of the Company’s actions to exit or plans to improve the operating performance of certain underperforming client contracts. Minor changes to these key assumptions had a significant effect on the assessment of the carrying value of the goodwill.</w:t>
      </w:r>
    </w:p>
    <w:p>
      <w:pPr>
        <w:spacing w:after="0" w:line="7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 the following. We tested certain internal controls over the Company’s goodwill impairment assessment process, including controls related to the development of the key assumptions. We evaluated the Company’s forecasted revenue growth rates and earnings assumptions by comparing to external market and industry data. We compared the assumptions to the Company’s historical results to assess the Company’s ability to accurately forecast. We assessed the impact of the Company's actions to exit and likelihood of the plans to improve the operating performance of certain underperforming client contracts by comparing the assumptions to the Company’s past performance carrying out similar actions. We involved a valuation professional with specialized skills and knowledge, who assisted in:</w:t>
      </w:r>
    </w:p>
    <w:p>
      <w:pPr>
        <w:spacing w:after="0" w:line="135" w:lineRule="exact"/>
        <w:rPr>
          <w:sz w:val="20"/>
          <w:szCs w:val="20"/>
          <w:color w:val="auto"/>
        </w:rPr>
      </w:pPr>
    </w:p>
    <w:p>
      <w:pPr>
        <w:ind w:left="1420" w:hanging="318"/>
        <w:spacing w:after="0" w:line="28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discount rate, by comparing it against a discount rate range that was independently developed using publicly available third-party market data for comparable entities, and</w:t>
      </w:r>
    </w:p>
    <w:p>
      <w:pPr>
        <w:spacing w:after="0" w:line="53" w:lineRule="exact"/>
        <w:rPr>
          <w:rFonts w:ascii="Times New Roman" w:cs="Times New Roman" w:eastAsia="Times New Roman" w:hAnsi="Times New Roman"/>
          <w:sz w:val="18"/>
          <w:szCs w:val="18"/>
          <w:color w:val="auto"/>
        </w:rPr>
      </w:pPr>
    </w:p>
    <w:p>
      <w:pPr>
        <w:ind w:left="1420" w:hanging="318"/>
        <w:spacing w:after="0" w:line="28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estimate of the reporting unit’s fair value using the reporting unit’s cash flow forecast and an independently developed discount rate, and compared the results of our estimate of fair value to the Company’s fair value estimate.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2019</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20"/>
          </w:cols>
          <w:pgMar w:left="240" w:top="175"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SEPTEMBER 27, 2019 AND SEPTEMBER 28, 2018</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80" w:type="dxa"/>
            <w:vAlign w:val="bottom"/>
          </w:tcPr>
          <w:p>
            <w:pPr>
              <w:spacing w:after="0"/>
              <w:rPr>
                <w:sz w:val="16"/>
                <w:szCs w:val="16"/>
                <w:color w:val="auto"/>
              </w:rPr>
            </w:pPr>
          </w:p>
        </w:tc>
        <w:tc>
          <w:tcPr>
            <w:tcW w:w="14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0" w:type="dxa"/>
            <w:vAlign w:val="bottom"/>
          </w:tcPr>
          <w:p>
            <w:pPr>
              <w:spacing w:after="0"/>
              <w:rPr>
                <w:sz w:val="1"/>
                <w:szCs w:val="1"/>
                <w:color w:val="auto"/>
              </w:rPr>
            </w:pPr>
          </w:p>
        </w:tc>
      </w:tr>
      <w:tr>
        <w:trPr>
          <w:trHeight w:val="249"/>
        </w:trPr>
        <w:tc>
          <w:tcPr>
            <w:tcW w:w="7280" w:type="dxa"/>
            <w:vAlign w:val="bottom"/>
            <w:tcBorders>
              <w:top w:val="single" w:sz="8" w:color="CCEEFF"/>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246,643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215,025</w:t>
            </w:r>
          </w:p>
        </w:tc>
        <w:tc>
          <w:tcPr>
            <w:tcW w:w="0" w:type="dxa"/>
            <w:vAlign w:val="bottom"/>
          </w:tcPr>
          <w:p>
            <w:pPr>
              <w:spacing w:after="0"/>
              <w:rPr>
                <w:sz w:val="1"/>
                <w:szCs w:val="1"/>
                <w:color w:val="auto"/>
              </w:rPr>
            </w:pPr>
          </w:p>
        </w:tc>
      </w:tr>
      <w:tr>
        <w:trPr>
          <w:trHeight w:val="243"/>
        </w:trPr>
        <w:tc>
          <w:tcPr>
            <w:tcW w:w="7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Receivables (less allowances: 2019 - $49,566; 2018 - $52,682)</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1,806,964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1,790,433</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411,319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724,802</w:t>
            </w:r>
          </w:p>
        </w:tc>
        <w:tc>
          <w:tcPr>
            <w:tcW w:w="0" w:type="dxa"/>
            <w:vAlign w:val="bottom"/>
          </w:tcPr>
          <w:p>
            <w:pPr>
              <w:spacing w:after="0"/>
              <w:rPr>
                <w:sz w:val="1"/>
                <w:szCs w:val="1"/>
                <w:color w:val="auto"/>
              </w:rPr>
            </w:pPr>
          </w:p>
        </w:tc>
      </w:tr>
      <w:tr>
        <w:trPr>
          <w:trHeight w:val="243"/>
        </w:trPr>
        <w:tc>
          <w:tcPr>
            <w:tcW w:w="7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193,461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171,165</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2,658,387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2,901,425</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Land, buildings and improvements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947,522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901,874</w:t>
            </w:r>
          </w:p>
        </w:tc>
        <w:tc>
          <w:tcPr>
            <w:tcW w:w="0" w:type="dxa"/>
            <w:vAlign w:val="bottom"/>
          </w:tcPr>
          <w:p>
            <w:pPr>
              <w:spacing w:after="0"/>
              <w:rPr>
                <w:sz w:val="1"/>
                <w:szCs w:val="1"/>
                <w:color w:val="auto"/>
              </w:rPr>
            </w:pPr>
          </w:p>
        </w:tc>
      </w:tr>
      <w:tr>
        <w:trPr>
          <w:trHeight w:val="243"/>
        </w:trPr>
        <w:tc>
          <w:tcPr>
            <w:tcW w:w="7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Service equipment and fixtures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3,993,014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2,296,331</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4,940,536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3,198,205</w:t>
            </w:r>
          </w:p>
        </w:tc>
        <w:tc>
          <w:tcPr>
            <w:tcW w:w="0" w:type="dxa"/>
            <w:vAlign w:val="bottom"/>
          </w:tcPr>
          <w:p>
            <w:pPr>
              <w:spacing w:after="0"/>
              <w:rPr>
                <w:sz w:val="1"/>
                <w:szCs w:val="1"/>
                <w:color w:val="auto"/>
              </w:rPr>
            </w:pPr>
          </w:p>
        </w:tc>
      </w:tr>
      <w:tr>
        <w:trPr>
          <w:trHeight w:val="243"/>
        </w:trPr>
        <w:tc>
          <w:tcPr>
            <w:tcW w:w="7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(2,758,774)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(1,820,111)</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2,181,762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1,378,094</w:t>
            </w: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5,518,800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5,610,568</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2,033,566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2,136,844</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1,343,806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1,693,171</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13,736,321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13,720,102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16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Current maturities of long-term borrowings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69,928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30,907</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999,517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1,018,920</w:t>
            </w:r>
          </w:p>
        </w:tc>
        <w:tc>
          <w:tcPr>
            <w:tcW w:w="0" w:type="dxa"/>
            <w:vAlign w:val="bottom"/>
          </w:tcPr>
          <w:p>
            <w:pPr>
              <w:spacing w:after="0"/>
              <w:rPr>
                <w:sz w:val="1"/>
                <w:szCs w:val="1"/>
                <w:color w:val="auto"/>
              </w:rPr>
            </w:pPr>
          </w:p>
        </w:tc>
      </w:tr>
      <w:tr>
        <w:trPr>
          <w:trHeight w:val="243"/>
        </w:trPr>
        <w:tc>
          <w:tcPr>
            <w:tcW w:w="7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509,617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422,299</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1,126,236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1,018,033</w:t>
            </w:r>
          </w:p>
        </w:tc>
        <w:tc>
          <w:tcPr>
            <w:tcW w:w="0" w:type="dxa"/>
            <w:vAlign w:val="bottom"/>
          </w:tcPr>
          <w:p>
            <w:pPr>
              <w:spacing w:after="0"/>
              <w:rPr>
                <w:sz w:val="1"/>
                <w:szCs w:val="1"/>
                <w:color w:val="auto"/>
              </w:rPr>
            </w:pPr>
          </w:p>
        </w:tc>
      </w:tr>
      <w:tr>
        <w:trPr>
          <w:trHeight w:val="237"/>
        </w:trPr>
        <w:tc>
          <w:tcPr>
            <w:tcW w:w="72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2,705,298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2,490,159</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6,612,239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7,213,077</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1,088,822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977,215</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10,093</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Common stock, par value $.01 (authorized: 600,000,000 shares; issued: 2019—</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282,919,536 shares and 2018—279,314,297; and outstanding: 2019—247,756,091</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2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shares and 2018—246,744,438 shares)</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43"/>
        </w:trPr>
        <w:tc>
          <w:tcPr>
            <w:tcW w:w="7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Capital surplus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3,236,450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3,132,421</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1,107,029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710,519</w:t>
            </w:r>
          </w:p>
        </w:tc>
        <w:tc>
          <w:tcPr>
            <w:tcW w:w="0" w:type="dxa"/>
            <w:vAlign w:val="bottom"/>
          </w:tcPr>
          <w:p>
            <w:pPr>
              <w:spacing w:after="0"/>
              <w:rPr>
                <w:sz w:val="1"/>
                <w:szCs w:val="1"/>
                <w:color w:val="auto"/>
              </w:rPr>
            </w:pPr>
          </w:p>
        </w:tc>
      </w:tr>
      <w:tr>
        <w:trPr>
          <w:trHeight w:val="243"/>
        </w:trPr>
        <w:tc>
          <w:tcPr>
            <w:tcW w:w="7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(91,223)</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Treasury stock (shares held in treasury: 2019—35,163,445 shares and 2018—</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2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32,569,859 shares)</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(724,952)</w:t>
            </w:r>
          </w:p>
        </w:tc>
        <w:tc>
          <w:tcPr>
            <w:tcW w:w="0" w:type="dxa"/>
            <w:vAlign w:val="bottom"/>
          </w:tcPr>
          <w:p>
            <w:pPr>
              <w:spacing w:after="0"/>
              <w:rPr>
                <w:sz w:val="1"/>
                <w:szCs w:val="1"/>
                <w:color w:val="auto"/>
              </w:rPr>
            </w:pPr>
          </w:p>
        </w:tc>
      </w:tr>
      <w:tr>
        <w:trPr>
          <w:trHeight w:val="237"/>
        </w:trPr>
        <w:tc>
          <w:tcPr>
            <w:tcW w:w="72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3,320,047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3,029,558</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13,736,321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13,720,102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e accompanying notes are an integral part of these consolidated financial statements.</w:t>
      </w:r>
    </w:p>
    <w:p>
      <w:pPr>
        <w:spacing w:after="0" w:line="3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240"/>
          </w:cols>
          <w:pgMar w:left="240" w:top="175" w:right="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27, 2019, SEPTEMBER 28, 2018 AND SEPTEMBER 29, 2017</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40" w:type="dxa"/>
            <w:vAlign w:val="bottom"/>
          </w:tcPr>
          <w:p>
            <w:pPr>
              <w:spacing w:after="0"/>
              <w:rPr>
                <w:sz w:val="22"/>
                <w:szCs w:val="22"/>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40" w:type="dxa"/>
            <w:vAlign w:val="bottom"/>
          </w:tcPr>
          <w:p>
            <w:pPr>
              <w:spacing w:after="0"/>
              <w:rPr>
                <w:sz w:val="22"/>
                <w:szCs w:val="22"/>
                <w:color w:val="auto"/>
              </w:rPr>
            </w:pPr>
          </w:p>
        </w:tc>
        <w:tc>
          <w:tcPr>
            <w:tcW w:w="15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69"/>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16,227,341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15,789,633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14,604,412</w:t>
            </w:r>
          </w:p>
        </w:tc>
      </w:tr>
      <w:tr>
        <w:trPr>
          <w:trHeight w:val="22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41"/>
        </w:trPr>
        <w:tc>
          <w:tcPr>
            <w:tcW w:w="5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5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 of services provided</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14,532,662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13,997,911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12,995,403</w:t>
            </w:r>
          </w:p>
        </w:tc>
      </w:tr>
      <w:tr>
        <w:trPr>
          <w:trHeight w:val="243"/>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592,573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596,182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508,212</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and general corporate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367,256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377,129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299,170</w:t>
            </w:r>
          </w:p>
        </w:tc>
      </w:tr>
      <w:tr>
        <w:trPr>
          <w:trHeight w:val="243"/>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 on sale of Healthcare Technologies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15,336,182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14,971,222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13,802,785</w:t>
            </w:r>
          </w:p>
        </w:tc>
      </w:tr>
      <w:tr>
        <w:trPr>
          <w:trHeight w:val="237"/>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891,159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818,411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801,627</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334,987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346,535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280,985</w:t>
            </w: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556,172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471,876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520,642</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107,706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146,455</w:t>
            </w:r>
          </w:p>
        </w:tc>
      </w:tr>
      <w:tr>
        <w:trPr>
          <w:trHeight w:val="237"/>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448,466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568,440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374,187</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w:t>
            </w:r>
          </w:p>
        </w:tc>
      </w:tr>
      <w:tr>
        <w:trPr>
          <w:trHeight w:val="237"/>
        </w:trPr>
        <w:tc>
          <w:tcPr>
            <w:tcW w:w="5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448,549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567,885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373,923</w:t>
            </w:r>
          </w:p>
        </w:tc>
      </w:tr>
      <w:tr>
        <w:trPr>
          <w:trHeight w:val="67"/>
        </w:trPr>
        <w:tc>
          <w:tcPr>
            <w:tcW w:w="57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78"/>
        </w:trPr>
        <w:tc>
          <w:tcPr>
            <w:tcW w:w="5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 attributable to Aramark stockholders: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5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246,854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245,771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244,453</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5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252,010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253,352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251,557</w:t>
            </w:r>
          </w:p>
        </w:tc>
      </w:tr>
      <w:tr>
        <w:trPr>
          <w:trHeight w:val="27"/>
        </w:trPr>
        <w:tc>
          <w:tcPr>
            <w:tcW w:w="5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20"/>
          </w:cols>
          <w:pgMar w:left="240" w:top="175"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27, 2019, SEPTEMBER 28, 2018 AND SEPTEMBER 29, 2017</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2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40" w:type="dxa"/>
            <w:vAlign w:val="bottom"/>
          </w:tcPr>
          <w:p>
            <w:pPr>
              <w:spacing w:after="0"/>
              <w:rPr>
                <w:sz w:val="22"/>
                <w:szCs w:val="22"/>
                <w:color w:val="auto"/>
              </w:rPr>
            </w:pPr>
          </w:p>
        </w:tc>
        <w:tc>
          <w:tcPr>
            <w:tcW w:w="15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49"/>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448,466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568,440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374,187</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Pension plan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19,992</w:t>
            </w:r>
          </w:p>
        </w:tc>
      </w:tr>
      <w:tr>
        <w:trPr>
          <w:trHeight w:val="243"/>
        </w:trPr>
        <w:tc>
          <w:tcPr>
            <w:tcW w:w="5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5,903</w:t>
            </w: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39,311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19,449</w:t>
            </w: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10,130</w:t>
            </w:r>
          </w:p>
        </w:tc>
      </w:tr>
      <w:tr>
        <w:trPr>
          <w:trHeight w:val="243"/>
        </w:trPr>
        <w:tc>
          <w:tcPr>
            <w:tcW w:w="5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 of equity investee's comprehensive income (loss)</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1,549</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32,537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57,023</w:t>
            </w:r>
          </w:p>
        </w:tc>
      </w:tr>
      <w:tr>
        <w:trPr>
          <w:trHeight w:val="237"/>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322,724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600,977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431,210</w:t>
            </w: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w:t>
            </w:r>
          </w:p>
        </w:tc>
      </w:tr>
      <w:tr>
        <w:trPr>
          <w:trHeight w:val="237"/>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322,807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600,422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430,946</w:t>
            </w:r>
          </w:p>
        </w:tc>
      </w:tr>
      <w:tr>
        <w:trPr>
          <w:trHeight w:val="27"/>
        </w:trPr>
        <w:tc>
          <w:tcPr>
            <w:tcW w:w="5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320"/>
          </w:cols>
          <w:pgMar w:left="240" w:top="175"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27, 2019, SEPTEMBER 28, 2018 AND SEPTEMBER 29, 2017</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00" w:type="dxa"/>
            <w:vAlign w:val="bottom"/>
          </w:tcPr>
          <w:p>
            <w:pPr>
              <w:spacing w:after="0"/>
              <w:rPr>
                <w:sz w:val="22"/>
                <w:szCs w:val="22"/>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80" w:type="dxa"/>
            <w:vAlign w:val="bottom"/>
          </w:tcPr>
          <w:p>
            <w:pPr>
              <w:spacing w:after="0"/>
              <w:rPr>
                <w:sz w:val="22"/>
                <w:szCs w:val="22"/>
                <w:color w:val="auto"/>
              </w:rPr>
            </w:pPr>
          </w:p>
        </w:tc>
        <w:tc>
          <w:tcPr>
            <w:tcW w:w="15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29, 2017</w:t>
            </w:r>
          </w:p>
        </w:tc>
        <w:tc>
          <w:tcPr>
            <w:tcW w:w="0" w:type="dxa"/>
            <w:vAlign w:val="bottom"/>
          </w:tcPr>
          <w:p>
            <w:pPr>
              <w:spacing w:after="0"/>
              <w:rPr>
                <w:sz w:val="1"/>
                <w:szCs w:val="1"/>
                <w:color w:val="auto"/>
              </w:rPr>
            </w:pPr>
          </w:p>
        </w:tc>
      </w:tr>
      <w:tr>
        <w:trPr>
          <w:trHeight w:val="178"/>
        </w:trPr>
        <w:tc>
          <w:tcPr>
            <w:tcW w:w="60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60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448,466</w:t>
            </w:r>
          </w:p>
        </w:tc>
        <w:tc>
          <w:tcPr>
            <w:tcW w:w="12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568,440</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374,187</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592,573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596,182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508,212</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40,503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(37,856)</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55,280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88,276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65,155</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Net gain on sale of Healthcare Technologies</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(111,423)</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(40,187)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(21,147)</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42,450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95,536</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17,680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26,658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93,965</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193,532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26,804</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Payments made to clients on contracts (see Note 7)</w:t>
            </w: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Changes in other noncurrent liabilities</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18,904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31,959</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Changes in other assets</w:t>
            </w: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(9,342)</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32,271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36,776</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Pr>
          <w:p>
            <w:pPr>
              <w:spacing w:after="0"/>
              <w:rPr>
                <w:sz w:val="15"/>
                <w:szCs w:val="15"/>
                <w:color w:val="auto"/>
              </w:rPr>
            </w:pPr>
          </w:p>
        </w:tc>
        <w:tc>
          <w:tcPr>
            <w:tcW w:w="1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984,227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1,051,875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1,052,826</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60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Purchases of property and equipment and other</w:t>
            </w: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(503,090)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(628,604)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(552,729)</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Disposals of property and equipment</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17,871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18,906</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divestitures</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293,711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Acquisition of certain businesses, net of cash acquired</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Working capital other than cash acquired</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10,634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37,985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8,114</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Property and equipment</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Additions to goodwill, other intangible assets and other assets, net</w:t>
            </w: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(1,994,822)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(147,963)</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governmental agencies related to property and equipment</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23,025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(209,521)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(2,865,276)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(678,484)</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6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77,630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3,177,313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3,851,417</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Payments of long-term borrowings</w:t>
            </w: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(654,560)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(973,689)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(3,911,992)</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change in funding under the Receivables Facility</w:t>
            </w:r>
          </w:p>
        </w:tc>
        <w:tc>
          <w:tcPr>
            <w:tcW w:w="20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Payments of dividends</w:t>
            </w: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(108,439)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(103,115)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(100,813)</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39,087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28,779</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(42,277)</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(734,892)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1,794,153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(288,686)</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foreign exchange rates on cash and cash equivalents</w:t>
            </w: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200" w:type="dxa"/>
            <w:vAlign w:val="bottom"/>
          </w:tcPr>
          <w:p>
            <w:pPr>
              <w:spacing w:after="0"/>
              <w:rPr>
                <w:sz w:val="15"/>
                <w:szCs w:val="15"/>
                <w:color w:val="auto"/>
              </w:rPr>
            </w:pPr>
          </w:p>
        </w:tc>
        <w:tc>
          <w:tcPr>
            <w:tcW w:w="1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31,618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(23,772)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86,217</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215,025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238,797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152,580</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246,643</w:t>
            </w:r>
          </w:p>
        </w:tc>
        <w:tc>
          <w:tcPr>
            <w:tcW w:w="120" w:type="dxa"/>
            <w:vAlign w:val="bottom"/>
          </w:tcPr>
          <w:p>
            <w:pPr>
              <w:spacing w:after="0"/>
              <w:rPr>
                <w:sz w:val="15"/>
                <w:szCs w:val="15"/>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215,025</w:t>
            </w:r>
          </w:p>
        </w:tc>
        <w:tc>
          <w:tcPr>
            <w:tcW w:w="12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238,797</w:t>
            </w:r>
          </w:p>
        </w:tc>
        <w:tc>
          <w:tcPr>
            <w:tcW w:w="0" w:type="dxa"/>
            <w:vAlign w:val="bottom"/>
          </w:tcPr>
          <w:p>
            <w:pPr>
              <w:spacing w:after="0"/>
              <w:rPr>
                <w:sz w:val="1"/>
                <w:szCs w:val="1"/>
                <w:color w:val="auto"/>
              </w:rPr>
            </w:pPr>
          </w:p>
        </w:tc>
      </w:tr>
      <w:tr>
        <w:trPr>
          <w:trHeight w:val="64"/>
        </w:trPr>
        <w:tc>
          <w:tcPr>
            <w:tcW w:w="606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420"/>
          </w:cols>
          <w:pgMar w:left="240" w:top="175"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27, 2019, SEPTEMBER 28, 2018 AND SEPTEMBER 29, 2017</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80" w:type="dxa"/>
            <w:vAlign w:val="bottom"/>
          </w:tcPr>
          <w:p>
            <w:pPr>
              <w:spacing w:after="0"/>
              <w:rPr>
                <w:sz w:val="13"/>
                <w:szCs w:val="13"/>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8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 Surplus</w:t>
            </w:r>
          </w:p>
        </w:tc>
        <w:tc>
          <w:tcPr>
            <w:tcW w:w="14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 (Accumulated</w:t>
            </w:r>
          </w:p>
        </w:tc>
        <w:tc>
          <w:tcPr>
            <w:tcW w:w="18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30, 2016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2,161,006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2,921,725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(548,884)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1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Aramark</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373,923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373,923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57,023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57,023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Capital contributions from issuance of</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35,724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35,679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65,155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(132,662)</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of dividends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29,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2,459,061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3,014,546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247,050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(681,546)</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Net income attributable to Aramark</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567,885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567,885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32,537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contributions from issuance of</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29,599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88,276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Payments of dividends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September 28, 2018</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3,029,558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3,132,421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710,519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(91,223)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(724,952)</w:t>
            </w:r>
          </w:p>
        </w:tc>
        <w:tc>
          <w:tcPr>
            <w:tcW w:w="0" w:type="dxa"/>
            <w:vAlign w:val="bottom"/>
          </w:tcPr>
          <w:p>
            <w:pPr>
              <w:spacing w:after="0"/>
              <w:rPr>
                <w:sz w:val="1"/>
                <w:szCs w:val="1"/>
                <w:color w:val="auto"/>
              </w:rPr>
            </w:pPr>
          </w:p>
        </w:tc>
      </w:tr>
      <w:tr>
        <w:trPr>
          <w:trHeight w:val="67"/>
        </w:trPr>
        <w:tc>
          <w:tcPr>
            <w:tcW w:w="3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440" w:type="dxa"/>
            <w:vAlign w:val="bottom"/>
            <w:tcBorders>
              <w:bottom w:val="single" w:sz="8" w:color="CCEEFF"/>
            </w:tcBorders>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Adoption of new accounting standard</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58,395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58,395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attributable to Aramark</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448,549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448,549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contributions from issuance of</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48,785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48,749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Payments of dividends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September 27, 2019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3,320,047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3,236,450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1,107,029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(809,296)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20"/>
          </w:cols>
          <w:pgMar w:left="240" w:top="175"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BASIS OF PRESENTATION AND SUMMARY OF SIGNIFICANT ACCOUNTING POLICIES:</w:t>
      </w:r>
    </w:p>
    <w:p>
      <w:pPr>
        <w:spacing w:after="0" w:line="14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w:t>
      </w:r>
    </w:p>
    <w:p>
      <w:pPr>
        <w:spacing w:after="0" w:line="95" w:lineRule="exact"/>
        <w:rPr>
          <w:sz w:val="20"/>
          <w:szCs w:val="20"/>
          <w:color w:val="auto"/>
        </w:rPr>
      </w:pPr>
    </w:p>
    <w:p>
      <w:pPr>
        <w:ind w:left="660" w:right="4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United States ("FSS United States") - Food, refreshment, specialized dietary and support services, including facility maintenance and housekeeping, provided to business, educational and healthcare institutions and in sports, leisure and other facilities.</w:t>
      </w:r>
    </w:p>
    <w:p>
      <w:pPr>
        <w:spacing w:after="0" w:line="80"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International ("FSS International") - Food, refreshment, specialized dietary and support services, including facility maintenance and housekeeping, provided to business, educational and healthcare institutions and in sports, leisure and other facilities.</w:t>
      </w:r>
    </w:p>
    <w:p>
      <w:pPr>
        <w:spacing w:after="0" w:line="80"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Uniform and Career Apparel ("Uniform") - Provides a full service employee uniform solution, including design, sourcing and manufacturing, delivery, cleaning and maintenance on a contract basis. Directly markets personalized uniforms and accessories, provides managed restroom services and rents uniforms, work clothing, outerwear, particulate-free garments and non-garment items and related services, including mats, shop towels and first aid supplies, to clients in a wide range of industries in the United States, Puerto Rico, Canada and through a joint venture in Japan, including the manufacturing, transportation, construction, restaurant and hotel, healthcare and pharmaceutical industries.</w:t>
      </w:r>
    </w:p>
    <w:p>
      <w:pPr>
        <w:spacing w:after="0" w:line="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all of its subsidiaries in which a controlling financial interest is maintained in accordance with generally accepted accounting principles in the United States ("U.S. GAAP"). All significant intercompany transactions and accounts have been eliminated.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4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fiscal year is the fifty-two or fifty-three week period which ends on the Friday nearest September 30th. The fiscal years ended September 27, 2019, September 28, 2018 and September 29, 2017 were each fifty-two week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Standards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October 2018, the Financial Accounting Standards Board ("FASB") issued an accounting standards update ("ASU") which permits the use of the Overnight Index Swap Rate based on the Secured Overnight Financing Rate as a U.S. benchmark interest rate for hedge accounting purposes. The guidance is effective for the Company in the first quarter of fiscal 2020. The Company early adopted the guidance in the first quarter of fiscal 2019, which did not have an impact on the consolidated financial statements, as the Company's existing interest rate hedges use LIBOR as the benchmark interest rate. The use of the Secured Overnight Financing Rate Overnight Index Swap Rate as the benchmark interest rate may be contemplated in future hedging arrangements.</w:t>
      </w:r>
    </w:p>
    <w:p>
      <w:pPr>
        <w:spacing w:after="0" w:line="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February 2018, the FASB issued an ASU which provides clarification regarding guidance related to the financial instrument standard. The guidance was effective for the Company in the first quarter of fiscal 2019. The Company adopted the guidance in the first quarter of fiscal 2019, which did not have an impact on the consolidated financial statements.</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May 2017, the FASB issued an ASU to clarify the determination of the customer of the operation services in a service concession arrangement. The guidance was effective for the Company in the first quarter of fiscal 2019. The Company adopted this standard in the first quarter of fiscal 2019, which did not have a material impact on the consolidated financial statements.</w:t>
      </w:r>
    </w:p>
    <w:p>
      <w:pPr>
        <w:spacing w:after="0" w:line="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March 2017, the FASB issued an ASU to improve the presentation of net periodic pension cost and net periodic postretirement benefit cost. The guidance was effective for the Company in the first quarter of fiscal 2019. The Company adopted the guidance during the first quarter of fiscal 2019, which did not result in an impact to net income. However, certain balances, including $7.7 million and $6.4 million for the fiscal years ended September 28, 2018 and September 29, 2017, respectively, were reclassified from "Cost of services provided" to "Interest and Other Financing Costs, net" on the Consolidated Statements of Income. The Company applied the practical expedient allowing for the use of amounts disclosed in the pension footnote for prior comparative periods as an estimation basis for applying the retrospective presentation requirements.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00"/>
          </w:cols>
          <w:pgMar w:left="240" w:top="175" w:right="25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February 2017, the FASB issued an ASU to clarify the accounting guidance for partial sales of nonfinancial assets. The guidance was effective for the Company in the first quarter of fiscal 2019. The Company adopted the guidance in the first quarter of fiscal 2019, which did not have an impact on the consolidated financial statements.</w:t>
      </w:r>
    </w:p>
    <w:p>
      <w:pPr>
        <w:spacing w:after="0" w:line="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January 2017, the FASB issued an ASU to clarify the definition of a business. The guidance was effective for the Company in the first quarter of fiscal 2019. The Company adopted the guidance in the first quarter of fiscal 2019, using the prospective method, which did not have a material impact on the consolidated financial statements.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an ASU to address certain aspects of recognition, measurement, presentation and disclosure of financial instruments. Under this guidance, equity investments, other than those accounted for under the equity method of accounting or those that result in consolidation of the investee, are to be measured at fair value with the changes in fair value recognized in net income. The guidance was effective for the Company in the first quarter of fiscal 2019. The Company adopted the guidance in the first quarter of fiscal 2019. Due to the lack of readily available fair values for the Company's equity investments, other than those accounted for under the equity method of accounting, the Company elected to apply the practical expedient to measure these investments at cost minus impairment plus or minus changes resulting from observable price changes in orderly transactions for identical or similar investments of the same issuer. The guidance did not have an impact on the Company's consolidated financial statements.</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2014, the FASB issued an ASU on revenue from contracts with customers which superseded most current revenue recognition guidance. The standard outlines a single comprehensive model which requires an entity to recognize the amount of revenue to which it expects to be entitled for the transfer of promised goods or services to customers. Additionally, the standard requires disclosures regarding the nature, amount, timing and uncertainty of revenue and cash flows arising from contracts with customers. The Company adopted this guidance on September 29, 2018 (the first day of fiscal 2019).</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new revenue recognition guidance, the Company completed a comprehensive contract review project and an evaluation of the standard's impact on the timing and presentation of various financial aspects of its contractual arrangements. The Company identified and implemented appropriate changes to business processes, controls and systems to support recognition and disclosure under the new standard. The adoption of the guidance did not have a material impact on the timing of revenue recognition or net income, but it did have an impact on the financial statement line item classification of certain items (see Note 7).</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adopted the new revenue recognition guidance using the modified retrospective transition method. This method allows the new standard to be applied retrospectively through a cumulative catch up adjustment recognized upon adoption. As such, comparative information in the Company’s financial statements has not been restated and continues to be reported under the accounting standards in effect for those periods. The cumulative transition adjustment, net of tax, was an increase to retained earnings upon adoption (approximately $58.4 million) mainly to capitalize costs to obtain contracts related to employee commissions previously expensed. See Note 7 for further information on the impact of adopting the new revenue recognition standard.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Not Yet Adopted (from most to least recent date of issuance)</w:t>
      </w:r>
    </w:p>
    <w:p>
      <w:pPr>
        <w:spacing w:after="0" w:line="11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May 2019, the FASB issued an ASU which provides the option to irrevocably elect to apply the fair value measurement option on an instrument-by-instrument basis for certain financial instruments within the scope of the credit losses on financial instruments standard. The guidance is effective for the Company in the first quarter of fiscal 2021 when the credit losses on financial instruments standard will be adopted and early adoption is permitted. The Company is currently evaluating the impact of the pronouncement.</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April 2019, the FASB issued an ASU which provides clarification, error corrections and improvements to existing guidance related to the credit losses on financial instruments ASU issued in June 2016, the derivatives and hedging ASU issued in August 2017 and the financial instruments ASU issued in January 2016. The guidance related to the credit losses on financial instruments ASU is effective for the Company in the first quarter of 2021 when the related ASU is adopted, while the guidance related to the derivatives and hedging and the financial instruments ASUs are effective for the Company in the first quarter of fiscal 2020 and the first quarter of 2021, respectively. Early adoption is permitted. The Company will adopt the guidance related to derivatives and hedging in the first quarter of fiscal 2020 and does not expect a material impact on the consolidated financial statements. The Company is currently evaluating the impact of the remaining amendments of the pronouncement.</w:t>
      </w:r>
    </w:p>
    <w:p>
      <w:pPr>
        <w:spacing w:after="0" w:line="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March 2019, the FASB issued an ASU which provides clarification regarding three issues related to the lease recognition standard. The guidance is effective for the Company in the first quarter of fiscal 2020 when the lease recognition standard will be adopted. See below for further discussion regarding the impact of this standard.</w:t>
      </w:r>
    </w:p>
    <w:p>
      <w:pPr>
        <w:spacing w:after="0" w:line="6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August 2018, the FASB issued an ASU which adds, modifies and removes several disclosure requirements related to defined benefit pension plans. The guidance is effective for the Company in the first quarter of fiscal 2022 and early adoption is permitted. The Company is currently evaluating the impact of the pronouncement.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00"/>
          </w:cols>
          <w:pgMar w:left="240" w:top="175" w:right="2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August 2018, the FASB issued an ASU which adds, modifies and removes several disclosure requirements related to fair value measurements. The guidance is effective for the Company in the first quarter of fiscal 2021 and early adoption is permitted. The Company is currently evaluating the impact of the pronouncement.</w:t>
      </w:r>
    </w:p>
    <w:p>
      <w:pPr>
        <w:spacing w:after="0" w:line="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July 2018, the FASB issued two ASUs regarding the lease recognition standard. The guidance provides clarification on issues identified regarding the adoption of the standard, provides an additional transition method to adopt the standard and provides an additional practical expedient to lessors. The guidance is effective for the Company in the first quarter of fiscal 2020. See below for further discussion regarding the impact of this standard.</w:t>
      </w:r>
    </w:p>
    <w:p>
      <w:pPr>
        <w:spacing w:after="0" w:line="6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July 2018, the FASB issued an ASU which clarifies, corrects errors in or makes minor improvements to the Accounting Standards Codification. The guidance is effective for the Company either upon issuance or in the first quarter of fiscal 2020, depending on the amendment. There was no impact on the consolidated financial statements related to the amendments that were effective upon issuance of the guidance. The Company will adopt the remaining amendments of the pronouncement in the first quarter of fiscal 2020 and does not expect a material impact on the consolidated financial statements.</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February 2018, the FASB issued an ASU which allows for the reclassification of stranded tax effects resulting from the Tax Cuts and Jobs Act from accumulated other comprehensive income to retained earnings. The guidance is effective for the Company in the first quarter of fiscal 2020. The Company does not expect this pronouncement to have a material impact on the Company's consolidated financial statements.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2017, the FASB issued an ASU to provide additional implementation guidance with respect to the revenue recognition standard (see above) and the leases recognition standard (see below). The guidance is effective for the Company in the first quarter of fiscal 2019 with respect to the revenue recognition standard and in the first quarter of fiscal 2020 with respect to the lease recognition standard. The Company adopted the revenue related portions of this standard in conjunction with the revenue recognition standard during the first quarter of fiscal 2019, as described above. The lease related portions of this standard will be adopted in the first quarter of fiscal 2020 in conjunction with the lease recognition standard.</w:t>
      </w:r>
    </w:p>
    <w:p>
      <w:pPr>
        <w:spacing w:after="0" w:line="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June 2016, the FASB issued an ASU to require entities to account for expected credit losses on financial instruments including trade receivables. The guidance is effective for the Company in the first quarter of fiscal 2021 and early adoption is permitted. The Company is currently evaluating the impact of the pronouncement.</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an ASU requiring lessees to recognize most leases on their balance sheets as lease liabilities with corresponding right-of-use assets and to disclose key information about lease arrangements. Recognition of expense on the Consolidated Statements of Income will continue in a manner similar to current guidance. The Company will adopt this guidance using the modified retrospective approach with an adjustment to recognize lease liabilities offset by a right-of-use asset. This adjustment will be recorded at the beginning of the period of adoption in the first quarter of fiscal 2020; therefore, the Company will recognize and measure leases without revising comparative period information or disclosure.</w:t>
      </w:r>
    </w:p>
    <w:p>
      <w:pPr>
        <w:spacing w:after="0" w:line="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existing leases as of the effective date, the Company will elect the package of practical expedients available at transition to not reassess historical lease determinations, lease classifications and initial direct costs. Additionally, the Company will not elect the use of hindsight for determining the reasonably certain lease term. The Company will elect the short-term lease recognition exemption whereby lease-related assets and liabilities will not be recognized for arrangements with terms less than one year.</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substantially completed its review of lease arrangements in order to determine the impact the adoption of this ASU will have on its consolidated financial statements and related disclosures. The Company has also implemented a new lease system in connection with the adoption of this standard. The majority of the Company's lease spend relates to certain real estate, with the remaining lease spend primarily related to vehicles and equipment. Based on its assessment, adoption of the standard is expected to result in the recognition of lease liabilities and associated right of use assets of approximately $410.0 million to $440.0 million and approximately $540.0 million and $570.0 million, respectively. The expected right of use assets include $167.0 million of long-term prepaid rent associated with certain leases at client locations. The Company does not expect adoption of the standard to significantly impact its Consolidated Statements of Income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upon the transfer of control of the promised product or service to customers in an amount that reflects the consideration the Company expects to receive in exchange for those goods and services. In each of the Company's operating segments, revenue is recognized over time in the period in which services are provided pursuant to the terms of the Company's contractual relationships with its clients. The Company generally records revenue on food and support services contracts (both profit and loss contracts and client interest contracts) on a gross basis as the Company is the primary obligor and service provider. See Note 7 for additional information on revenue recognition.</w:t>
      </w:r>
    </w:p>
    <w:p>
      <w:pPr>
        <w:spacing w:after="0" w:line="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Certain profit and loss contracts include payments to the client, typically calculated as a fixed or variable percentage of various categories of revenue and income. In some cases these contracts require minimum guaranteed payments that are contingent on certain future events. These expenses are currently recorded in “Cost of services provided.”</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380"/>
          </w:cols>
          <w:pgMar w:left="240" w:top="175" w:right="27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Revenue from client interest contracts is generally comprised of amounts billed to clients for food, labor and other costs that the Company incurs, controls and pays for. Revenue from these contracts also includes any associated management fees, client subsidies or incentive fees based upon the Company's performance under the contract. Revenue from direct marketing activities is recognized at a point in time upon shipment. All revenue related taxes are presented on a net basis.</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 Company records an accounts receivable balance when revenue is recognized prior to or at the time of invoicing the customer. A majority of the Company’s receivables balances are based on contracts with customers.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estimates and reserves for its bad debt exposure based on its experience with past due accounts and collectability, the aging of accounts receivable and its analysis of customer data. Bad debt expense is classified within “Cost of services provided.”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 Consideration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Consideration received from vendors includes rebates, allowances and volume discounts and are accounted for as an adjustment to the cost of the vendors' products or services and are reported as a reduction of "Cost of services provided," "Inventory," or "Property and equipment, net." Income from rebates, allowances and volume discounts is recognized based on actual purchases in the fiscal period relative to total actual purchases to be made for the contractual rebate period agreed to with the vendor. Rebates, allowances and volume discounts related to “Inventory” held at the balance sheet date are deducted from the carrying value of these inventories. Rebates, allowances and volume discounts related to "Property and equipment, net" are deducted from the costs capitalized.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materially differ from those estimates.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Comprehensive income includes all changes to stockholders' equity during a period, except those resulting from investments by and distributions to stockholders. Components of comprehensive income include net income (loss), changes in foreign currency translation adjustments (net of tax), pension plan adjustments (net of tax), changes in the fair value of cash flow hedges (net of tax) and changes to the share of any equity investees' comprehensive income (loss) (net of tax).</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400"/>
          </w:cols>
          <w:pgMar w:left="240" w:top="175" w:right="25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the components of comprehensive income is as follows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September 29, 2017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8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110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86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1100" w:type="dxa"/>
            <w:vAlign w:val="bottom"/>
            <w:gridSpan w:val="3"/>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4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Pre-Tax</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78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2"/>
            <w:vMerge w:val="continue"/>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vMerge w:val="continue"/>
          </w:tcPr>
          <w:p>
            <w:pPr>
              <w:spacing w:after="0"/>
              <w:rPr>
                <w:sz w:val="16"/>
                <w:szCs w:val="16"/>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vMerge w:val="continue"/>
          </w:tcPr>
          <w:p>
            <w:pPr>
              <w:spacing w:after="0"/>
              <w:rPr>
                <w:sz w:val="16"/>
                <w:szCs w:val="16"/>
                <w:color w:val="auto"/>
              </w:rPr>
            </w:pP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top w:val="single" w:sz="8" w:color="auto"/>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448,466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568,440</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4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374,187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(29,137)</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6,543</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(22,594)</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20,647</w:t>
            </w:r>
          </w:p>
        </w:tc>
        <w:tc>
          <w:tcPr>
            <w:tcW w:w="20" w:type="dxa"/>
            <w:vAlign w:val="bottom"/>
            <w:tcBorders>
              <w:top w:val="single" w:sz="8" w:color="auto"/>
            </w:tcBorders>
          </w:tcPr>
          <w:p>
            <w:pPr>
              <w:spacing w:after="0"/>
              <w:rPr>
                <w:sz w:val="20"/>
                <w:szCs w:val="20"/>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22,548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19,992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(34,099)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(34,308)</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(31,003)</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(31,253)</w:t>
            </w:r>
          </w:p>
        </w:tc>
        <w:tc>
          <w:tcPr>
            <w:tcW w:w="9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gains (losses)</w:t>
            </w: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arising during the period</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(84,392)</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21,942</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(62,450)</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55,445</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(16,134)</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39,311</w:t>
            </w:r>
          </w:p>
        </w:tc>
        <w:tc>
          <w:tcPr>
            <w:tcW w:w="9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19,449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(6,484)</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1,686</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3,675</w:t>
            </w: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16,606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equity investee's</w:t>
            </w: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(1,592)</w:t>
            </w:r>
          </w:p>
        </w:tc>
        <w:tc>
          <w:tcPr>
            <w:tcW w:w="110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w:t>
            </w:r>
          </w:p>
        </w:tc>
        <w:tc>
          <w:tcPr>
            <w:tcW w:w="9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(155,704)</w:t>
            </w: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29,962</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(125,742)</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59,434</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(26,897)</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32,537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79,324</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(22,301)</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322,724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600,977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431,210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w:t>
            </w: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noncontrolling</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6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Comprehensive income</w:t>
            </w: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 Aramark</w:t>
            </w:r>
          </w:p>
        </w:tc>
        <w:tc>
          <w:tcPr>
            <w:tcW w:w="10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322,807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600,422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430,946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0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gridSpan w:val="4"/>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7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Accumulated other comprehensive loss consists of the following (in thousands):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Borders>
              <w:bottom w:val="single" w:sz="8" w:color="CCEEFF"/>
            </w:tcBorders>
          </w:tcPr>
          <w:p>
            <w:pPr>
              <w:spacing w:after="0"/>
              <w:rPr>
                <w:sz w:val="24"/>
                <w:szCs w:val="24"/>
                <w:color w:val="auto"/>
              </w:rPr>
            </w:pPr>
          </w:p>
        </w:tc>
        <w:tc>
          <w:tcPr>
            <w:tcW w:w="26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plan adjustments</w:t>
            </w:r>
          </w:p>
        </w:tc>
        <w:tc>
          <w:tcPr>
            <w:tcW w:w="10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(128,119)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hedges</w:t>
            </w:r>
          </w:p>
        </w:tc>
        <w:tc>
          <w:tcPr>
            <w:tcW w:w="10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Share of equity investee's accumulated other comprehensive loss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14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Gains and losses resulting from the translation of financial statements of non-U.S. subsidiaries are reflected as a component of accumulated other comprehensive income (loss) in stockholders' equity. During both fiscal 2019 and fiscal 2018, Argentina was determined to have a highly inflationary economy. As a result, the Company remeasured the financial statements of Argentina's operations in accordance with the accounting guidance for highly inflationary economies. The impact of the remeasurements was a foreign currency transaction loss of approximately $4.9 million and $3.8 million during fiscal 2019 and 2018, respectively, to the Consolidated Statements of Income. The impact of foreign currency transaction gains and losses exclusive of Argentina's operations included in the Company's operating results for fiscal 2019, fiscal 2018 and fiscal 2017 were immaterial to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equivalents.</w:t>
      </w:r>
    </w:p>
    <w:p>
      <w:pPr>
        <w:spacing w:after="0" w:line="14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fiscal 2019, the Company began insuring portions of its general liability, automobile liability and workers’ compensation risks through a wholly owned captive insurance subsidiary (the "Captive"), to enhance its risk financing strategies. The Captive is subject to regulation in its jurisdiction of domicile, including regulations relating to levels of liquidity and solvency as such concepts are defined by the regulator. The Captive was in compliance with these regulations as of year-end. These regulations may have the effect of limiting the Company's ability to access certain cash and cash equivalents held by the Captive for uses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420"/>
          </w:cols>
          <w:pgMar w:left="240" w:top="175"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other than for the payment of its general liability, automobile liability and workers’ compensation claims and related Captive costs. As of September 27, 2019, cash and cash equivalents at the Captive was $50.4 million.</w:t>
      </w:r>
    </w:p>
    <w:p>
      <w:pPr>
        <w:spacing w:after="0" w:line="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is self-insured for a limited portion of the risk retained under its general liability, automobile liability and workers’ compensation insurance arrangements. Self-insurance reserves are recorded based on actuarial analyses.</w:t>
      </w:r>
    </w:p>
    <w:p>
      <w:pPr>
        <w:spacing w:after="0" w:line="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(principally the first-in, first-out method) and net realizable value. As of September 27, 2019 and September 28, 2018, the Company's reserve for inventory obsolescence was approximately $23.6 million and $21.5 million, respectively. The inventory obsolescence reserve is determined based on history and specific identification.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22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1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49"/>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w:t>
            </w: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70"/>
        </w:trPr>
        <w:tc>
          <w:tcPr>
            <w:tcW w:w="71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Career apparel and linens</w:t>
            </w:r>
            <w:r>
              <w:rPr>
                <w:rFonts w:ascii="Times New Roman" w:cs="Times New Roman" w:eastAsia="Times New Roman" w:hAnsi="Times New Roman"/>
                <w:sz w:val="25"/>
                <w:szCs w:val="25"/>
                <w:color w:val="auto"/>
                <w:vertAlign w:val="superscript"/>
              </w:rPr>
              <w:t>(1)</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Parts, supplies and novelties</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7100" w:type="dxa"/>
            <w:vAlign w:val="bottom"/>
          </w:tcPr>
          <w:p>
            <w:pPr>
              <w:spacing w:after="0"/>
              <w:rPr>
                <w:sz w:val="20"/>
                <w:szCs w:val="20"/>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7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500" w:hanging="336"/>
        <w:spacing w:after="0"/>
        <w:tabs>
          <w:tab w:leader="none" w:pos="50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 xml:space="preserve">Decrease during fiscal 2019 due to the Company's adoption of Accounting Standards Codification ("ASC") 606, </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xml:space="preserve"> (see Note 7).</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Property and equipment are stated at cost and are depreciated over their estimated useful lives on a straight-line basis. Gains and losses on dispositions are included in operating results. Maintenance and repairs are charged to current operations and replacements and significant improvements that extend the useful life of the asset are capitalized. The estimated useful lives for the major categories of property and equipment are 10 to 40 years for buildings and improvements and 3 to 10 years for service equipment and fixtures. Depreciation expense during fiscal 2019, fiscal 2018 and fiscal 2017 was $421.4 million, $270.0 million, and $237.9 million, respectively. The increase from fiscal 2018 to fiscal 2019 is due to the Company's adoption of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(see Note 7). The increase from fiscal 2017 to fiscal 2018 is primarily driven by the acquisition of AmeriPride (see Note 2).</w:t>
      </w:r>
    </w:p>
    <w:p>
      <w:pPr>
        <w:spacing w:after="0" w:line="1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During fiscal 2017, the Company received proceeds of approximately $30.1 million related to the sale of a building within the FSS International segment. Subsequently, the Company entered into a capital lease for the building. The proceeds are included in "Other financing activities" in the Consolidated Statements of Cash Flows. The impact on the Consolidated Statements of Income was not material.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420"/>
          </w:cols>
          <w:pgMar w:left="240" w:top="175"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"Other Assets" as presented in the Consolidated Balance Sheets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5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0" w:type="dxa"/>
            <w:vAlign w:val="bottom"/>
          </w:tcPr>
          <w:p>
            <w:pPr>
              <w:spacing w:after="0"/>
              <w:rPr>
                <w:sz w:val="1"/>
                <w:szCs w:val="1"/>
                <w:color w:val="auto"/>
              </w:rPr>
            </w:pPr>
          </w:p>
        </w:tc>
      </w:tr>
      <w:tr>
        <w:trPr>
          <w:trHeight w:val="269"/>
        </w:trPr>
        <w:tc>
          <w:tcPr>
            <w:tcW w:w="7200" w:type="dxa"/>
            <w:vAlign w:val="bottom"/>
            <w:gridSpan w:val="3"/>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Client contract investments</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1,034,476</w:t>
            </w:r>
          </w:p>
        </w:tc>
        <w:tc>
          <w:tcPr>
            <w:tcW w:w="0" w:type="dxa"/>
            <w:vAlign w:val="bottom"/>
          </w:tcPr>
          <w:p>
            <w:pPr>
              <w:spacing w:after="0"/>
              <w:rPr>
                <w:sz w:val="1"/>
                <w:szCs w:val="1"/>
                <w:color w:val="auto"/>
              </w:rPr>
            </w:pPr>
          </w:p>
        </w:tc>
      </w:tr>
      <w:tr>
        <w:trPr>
          <w:trHeight w:val="270"/>
        </w:trPr>
        <w:tc>
          <w:tcPr>
            <w:tcW w:w="720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Long-term prepaid rent</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3"/>
                <w:szCs w:val="23"/>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166,931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20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Cost to fulfill - Client</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109,401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20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Cost to fulfill - Rental merchandise in-service</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23"/>
                <w:szCs w:val="23"/>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356,853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90,068</w:t>
            </w:r>
          </w:p>
        </w:tc>
        <w:tc>
          <w:tcPr>
            <w:tcW w:w="0" w:type="dxa"/>
            <w:vAlign w:val="bottom"/>
          </w:tcPr>
          <w:p>
            <w:pPr>
              <w:spacing w:after="0"/>
              <w:rPr>
                <w:sz w:val="1"/>
                <w:szCs w:val="1"/>
                <w:color w:val="auto"/>
              </w:rPr>
            </w:pPr>
          </w:p>
        </w:tc>
      </w:tr>
      <w:tr>
        <w:trPr>
          <w:trHeight w:val="270"/>
        </w:trPr>
        <w:tc>
          <w:tcPr>
            <w:tcW w:w="720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Miscellaneous investments</w:t>
            </w:r>
            <w:r>
              <w:rPr>
                <w:rFonts w:ascii="Times New Roman" w:cs="Times New Roman" w:eastAsia="Times New Roman" w:hAnsi="Times New Roman"/>
                <w:sz w:val="25"/>
                <w:szCs w:val="25"/>
                <w:color w:val="auto"/>
                <w:vertAlign w:val="superscript"/>
              </w:rPr>
              <w:t>(3)</w:t>
            </w:r>
          </w:p>
        </w:tc>
        <w:tc>
          <w:tcPr>
            <w:tcW w:w="280" w:type="dxa"/>
            <w:vAlign w:val="bottom"/>
          </w:tcPr>
          <w:p>
            <w:pPr>
              <w:spacing w:after="0"/>
              <w:rPr>
                <w:sz w:val="23"/>
                <w:szCs w:val="23"/>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264,452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239,547</w:t>
            </w:r>
          </w:p>
        </w:tc>
        <w:tc>
          <w:tcPr>
            <w:tcW w:w="0" w:type="dxa"/>
            <w:vAlign w:val="bottom"/>
          </w:tcPr>
          <w:p>
            <w:pPr>
              <w:spacing w:after="0"/>
              <w:rPr>
                <w:sz w:val="1"/>
                <w:szCs w:val="1"/>
                <w:color w:val="auto"/>
              </w:rPr>
            </w:pPr>
          </w:p>
        </w:tc>
      </w:tr>
      <w:tr>
        <w:trPr>
          <w:trHeight w:val="270"/>
        </w:trPr>
        <w:tc>
          <w:tcPr>
            <w:tcW w:w="720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Computer software costs, net</w:t>
            </w:r>
            <w:r>
              <w:rPr>
                <w:rFonts w:ascii="Times New Roman" w:cs="Times New Roman" w:eastAsia="Times New Roman" w:hAnsi="Times New Roman"/>
                <w:sz w:val="25"/>
                <w:szCs w:val="25"/>
                <w:color w:val="auto"/>
                <w:vertAlign w:val="superscript"/>
              </w:rPr>
              <w:t>(4)</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170,510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152,188</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54,708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shd w:val="clear" w:color="auto" w:fill="CCEEFF"/>
              </w:rPr>
              <w:t>Employee sales commissions</w:t>
            </w:r>
          </w:p>
        </w:tc>
        <w:tc>
          <w:tcPr>
            <w:tcW w:w="5060" w:type="dxa"/>
            <w:vAlign w:val="bottom"/>
            <w:shd w:val="clear" w:color="auto" w:fill="CCEEFF"/>
          </w:tcPr>
          <w:p>
            <w:pPr>
              <w:jc w:val="right"/>
              <w:ind w:right="4837"/>
              <w:spacing w:after="0"/>
              <w:rPr>
                <w:sz w:val="20"/>
                <w:szCs w:val="20"/>
                <w:color w:val="auto"/>
              </w:rPr>
            </w:pPr>
            <w:r>
              <w:rPr>
                <w:rFonts w:ascii="Times New Roman" w:cs="Times New Roman" w:eastAsia="Times New Roman" w:hAnsi="Times New Roman"/>
                <w:sz w:val="13"/>
                <w:szCs w:val="13"/>
                <w:color w:val="auto"/>
                <w:w w:val="92"/>
                <w:shd w:val="clear" w:color="auto" w:fill="CCEEFF"/>
              </w:rPr>
              <w:t>(5)</w:t>
            </w:r>
          </w:p>
        </w:tc>
        <w:tc>
          <w:tcPr>
            <w:tcW w:w="28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111,001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2100" w:type="dxa"/>
            <w:vAlign w:val="bottom"/>
            <w:tcBorders>
              <w:bottom w:val="single" w:sz="8" w:color="CCEEFF"/>
            </w:tcBorders>
            <w:vMerge w:val="continue"/>
            <w:shd w:val="clear" w:color="auto" w:fill="CCEEFF"/>
          </w:tcPr>
          <w:p>
            <w:pPr>
              <w:spacing w:after="0"/>
              <w:rPr>
                <w:sz w:val="6"/>
                <w:szCs w:val="6"/>
                <w:color w:val="auto"/>
              </w:rPr>
            </w:pPr>
          </w:p>
        </w:tc>
        <w:tc>
          <w:tcPr>
            <w:tcW w:w="506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17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17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5"/>
                <w:szCs w:val="25"/>
                <w:color w:val="auto"/>
                <w:vertAlign w:val="superscript"/>
              </w:rPr>
              <w:t>(6)</w:t>
            </w:r>
          </w:p>
        </w:tc>
        <w:tc>
          <w:tcPr>
            <w:tcW w:w="2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137,084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122,184</w:t>
            </w: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50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1,343,806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1,693,171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left="500" w:right="260" w:hanging="465"/>
        <w:spacing w:after="0" w:line="233" w:lineRule="auto"/>
        <w:tabs>
          <w:tab w:leader="none" w:pos="5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Company's adoption of ASC 606, </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client contract investments generally represented a cash payment provided by the Company to help finance improvement or renovation at the facility from which the Company operated. These amounts were amortized over the contract period. If the contract was terminated prior to its maturity date, the Company was reimbursed for the unamortized client contract investment amounts. Amortization expense was $183.6 million and $159.6 million during fiscal 2018 and fiscal 2017, respectively.</w:t>
      </w:r>
    </w:p>
    <w:p>
      <w:pPr>
        <w:spacing w:after="0" w:line="52" w:lineRule="exact"/>
        <w:rPr>
          <w:rFonts w:ascii="Times New Roman" w:cs="Times New Roman" w:eastAsia="Times New Roman" w:hAnsi="Times New Roman"/>
          <w:sz w:val="13"/>
          <w:szCs w:val="13"/>
          <w:color w:val="auto"/>
        </w:rPr>
      </w:pPr>
    </w:p>
    <w:p>
      <w:pPr>
        <w:ind w:left="500" w:right="2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Subsequent to adoption of ASC 606, these balances were reclassified to either leasehold improvements in "Property and Equipment, net" or to long-term prepaid rent or costs to fulfill - client in "Other Assets" and continue to be expensed over the contract life (see Note 7).</w:t>
      </w:r>
    </w:p>
    <w:p>
      <w:pPr>
        <w:spacing w:after="0" w:line="106" w:lineRule="exact"/>
        <w:rPr>
          <w:rFonts w:ascii="Times New Roman" w:cs="Times New Roman" w:eastAsia="Times New Roman" w:hAnsi="Times New Roman"/>
          <w:sz w:val="13"/>
          <w:szCs w:val="13"/>
          <w:color w:val="auto"/>
        </w:rPr>
      </w:pPr>
    </w:p>
    <w:p>
      <w:pPr>
        <w:ind w:left="500" w:right="80" w:hanging="465"/>
        <w:spacing w:after="0" w:line="188" w:lineRule="auto"/>
        <w:tabs>
          <w:tab w:leader="none" w:pos="500"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Due to the Company's adoption of ASC 606, costs to fulfill contracts related to personalized work apparel, linens and other rental items in service, previously capitalized within "Inventories" are now capitalized within "Other Assets." These in-service rental items are recorded at cost and are amortized over their estimated useful lives, which primarily range from one to four years. The amortization rates used are based on the Company's specific experience.</w:t>
      </w:r>
    </w:p>
    <w:p>
      <w:pPr>
        <w:spacing w:after="0" w:line="107" w:lineRule="exact"/>
        <w:rPr>
          <w:rFonts w:ascii="Times New Roman" w:cs="Times New Roman" w:eastAsia="Times New Roman" w:hAnsi="Times New Roman"/>
          <w:sz w:val="24"/>
          <w:szCs w:val="24"/>
          <w:color w:val="auto"/>
          <w:vertAlign w:val="superscript"/>
        </w:rPr>
      </w:pPr>
    </w:p>
    <w:p>
      <w:pPr>
        <w:ind w:left="500" w:right="140" w:hanging="465"/>
        <w:spacing w:after="0" w:line="188" w:lineRule="auto"/>
        <w:tabs>
          <w:tab w:leader="none" w:pos="500"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Miscellaneous investments represent investments in 50% or less owned entities, including the Company's 50% ownership in AIM Services Co., Ltd., a Japanese food and support services company (approximately $180.5 million and $155.1 million at September 27, 2019 and September 28, 2018, respectively). During fiscal 2019, the Company recognized an impairment of $7.0 million in "Cost of services provided" related to an equity investment.</w:t>
      </w:r>
    </w:p>
    <w:p>
      <w:pPr>
        <w:spacing w:after="0" w:line="26" w:lineRule="exact"/>
        <w:rPr>
          <w:rFonts w:ascii="Times New Roman" w:cs="Times New Roman" w:eastAsia="Times New Roman" w:hAnsi="Times New Roman"/>
          <w:sz w:val="24"/>
          <w:szCs w:val="24"/>
          <w:color w:val="auto"/>
          <w:vertAlign w:val="superscript"/>
        </w:rPr>
      </w:pPr>
    </w:p>
    <w:p>
      <w:pPr>
        <w:ind w:left="500" w:hanging="465"/>
        <w:spacing w:after="0"/>
        <w:tabs>
          <w:tab w:leader="none" w:pos="50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Computer software costs represent capitalized costs incurred to purchase or develop software for internal use, and are amortized over the estimated useful life of the software, generally a period of three to ten years.</w:t>
      </w:r>
    </w:p>
    <w:p>
      <w:pPr>
        <w:spacing w:after="0" w:line="132" w:lineRule="exact"/>
        <w:rPr>
          <w:rFonts w:ascii="Times New Roman" w:cs="Times New Roman" w:eastAsia="Times New Roman" w:hAnsi="Times New Roman"/>
          <w:sz w:val="12"/>
          <w:szCs w:val="12"/>
          <w:color w:val="auto"/>
        </w:rPr>
      </w:pPr>
    </w:p>
    <w:p>
      <w:pPr>
        <w:ind w:left="500" w:right="20" w:hanging="465"/>
        <w:spacing w:after="0" w:line="183" w:lineRule="auto"/>
        <w:tabs>
          <w:tab w:leader="none" w:pos="50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2"/>
          <w:szCs w:val="12"/>
          <w:color w:val="auto"/>
        </w:rPr>
        <w:t>Due to the Company's adoption of ASC 606, costs to obtain contracts related to employee sales commissions are now capitalized within "Other Assets," which were previously expensed to "Cost of services provided" at contract inception (see Note 7).</w:t>
      </w:r>
    </w:p>
    <w:p>
      <w:pPr>
        <w:spacing w:after="0" w:line="1" w:lineRule="exact"/>
        <w:rPr>
          <w:rFonts w:ascii="Times New Roman" w:cs="Times New Roman" w:eastAsia="Times New Roman" w:hAnsi="Times New Roman"/>
          <w:sz w:val="22"/>
          <w:szCs w:val="22"/>
          <w:color w:val="auto"/>
          <w:vertAlign w:val="superscript"/>
        </w:rPr>
      </w:pPr>
    </w:p>
    <w:p>
      <w:pPr>
        <w:ind w:left="500" w:hanging="465"/>
        <w:spacing w:after="0" w:line="225" w:lineRule="auto"/>
        <w:tabs>
          <w:tab w:leader="none" w:pos="50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Other consist primarily of noncurrent deferred tax assets, pension assets and deferred financing costs on certain revolving credit facilities.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Accrued Expenses and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"Accrued expenses and other current liabilities" in the Consolidated Balance Sheets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80" w:type="dxa"/>
            <w:vAlign w:val="bottom"/>
          </w:tcPr>
          <w:p>
            <w:pPr>
              <w:spacing w:after="0"/>
              <w:rPr>
                <w:sz w:val="16"/>
                <w:szCs w:val="16"/>
                <w:color w:val="auto"/>
              </w:rPr>
            </w:pPr>
          </w:p>
        </w:tc>
        <w:tc>
          <w:tcPr>
            <w:tcW w:w="17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69"/>
        </w:trPr>
        <w:tc>
          <w:tcPr>
            <w:tcW w:w="720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Deferred income</w:t>
            </w:r>
            <w:r>
              <w:rPr>
                <w:rFonts w:ascii="Times New Roman" w:cs="Times New Roman" w:eastAsia="Times New Roman" w:hAnsi="Times New Roman"/>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345,840</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299,089</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client expenses</w:t>
            </w: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98,282</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taxes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61,816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96,855</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insurance and interest</w:t>
            </w: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192,695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164,890</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420,249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358,917</w:t>
            </w:r>
          </w:p>
        </w:tc>
      </w:tr>
      <w:tr>
        <w:trPr>
          <w:trHeight w:val="237"/>
        </w:trPr>
        <w:tc>
          <w:tcPr>
            <w:tcW w:w="7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1,126,236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1,018,033</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420" w:hanging="276"/>
        <w:spacing w:after="0"/>
        <w:tabs>
          <w:tab w:leader="none" w:pos="4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Includes consideration received in advance from customers prior to the service being performed ($319.0 million) or from vendors prior to the goods being consumed ($26.8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420"/>
          </w:cols>
          <w:pgMar w:left="240" w:top="175"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 and Other Noncurrent Liabilities</w:t>
      </w:r>
    </w:p>
    <w:p>
      <w:pPr>
        <w:spacing w:after="0" w:line="14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of "Deferred Income Taxes and Other Noncurrent Liabilities" as presented in the Consolidated Balance Sheets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0" w:type="dxa"/>
            <w:vAlign w:val="bottom"/>
          </w:tcPr>
          <w:p>
            <w:pPr>
              <w:spacing w:after="0"/>
              <w:rPr>
                <w:sz w:val="1"/>
                <w:szCs w:val="1"/>
                <w:color w:val="auto"/>
              </w:rPr>
            </w:pPr>
          </w:p>
        </w:tc>
      </w:tr>
      <w:tr>
        <w:trPr>
          <w:trHeight w:val="249"/>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payable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519,904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503,429</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212,090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226,558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Pension-related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21,367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28,478</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43,112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292,349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218,750</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1,088,822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977,215</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29, 2017</w:t>
            </w:r>
          </w:p>
        </w:tc>
        <w:tc>
          <w:tcPr>
            <w:tcW w:w="0" w:type="dxa"/>
            <w:vAlign w:val="bottom"/>
          </w:tcPr>
          <w:p>
            <w:pPr>
              <w:spacing w:after="0"/>
              <w:rPr>
                <w:sz w:val="1"/>
                <w:szCs w:val="1"/>
                <w:color w:val="auto"/>
              </w:rPr>
            </w:pPr>
          </w:p>
        </w:tc>
      </w:tr>
      <w:tr>
        <w:trPr>
          <w:trHeight w:val="249"/>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341"/>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paid (refunded)</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4"/>
                <w:szCs w:val="24"/>
                <w:color w:val="auto"/>
              </w:rPr>
            </w:pP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20" w:hanging="276"/>
        <w:spacing w:after="0"/>
        <w:tabs>
          <w:tab w:leader="none" w:pos="420" w:val="left"/>
        </w:tabs>
        <w:numPr>
          <w:ilvl w:val="0"/>
          <w:numId w:val="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During fiscal 2018, the Company was in a net refund position, primarily due to the impact of the Tax Cuts and Jobs Act (see Note 9).</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noncash activities follow:</w:t>
      </w:r>
    </w:p>
    <w:p>
      <w:pPr>
        <w:spacing w:after="0" w:line="144" w:lineRule="exact"/>
        <w:rPr>
          <w:sz w:val="20"/>
          <w:szCs w:val="20"/>
          <w:color w:val="auto"/>
        </w:rPr>
      </w:pPr>
    </w:p>
    <w:p>
      <w:pPr>
        <w:ind w:left="980" w:right="460" w:hanging="324"/>
        <w:spacing w:after="0" w:line="266"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2019, fiscal 2018 and fiscal 2017, the Company executed capital lease transactions. The present value of the future rental obligations was approximately $41.6 million, $34.0 million and $55.4 million for the respective periods, which is included in property and equipment and long-term borrowings.</w:t>
      </w:r>
    </w:p>
    <w:p>
      <w:pPr>
        <w:spacing w:after="0" w:line="95"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2019, fiscal 2018 and fiscal 2017, cashless settlements of the exercise price and related employee minimum tax withholding liabilities of share-based payment awards were approximately $34.3 million, $19.0 million and $32.7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 AND DIVESTITURES: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9, 2018, the Company completed the sale of its wholly-owned Healthcare Technologies ("HCT") business for $293.7 million in cash. The transaction resulted in a pretax gain of $156.3 million (tax effected gain of $139.2 million) in the Consolidated Statements of Income for the fiscal year ended September 27, 2019. The Company evaluated the business under the rules for discontinued operations and concluded it did not meet all of the criteria required.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AmeriPride Services, Inc. ("AmeriPride") Acquisition</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January 19, 2018, the Company completed the acquisition of AmeriPride, a uniform and linen rental and supply company in the U.S. and Canada, pursuant to the Agreement and Plan of Merger ("AmeriPride Merger Agreement") dated as of October 13, 2017, by and among the Company, AmeriPride, Timberwolf Acquisition Corporation, and Bruce M. Steiner, in his capacity as Stockholder Representative. Upon completion of the acquisition, AmeriPride became a wholly owned subsidiary of the Company and its results are included in the Company's Uniform segment. The total consideration paid for AmeriPride was $995.4 million, partially offset by $84.9 million of cash acquired. In order to finance the AmeriPride acquisition, the Company entered into a long-term financing agreement (see Note 5). During the fiscal year ended September 28, 2018, the Company incurred acquisition-related costs of $12.7 million, included in "Selling and general corporate expenses," and $5.2 million of commitment fees, included in "Interest and Other Financing Costs, net" in the Company’s Consolidated Statements of Income.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w:t>
      </w:r>
    </w:p>
    <w:p>
      <w:pPr>
        <w:spacing w:after="0" w:line="14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accounted for the AmeriPride acquisition as a business combination under the acquisition method of accounting. The Company finalized its allocation of the purchase price for the transaction based upon the fair value of net assets acquired and liabilities assumed at the date of acquisition. For tax purposes, this acquisition is a taxable transaction.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 of Assets Acquired and Liabilities Assumed at Fair Value</w:t>
      </w:r>
    </w:p>
    <w:p>
      <w:pPr>
        <w:spacing w:after="0" w:line="14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fair values of the tangible and identifiable intangible assets acquired and liabilities assumed at the acquisition date (in thousands):</w:t>
      </w:r>
    </w:p>
    <w:p>
      <w:pPr>
        <w:sectPr>
          <w:pgSz w:w="11900" w:h="16838" w:orient="portrait"/>
          <w:cols w:equalWidth="0" w:num="1">
            <w:col w:w="11420"/>
          </w:cols>
          <w:pgMar w:left="240" w:top="175" w:right="239" w:bottom="979"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S-16</w:t>
      </w:r>
    </w:p>
    <w:p>
      <w:pPr>
        <w:sectPr>
          <w:pgSz w:w="11900" w:h="16838" w:orient="portrait"/>
          <w:cols w:equalWidth="0" w:num="1">
            <w:col w:w="11420"/>
          </w:cols>
          <w:pgMar w:left="240" w:top="175" w:right="239" w:bottom="979" w:gutter="0" w:footer="0" w:header="0"/>
          <w:type w:val="continuous"/>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7520" w:type="dxa"/>
            <w:vAlign w:val="bottom"/>
            <w:gridSpan w:val="2"/>
          </w:tcPr>
          <w:p>
            <w:pPr>
              <w:jc w:val="right"/>
              <w:ind w:right="2920"/>
              <w:spacing w:after="0"/>
              <w:rPr>
                <w:sz w:val="20"/>
                <w:szCs w:val="20"/>
                <w:color w:val="auto"/>
              </w:rPr>
            </w:pPr>
            <w:r>
              <w:rPr>
                <w:rFonts w:ascii="Times New Roman" w:cs="Times New Roman" w:eastAsia="Times New Roman" w:hAnsi="Times New Roman"/>
                <w:sz w:val="18"/>
                <w:szCs w:val="18"/>
                <w:b w:val="1"/>
                <w:bCs w:val="1"/>
                <w:color w:val="auto"/>
              </w:rPr>
              <w:t>ARAMARK AND SUBSIDIARIES</w:t>
            </w:r>
          </w:p>
        </w:tc>
        <w:tc>
          <w:tcPr>
            <w:tcW w:w="1440" w:type="dxa"/>
            <w:vAlign w:val="bottom"/>
          </w:tcPr>
          <w:p>
            <w:pPr>
              <w:spacing w:after="0"/>
              <w:rPr>
                <w:sz w:val="20"/>
                <w:szCs w:val="20"/>
                <w:color w:val="auto"/>
              </w:rPr>
            </w:pPr>
          </w:p>
        </w:tc>
      </w:tr>
      <w:tr>
        <w:trPr>
          <w:trHeight w:val="351"/>
        </w:trPr>
        <w:tc>
          <w:tcPr>
            <w:tcW w:w="2460" w:type="dxa"/>
            <w:vAlign w:val="bottom"/>
          </w:tcPr>
          <w:p>
            <w:pPr>
              <w:spacing w:after="0"/>
              <w:rPr>
                <w:sz w:val="24"/>
                <w:szCs w:val="24"/>
                <w:color w:val="auto"/>
              </w:rPr>
            </w:pPr>
          </w:p>
        </w:tc>
        <w:tc>
          <w:tcPr>
            <w:tcW w:w="7520" w:type="dxa"/>
            <w:vAlign w:val="bottom"/>
            <w:gridSpan w:val="2"/>
          </w:tcPr>
          <w:p>
            <w:pPr>
              <w:jc w:val="right"/>
              <w:ind w:right="1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440" w:type="dxa"/>
            <w:vAlign w:val="bottom"/>
          </w:tcPr>
          <w:p>
            <w:pPr>
              <w:spacing w:after="0"/>
              <w:rPr>
                <w:sz w:val="24"/>
                <w:szCs w:val="24"/>
                <w:color w:val="auto"/>
              </w:rPr>
            </w:pPr>
          </w:p>
        </w:tc>
      </w:tr>
      <w:tr>
        <w:trPr>
          <w:trHeight w:val="459"/>
        </w:trPr>
        <w:tc>
          <w:tcPr>
            <w:tcW w:w="24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752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237,807</w:t>
            </w:r>
          </w:p>
        </w:tc>
      </w:tr>
      <w:tr>
        <w:trPr>
          <w:trHeight w:val="243"/>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6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963,078</w:t>
            </w:r>
          </w:p>
        </w:tc>
      </w:tr>
      <w:tr>
        <w:trPr>
          <w:trHeight w:val="27"/>
        </w:trPr>
        <w:tc>
          <w:tcPr>
            <w:tcW w:w="246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7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1,200,885</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246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752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137,867</w:t>
            </w:r>
          </w:p>
        </w:tc>
      </w:tr>
      <w:tr>
        <w:trPr>
          <w:trHeight w:val="243"/>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6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67,590</w:t>
            </w:r>
          </w:p>
        </w:tc>
      </w:tr>
      <w:tr>
        <w:trPr>
          <w:trHeight w:val="27"/>
        </w:trPr>
        <w:tc>
          <w:tcPr>
            <w:tcW w:w="246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7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205,457</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the Company’s allocations of purchase price to the intangible assets acquired by category: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Estimated Fair Value (in</w:t>
            </w:r>
          </w:p>
        </w:tc>
        <w:tc>
          <w:tcPr>
            <w:tcW w:w="100" w:type="dxa"/>
            <w:vAlign w:val="bottom"/>
          </w:tcPr>
          <w:p>
            <w:pPr>
              <w:spacing w:after="0"/>
              <w:rPr>
                <w:sz w:val="13"/>
                <w:szCs w:val="13"/>
                <w:color w:val="auto"/>
              </w:rPr>
            </w:pPr>
          </w:p>
        </w:tc>
        <w:tc>
          <w:tcPr>
            <w:tcW w:w="238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Weighted-Average Estimated</w:t>
            </w:r>
          </w:p>
        </w:tc>
      </w:tr>
      <w:tr>
        <w:trPr>
          <w:trHeight w:val="195"/>
        </w:trPr>
        <w:tc>
          <w:tcPr>
            <w:tcW w:w="6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Useful Life (in years)</w:t>
            </w:r>
          </w:p>
        </w:tc>
      </w:tr>
      <w:tr>
        <w:trPr>
          <w:trHeight w:val="249"/>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297.0</w:t>
            </w:r>
          </w:p>
        </w:tc>
        <w:tc>
          <w:tcPr>
            <w:tcW w:w="2480" w:type="dxa"/>
            <w:vAlign w:val="bottom"/>
            <w:tcBorders>
              <w:bottom w:val="single" w:sz="8" w:color="CCEEFF"/>
            </w:tcBorders>
            <w:gridSpan w:val="2"/>
            <w:shd w:val="clear" w:color="auto" w:fill="CCEEFF"/>
          </w:tcPr>
          <w:p>
            <w:pPr>
              <w:jc w:val="right"/>
              <w:ind w:right="1022"/>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21"/>
                <w:szCs w:val="21"/>
                <w:color w:val="auto"/>
              </w:rPr>
            </w:pPr>
          </w:p>
        </w:tc>
        <w:tc>
          <w:tcPr>
            <w:tcW w:w="1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2380" w:type="dxa"/>
            <w:vAlign w:val="bottom"/>
          </w:tcPr>
          <w:p>
            <w:pPr>
              <w:jc w:val="right"/>
              <w:ind w:right="262"/>
              <w:spacing w:after="0"/>
              <w:rPr>
                <w:sz w:val="20"/>
                <w:szCs w:val="20"/>
                <w:color w:val="auto"/>
              </w:rPr>
            </w:pPr>
            <w:r>
              <w:rPr>
                <w:rFonts w:ascii="Times New Roman" w:cs="Times New Roman" w:eastAsia="Times New Roman" w:hAnsi="Times New Roman"/>
                <w:sz w:val="18"/>
                <w:szCs w:val="18"/>
                <w:color w:val="auto"/>
              </w:rPr>
              <w:t>3 to indefinite</w:t>
            </w:r>
          </w:p>
        </w:tc>
      </w:tr>
      <w:tr>
        <w:trPr>
          <w:trHeight w:val="27"/>
        </w:trPr>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r>
      <w:tr>
        <w:trPr>
          <w:trHeight w:val="237"/>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two trade names acquired were determined using the “relief-from-royalty method” which considers the discounted estimated royalty payments that are expected to be avoided as a result of the trademarks being owned.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recorded $365.2 million of goodwill in connection with its purchase price allocation relating to the AmeriPride acquisition, all of which was recognized in the Uniform reporting segment. Factors that contributed to the Company’s recognition of goodwill include the Company’s intent to expand and complement its existing uniform business and to enhance its customer service experience, in addition to the anticipated synergies the Company expects to generate from the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Avendra, LLC ("Avendra") Acquisition</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December 11, 2017, the Company completed the acquisition of Avendra, a hospitality procurement services provider in North America, which included the merger of Capital Merger Sub, LLC, a wholly owned subsidiary of the Company, with Avendra, pursuant to the Agreement and Plan of Merger ("Avendra Merger Agreement") dated as of October 13, 2017, by and among Aramark Services, Inc. (“ASI”), a wholly owned subsidiary of the Company, Avendra, Capital Merger Sub, LLC, and Marriott International, Inc., in its capacity as Holder Representative. Avendra continued as the surviving entity of the merger and is a wholly owned subsidiary of the Company whose financial results are included within the FSS United States reporting segment from December 11, 2017. The total consideration paid for Avendra was $1,386.4 million, partially offset by $87.3 million of cash and restricted investments acquired. In order to finance the Avendra acquisition, the Company entered into a long-term financing agreement (see Note 5). During the fiscal year ended September 28, 2018, the Company incurred acquisition-related costs of $11.5 million, included in "Selling and general corporate expenses," and $6.7 million of commitment fees, included in "Interest and Other Financing Costs, net" in the Company’s Consolidated Statements of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w:t>
      </w:r>
    </w:p>
    <w:p>
      <w:pPr>
        <w:spacing w:after="0" w:line="14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has accounted for the Avendra acquisition as a business combination under the acquisition method of accounting. The Company finalized its allocation of the purchase price for the transaction based upon the fair value of net assets acquired and liabilities assumed at the date of acquisition. For tax purposes, this acquisition is a taxable transaction.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 of Assets Acquired and Liabilities Assumed at Fair Value</w:t>
      </w:r>
    </w:p>
    <w:p>
      <w:pPr>
        <w:spacing w:after="0" w:line="14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fair values of the tangible and identifiable intangible assets acquired and liabilities assumed at the acquisition date (in thousands):</w:t>
      </w:r>
    </w:p>
    <w:p>
      <w:pPr>
        <w:sectPr>
          <w:pgSz w:w="11900" w:h="16838" w:orient="portrait"/>
          <w:cols w:equalWidth="0" w:num="1">
            <w:col w:w="11420"/>
          </w:cols>
          <w:pgMar w:left="240" w:top="175"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S-17</w:t>
      </w:r>
    </w:p>
    <w:p>
      <w:pPr>
        <w:sectPr>
          <w:pgSz w:w="11900" w:h="16838" w:orient="portrait"/>
          <w:cols w:equalWidth="0" w:num="1">
            <w:col w:w="11420"/>
          </w:cols>
          <w:pgMar w:left="240" w:top="175" w:right="2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7520" w:type="dxa"/>
            <w:vAlign w:val="bottom"/>
            <w:gridSpan w:val="2"/>
          </w:tcPr>
          <w:p>
            <w:pPr>
              <w:jc w:val="right"/>
              <w:ind w:right="2920"/>
              <w:spacing w:after="0"/>
              <w:rPr>
                <w:sz w:val="20"/>
                <w:szCs w:val="20"/>
                <w:color w:val="auto"/>
              </w:rPr>
            </w:pPr>
            <w:r>
              <w:rPr>
                <w:rFonts w:ascii="Times New Roman" w:cs="Times New Roman" w:eastAsia="Times New Roman" w:hAnsi="Times New Roman"/>
                <w:sz w:val="18"/>
                <w:szCs w:val="18"/>
                <w:b w:val="1"/>
                <w:bCs w:val="1"/>
                <w:color w:val="auto"/>
              </w:rPr>
              <w:t>ARAMARK AND SUBSIDIARIES</w:t>
            </w:r>
          </w:p>
        </w:tc>
        <w:tc>
          <w:tcPr>
            <w:tcW w:w="1440" w:type="dxa"/>
            <w:vAlign w:val="bottom"/>
          </w:tcPr>
          <w:p>
            <w:pPr>
              <w:spacing w:after="0"/>
              <w:rPr>
                <w:sz w:val="20"/>
                <w:szCs w:val="20"/>
                <w:color w:val="auto"/>
              </w:rPr>
            </w:pPr>
          </w:p>
        </w:tc>
      </w:tr>
      <w:tr>
        <w:trPr>
          <w:trHeight w:val="351"/>
        </w:trPr>
        <w:tc>
          <w:tcPr>
            <w:tcW w:w="2460" w:type="dxa"/>
            <w:vAlign w:val="bottom"/>
          </w:tcPr>
          <w:p>
            <w:pPr>
              <w:spacing w:after="0"/>
              <w:rPr>
                <w:sz w:val="24"/>
                <w:szCs w:val="24"/>
                <w:color w:val="auto"/>
              </w:rPr>
            </w:pPr>
          </w:p>
        </w:tc>
        <w:tc>
          <w:tcPr>
            <w:tcW w:w="7520" w:type="dxa"/>
            <w:vAlign w:val="bottom"/>
            <w:gridSpan w:val="2"/>
          </w:tcPr>
          <w:p>
            <w:pPr>
              <w:jc w:val="right"/>
              <w:ind w:right="1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440" w:type="dxa"/>
            <w:vAlign w:val="bottom"/>
          </w:tcPr>
          <w:p>
            <w:pPr>
              <w:spacing w:after="0"/>
              <w:rPr>
                <w:sz w:val="24"/>
                <w:szCs w:val="24"/>
                <w:color w:val="auto"/>
              </w:rPr>
            </w:pPr>
          </w:p>
        </w:tc>
      </w:tr>
      <w:tr>
        <w:trPr>
          <w:trHeight w:val="459"/>
        </w:trPr>
        <w:tc>
          <w:tcPr>
            <w:tcW w:w="24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752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157,614</w:t>
            </w:r>
          </w:p>
        </w:tc>
      </w:tr>
      <w:tr>
        <w:trPr>
          <w:trHeight w:val="243"/>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6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1,345,532</w:t>
            </w:r>
          </w:p>
        </w:tc>
      </w:tr>
      <w:tr>
        <w:trPr>
          <w:trHeight w:val="27"/>
        </w:trPr>
        <w:tc>
          <w:tcPr>
            <w:tcW w:w="246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7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1,503,146</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246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752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111,087</w:t>
            </w:r>
          </w:p>
        </w:tc>
      </w:tr>
      <w:tr>
        <w:trPr>
          <w:trHeight w:val="243"/>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6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5,681</w:t>
            </w:r>
          </w:p>
        </w:tc>
      </w:tr>
      <w:tr>
        <w:trPr>
          <w:trHeight w:val="27"/>
        </w:trPr>
        <w:tc>
          <w:tcPr>
            <w:tcW w:w="246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7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116,768</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the Company’s allocations of purchase price to the intangible assets acquired by category: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Estimated Fair Value (in</w:t>
            </w:r>
          </w:p>
        </w:tc>
        <w:tc>
          <w:tcPr>
            <w:tcW w:w="1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Estimated</w:t>
            </w:r>
          </w:p>
        </w:tc>
      </w:tr>
      <w:tr>
        <w:trPr>
          <w:trHeight w:val="195"/>
        </w:trPr>
        <w:tc>
          <w:tcPr>
            <w:tcW w:w="6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r>
      <w:tr>
        <w:trPr>
          <w:trHeight w:val="249"/>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567.0</w:t>
            </w:r>
          </w:p>
        </w:tc>
        <w:tc>
          <w:tcPr>
            <w:tcW w:w="22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21"/>
                <w:szCs w:val="21"/>
                <w:color w:val="auto"/>
              </w:rPr>
            </w:pPr>
          </w:p>
        </w:tc>
        <w:tc>
          <w:tcPr>
            <w:tcW w:w="1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indefinite</w:t>
            </w:r>
          </w:p>
        </w:tc>
      </w:tr>
      <w:tr>
        <w:trPr>
          <w:trHeight w:val="27"/>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37"/>
        </w:trPr>
        <w:tc>
          <w:tcPr>
            <w:tcW w:w="7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r>
      <w:tr>
        <w:trPr>
          <w:trHeight w:val="27"/>
        </w:trPr>
        <w:tc>
          <w:tcPr>
            <w:tcW w:w="6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trade name was determined using the “relief-from-royalty method” which considers the discounted estimated royalty payments that are expected to be avoided as a result of the trademarks being owned.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recorded $530.5 million of goodwill in connection with its purchase price allocation relating to the Avendra acquisition, all of which was recognized in the FSS United States reporting segment. Factors that contributed to the Company’s recognition of goodwill include the Company’s intent to expand its buying scale through Avendra’s procurement capabilities and to expand its customer base outside of its traditional industries, in addition to the anticipated synergies the Company expects to generate from the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Revenue and Earnings for AmeriPride and Avendra</w:t>
      </w:r>
    </w:p>
    <w:p>
      <w:pPr>
        <w:spacing w:after="0" w:line="14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Included in the Company’s Consolidated Statements of Income for the fiscal year ended September 28, 2018 were combined revenue from AmeriPride and Avendra of approximately $522.2 million related to these entities. Combined net income for the results of AmeriPride and Avendra was approximately $8 million for the fiscal year ended September 28, 2018, which excludes the impact of the increased interest expense incurred from the financing of the acquisitions and acquisition related costs included in the Corporate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Results of Operations Reflecting AmeriPride and Avendra</w:t>
      </w:r>
    </w:p>
    <w:p>
      <w:pPr>
        <w:spacing w:after="0" w:line="14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unaudited pro forma combined results of operations for the fiscal years ended September 28, 2018 and September 29, 2017 for the Company, assuming the closing of both acquisitions occurred on October 1, 2016:</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4"/>
          </w:tcPr>
          <w:p>
            <w:pPr>
              <w:jc w:val="right"/>
              <w:ind w:right="1516"/>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96"/>
        </w:trPr>
        <w:tc>
          <w:tcPr>
            <w:tcW w:w="7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20" w:type="dxa"/>
            <w:vAlign w:val="bottom"/>
          </w:tcPr>
          <w:p>
            <w:pPr>
              <w:spacing w:after="0"/>
              <w:rPr>
                <w:sz w:val="17"/>
                <w:szCs w:val="17"/>
                <w:color w:val="auto"/>
              </w:rPr>
            </w:pP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20" w:type="dxa"/>
            <w:vAlign w:val="bottom"/>
          </w:tcPr>
          <w:p>
            <w:pPr>
              <w:spacing w:after="0"/>
              <w:rPr>
                <w:sz w:val="17"/>
                <w:szCs w:val="17"/>
                <w:color w:val="auto"/>
              </w:rPr>
            </w:pPr>
          </w:p>
        </w:tc>
        <w:tc>
          <w:tcPr>
            <w:tcW w:w="19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49"/>
        </w:trPr>
        <w:tc>
          <w:tcPr>
            <w:tcW w:w="7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16,014,463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9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15,378,832</w:t>
            </w:r>
          </w:p>
        </w:tc>
      </w:tr>
      <w:tr>
        <w:trPr>
          <w:trHeight w:val="243"/>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1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624,334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328,932</w:t>
            </w:r>
          </w:p>
        </w:tc>
      </w:tr>
    </w:tbl>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results have been prepared for comparative purposes only and are not necessarily indicative of the actual results of operations had the closing of the acquisitions taken place on October 1, 2016. Furthermore, the pro forma results do not purport to project the future results of operations of the Company.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information primarily reflects the following adjustments:</w:t>
      </w:r>
    </w:p>
    <w:p>
      <w:pPr>
        <w:spacing w:after="0" w:line="144"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amortization expense related to identifiable intangible assets acquired;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depreciation expense related to the fair value of property and equipment acquired;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interest expense to reflect the long-term financing agreements used to finance the acquisitions (see Note 5);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420"/>
          </w:cols>
          <w:pgMar w:left="240" w:top="175"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the tax effect of the aforementioned adjustments.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Integration Costs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Avendra and AmeriPride acquisitions, the Company incurred merger and integration costs of approximately $36.1 million and $78.1 million during fiscal 2019 and fiscal 2018, respectively. The expenses mainly related to severance costs, facility consolidations, professional services, rebranding expenses and other expenses.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fiscal 2019, the Company paid net cash consideration of approximately $44.9 million for various acquisitions. During fiscal 2018, the Company paid cash consideration of approximately $30.6 million for various acquisitions, excluding the purchases of AmeriPride and Avendra. During fiscal 2017, the Company paid cash consideration of approximately $142.1 million for various acquisitions. The revenue, net income, assets and liabilities of the acquisitions did not have a material impact on the Company's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SEVERANCE:</w:t>
      </w:r>
    </w:p>
    <w:p>
      <w:pPr>
        <w:spacing w:after="0" w:line="14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During fiscal 2018, the Company commenced a new phase of strategic reinvestment and reorganization actions to streamline and improve efficiencies and effectiveness of its selling, general and administrative functions, which resulted in net severance charges of approximately $18.7 million and $36.6 million during fiscal 2019 and fiscal 2018, respectively. The Company completed this cost savings phase as of September 27, 2019.</w:t>
      </w:r>
    </w:p>
    <w:p>
      <w:pPr>
        <w:spacing w:after="0" w:line="9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fiscal 2017, the Company updated its previously initiated actions on streamlining and improving the efficiencies and effectiveness of its selling, general and administrative functions. The Company recorded net severance charges of approximately $18.4 million during fiscal 2017.</w:t>
      </w:r>
    </w:p>
    <w:p>
      <w:pPr>
        <w:spacing w:after="0" w:line="8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unpaid obligations for severance and related costs as of September 27, 2019, which are included in "Accrued payroll and related expenses" in the Consolidated Balance Sheets. These unpaid obligations are expected to be paid through fiscal 2020.</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8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Net Charges</w:t>
            </w: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Payments and Other</w:t>
            </w:r>
          </w:p>
        </w:tc>
        <w:tc>
          <w:tcPr>
            <w:tcW w:w="18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27, 2019</w:t>
            </w:r>
          </w:p>
        </w:tc>
      </w:tr>
      <w:tr>
        <w:trPr>
          <w:trHeight w:val="242"/>
        </w:trPr>
        <w:tc>
          <w:tcPr>
            <w:tcW w:w="4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and Related Costs Accrual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4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4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 The Company performs its assessment of goodwill at the reporting unit level. Within the FSS International segment, each country or region is evaluated separately since such operating units are relatively autonomous and separate goodwill balances have been recorded for each entity. The Company performs its annual impairment test as of the end of the fiscal month of August. For reporting units in which the Company’s qualitative assessment indicates that it is more likely than not that the fair value of a reporting unit exceeds its carrying amount, no further impairment testing is performed. For those reporting units where events or changes in circumstances indicate that potential impairment indicators exist, the Company performs a quantitative assessment to test goodwill by comparing the estimated fair value using discounted cash flow calculations of each reporting unit with its estimated net book value. The discounted cash flow calculations are dependent on several subjective factors including the timing of future cash flows, future growth rates and the discount rate. If assumptions or estimates in the fair value calculations change or if future cash flows or future growth rates vary from what was planned, this may impact the impairment analysis.</w:t>
      </w:r>
    </w:p>
    <w:p>
      <w:pPr>
        <w:spacing w:after="0" w:line="1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performed an impairment test for goodwill for each of the reporting units using a qualitative testing approach, except for one reporting unit which was tested using the quantitative approach. Based on the evaluations performed, the Company determined that it was more likely than not that the fair value of each of the reporting units exceeded its respective carrying amount, and therefore, the Company determined that goodwill was not impaired. The fair value of the reporting unit in the FSS International segment for which goodwill was tested using the quantitative approach has a goodwill balance of $282.3 million and a fair value that exceeded its carrying value by approximately 22% in fiscal 2019.</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20"/>
          </w:cols>
          <w:pgMar w:left="240" w:top="175"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total goodwill during fiscal 2019 is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3"/>
                <w:szCs w:val="13"/>
                <w:color w:val="auto"/>
              </w:rPr>
            </w:pP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20" w:type="dxa"/>
            <w:vAlign w:val="bottom"/>
          </w:tcPr>
          <w:p>
            <w:pPr>
              <w:spacing w:after="0"/>
              <w:rPr>
                <w:sz w:val="13"/>
                <w:szCs w:val="13"/>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140" w:type="dxa"/>
            <w:vAlign w:val="bottom"/>
          </w:tcPr>
          <w:p>
            <w:pPr>
              <w:spacing w:after="0"/>
              <w:rPr>
                <w:sz w:val="13"/>
                <w:szCs w:val="13"/>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Translation and</w:t>
            </w:r>
          </w:p>
        </w:tc>
        <w:tc>
          <w:tcPr>
            <w:tcW w:w="180" w:type="dxa"/>
            <w:vAlign w:val="bottom"/>
          </w:tcPr>
          <w:p>
            <w:pPr>
              <w:spacing w:after="0"/>
              <w:rPr>
                <w:sz w:val="13"/>
                <w:szCs w:val="13"/>
                <w:color w:val="auto"/>
              </w:rPr>
            </w:pPr>
          </w:p>
        </w:tc>
        <w:tc>
          <w:tcPr>
            <w:tcW w:w="15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40" w:type="dxa"/>
            <w:vAlign w:val="bottom"/>
          </w:tcPr>
          <w:p>
            <w:pPr>
              <w:spacing w:after="0"/>
              <w:rPr>
                <w:sz w:val="16"/>
                <w:szCs w:val="16"/>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FSS United States</w:t>
            </w:r>
            <w:r>
              <w:rPr>
                <w:rFonts w:ascii="Times New Roman" w:cs="Times New Roman" w:eastAsia="Times New Roman" w:hAnsi="Times New Roman"/>
                <w:sz w:val="18"/>
                <w:szCs w:val="18"/>
                <w:b w:val="1"/>
                <w:bCs w:val="1"/>
                <w:color w:val="auto"/>
                <w:vertAlign w:val="superscript"/>
              </w:rPr>
              <w:t>(1)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4,028,454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3,949,218</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FSS International</w:t>
            </w:r>
          </w:p>
        </w:tc>
        <w:tc>
          <w:tcPr>
            <w:tcW w:w="2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626,379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608,468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Uniform</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955,735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961,114</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5,610,568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5,518,800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380" w:hanging="270"/>
        <w:spacing w:after="0"/>
        <w:tabs>
          <w:tab w:leader="none" w:pos="3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removal of approximately $87.0 million of goodwill related to the divestiture of HCT during the first quarter of fiscal 2019 (see Note 2).</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49"/>
        </w:trPr>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1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95"/>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2,183,492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989,967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2,244,215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1,087,404</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1,047,959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1,043,599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1,050,825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1,049,440</w:t>
            </w:r>
          </w:p>
        </w:tc>
      </w:tr>
      <w:tr>
        <w:trPr>
          <w:trHeight w:val="27"/>
        </w:trPr>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3,231,451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2,033,566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3,295,040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2,136,844</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fiscal 2019, the Company acquired customer relationship assets and trade names with values of approximately $28.5 million and $4.4 million, respectively. During fiscal 2018, the Company acquired customer relationship assets and trade names with values of approximately $887.5 million and $246.0 million, respectively. Customer relationship assets are being amortized principally on a straight-line basis over the expected period of benefit, between 9 and 24 years, with a weighted average life of approximately 14 years. The Aramark, Avendra and a majority of the other trade names are indefinite lived intangible assets and are not amortizable but are evaluated for impairment at least annually. The Company completed its annual trade name impairment test for fiscal 2019, which did not result in an impairment charge. Amortization of other intangible assets for fiscal 2019, fiscal 2018 and fiscal 2017 was approximately $117.0 million, $112.1 million and $87.9 million, respectively.</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Based on the recorded balances at September 27, 2019, total estimated amortization of all acquisition-related intangible assets for fiscal years 2020 through 2024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60" w:type="dxa"/>
            <w:vAlign w:val="bottom"/>
            <w:shd w:val="clear" w:color="auto" w:fill="CCEEFF"/>
          </w:tcPr>
          <w:p>
            <w:pPr>
              <w:jc w:val="right"/>
              <w:ind w:right="2470"/>
              <w:spacing w:after="0"/>
              <w:rPr>
                <w:sz w:val="20"/>
                <w:szCs w:val="20"/>
                <w:color w:val="auto"/>
              </w:rPr>
            </w:pPr>
            <w:r>
              <w:rPr>
                <w:rFonts w:ascii="Times New Roman" w:cs="Times New Roman" w:eastAsia="Times New Roman" w:hAnsi="Times New Roman"/>
                <w:sz w:val="18"/>
                <w:szCs w:val="18"/>
                <w:color w:val="auto"/>
              </w:rPr>
              <w:t>2020</w:t>
            </w:r>
          </w:p>
        </w:tc>
        <w:tc>
          <w:tcPr>
            <w:tcW w:w="7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113,136</w:t>
            </w:r>
          </w:p>
        </w:tc>
      </w:tr>
      <w:tr>
        <w:trPr>
          <w:trHeight w:val="243"/>
        </w:trPr>
        <w:tc>
          <w:tcPr>
            <w:tcW w:w="296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2021</w:t>
            </w:r>
          </w:p>
        </w:tc>
        <w:tc>
          <w:tcPr>
            <w:tcW w:w="76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105,929</w:t>
            </w:r>
          </w:p>
        </w:tc>
      </w:tr>
      <w:tr>
        <w:trPr>
          <w:trHeight w:val="27"/>
        </w:trPr>
        <w:tc>
          <w:tcPr>
            <w:tcW w:w="2960" w:type="dxa"/>
            <w:vAlign w:val="bottom"/>
          </w:tcPr>
          <w:p>
            <w:pPr>
              <w:spacing w:after="0"/>
              <w:rPr>
                <w:sz w:val="2"/>
                <w:szCs w:val="2"/>
                <w:color w:val="auto"/>
              </w:rPr>
            </w:pPr>
          </w:p>
        </w:tc>
        <w:tc>
          <w:tcPr>
            <w:tcW w:w="7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jc w:val="right"/>
              <w:ind w:right="2470"/>
              <w:spacing w:after="0"/>
              <w:rPr>
                <w:sz w:val="20"/>
                <w:szCs w:val="20"/>
                <w:color w:val="auto"/>
              </w:rPr>
            </w:pPr>
            <w:r>
              <w:rPr>
                <w:rFonts w:ascii="Times New Roman" w:cs="Times New Roman" w:eastAsia="Times New Roman" w:hAnsi="Times New Roman"/>
                <w:sz w:val="18"/>
                <w:szCs w:val="18"/>
                <w:color w:val="auto"/>
              </w:rPr>
              <w:t>2022</w:t>
            </w:r>
          </w:p>
        </w:tc>
        <w:tc>
          <w:tcPr>
            <w:tcW w:w="7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85,709</w:t>
            </w:r>
          </w:p>
        </w:tc>
      </w:tr>
      <w:tr>
        <w:trPr>
          <w:trHeight w:val="243"/>
        </w:trPr>
        <w:tc>
          <w:tcPr>
            <w:tcW w:w="296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2023</w:t>
            </w:r>
          </w:p>
        </w:tc>
        <w:tc>
          <w:tcPr>
            <w:tcW w:w="76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78,843</w:t>
            </w:r>
          </w:p>
        </w:tc>
      </w:tr>
      <w:tr>
        <w:trPr>
          <w:trHeight w:val="27"/>
        </w:trPr>
        <w:tc>
          <w:tcPr>
            <w:tcW w:w="2960" w:type="dxa"/>
            <w:vAlign w:val="bottom"/>
          </w:tcPr>
          <w:p>
            <w:pPr>
              <w:spacing w:after="0"/>
              <w:rPr>
                <w:sz w:val="2"/>
                <w:szCs w:val="2"/>
                <w:color w:val="auto"/>
              </w:rPr>
            </w:pPr>
          </w:p>
        </w:tc>
        <w:tc>
          <w:tcPr>
            <w:tcW w:w="7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jc w:val="right"/>
              <w:ind w:right="2470"/>
              <w:spacing w:after="0"/>
              <w:rPr>
                <w:sz w:val="20"/>
                <w:szCs w:val="20"/>
                <w:color w:val="auto"/>
              </w:rPr>
            </w:pPr>
            <w:r>
              <w:rPr>
                <w:rFonts w:ascii="Times New Roman" w:cs="Times New Roman" w:eastAsia="Times New Roman" w:hAnsi="Times New Roman"/>
                <w:sz w:val="18"/>
                <w:szCs w:val="18"/>
                <w:color w:val="auto"/>
              </w:rPr>
              <w:t>2024</w:t>
            </w:r>
          </w:p>
        </w:tc>
        <w:tc>
          <w:tcPr>
            <w:tcW w:w="7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78,464</w:t>
            </w:r>
          </w:p>
        </w:tc>
      </w:tr>
      <w:tr>
        <w:trPr>
          <w:trHeight w:val="756"/>
        </w:trPr>
        <w:tc>
          <w:tcPr>
            <w:tcW w:w="2960" w:type="dxa"/>
            <w:vAlign w:val="bottom"/>
          </w:tcPr>
          <w:p>
            <w:pPr>
              <w:spacing w:after="0"/>
              <w:rPr>
                <w:sz w:val="24"/>
                <w:szCs w:val="24"/>
                <w:color w:val="auto"/>
              </w:rPr>
            </w:pPr>
          </w:p>
        </w:tc>
        <w:tc>
          <w:tcPr>
            <w:tcW w:w="7600" w:type="dxa"/>
            <w:vAlign w:val="bottom"/>
          </w:tcPr>
          <w:p>
            <w:pPr>
              <w:jc w:val="right"/>
              <w:ind w:right="4590"/>
              <w:spacing w:after="0"/>
              <w:rPr>
                <w:sz w:val="20"/>
                <w:szCs w:val="20"/>
                <w:color w:val="auto"/>
              </w:rPr>
            </w:pPr>
            <w:r>
              <w:rPr>
                <w:rFonts w:ascii="Times New Roman" w:cs="Times New Roman" w:eastAsia="Times New Roman" w:hAnsi="Times New Roman"/>
                <w:sz w:val="18"/>
                <w:szCs w:val="18"/>
                <w:color w:val="auto"/>
              </w:rPr>
              <w:t>S-20</w:t>
            </w:r>
          </w:p>
        </w:tc>
        <w:tc>
          <w:tcPr>
            <w:tcW w:w="86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borrowings, net, are summarized in the following table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revolving credit facility, due October 2023</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77,000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secured term loan facility, due October 2023</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507,887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538,674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term loan facility, due March 2024</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829,344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1,325,923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secured term loan facility, due March 2025</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1,658,026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1,656,919</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5.125% senior notes, due January 2024</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902,351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902,908</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5.000% senior notes, due April 2025</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592,087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590,884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3.125% senior notes, due April 2025</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352,363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373,240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4.750% senior notes, due June 2026</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494,082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5.000% senior notes, due February 2028</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1,137,625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1,136,472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143,388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4,494</w:t>
            </w:r>
          </w:p>
        </w:tc>
      </w:tr>
      <w:tr>
        <w:trPr>
          <w:trHeight w:val="237"/>
        </w:trPr>
        <w:tc>
          <w:tcPr>
            <w:tcW w:w="7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6,682,167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7,243,984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(30,907)</w:t>
            </w:r>
          </w:p>
        </w:tc>
      </w:tr>
      <w:tr>
        <w:trPr>
          <w:trHeight w:val="237"/>
        </w:trPr>
        <w:tc>
          <w:tcPr>
            <w:tcW w:w="79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6,612,239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7,213,077</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ind w:left="500" w:hanging="465"/>
        <w:spacing w:after="0"/>
        <w:tabs>
          <w:tab w:leader="none" w:pos="500"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This is a Euro denominated borrowing. See the disclosure below in the Senior Notes section for further information.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27, 2019, there was approximately $881.9 million of outstanding foreign currency borrowings.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Agreement</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Aramark Services, Inc. ("ASI"), an indirect wholly owned subsidiary of the Company, and certain of its subsidiaries entered into a credit agreement on March 28, 2017 (as supplemented or otherwise modified from time to time, the "Credit Agreement"), which replaced the existing Amended and Restated Credit Agreement, originally dated January 26, 2007, and last amended on March 28, 2014 (the "Previous Credit Agreement").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senior secured term loan facilities consisting of the following as of September 27, 2019:</w:t>
      </w:r>
    </w:p>
    <w:p>
      <w:pPr>
        <w:spacing w:after="0" w:line="144" w:lineRule="exact"/>
        <w:rPr>
          <w:sz w:val="20"/>
          <w:szCs w:val="20"/>
          <w:color w:val="auto"/>
        </w:rPr>
      </w:pPr>
    </w:p>
    <w:p>
      <w:pPr>
        <w:ind w:left="660" w:right="20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dollar denominated term loan to ASI in the amount of $829.3 million, due 2024, ("U.S. Term Loan B due 2024") and $1,658.0 million, due 2025 ("U.S. Term Loan B due 2025");</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yen denominated term loan to ASI in the amount of ¥10,378.1 million (approximately $96.2 million), due 2023 (the "Yen Term Loan due 2023");</w:t>
      </w:r>
    </w:p>
    <w:p>
      <w:pPr>
        <w:spacing w:after="0" w:line="14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Canadian dollar denominated term loan to Aramark Canada Ltd. in the amount of CAD365.3 million (approximately $275.7 million), due 2023 (the "Canadian Term Loan A-2 due 2023"); and</w:t>
      </w:r>
    </w:p>
    <w:p>
      <w:pPr>
        <w:spacing w:after="0" w:line="8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euro denominated term loan to Aramark Investments Limited, a U.K. borrower, in an amount of €124.4 million (approximately $136.0 million), due 2023 (the "Euro Term Loan due 2023").</w:t>
      </w:r>
    </w:p>
    <w:p>
      <w:pPr>
        <w:spacing w:after="0" w:line="8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Credit Agreement also includes a revolving credit facility available for loans in U.S. dollars, Canadian dollars, euros and pounds sterling to ASI and certain foreign borrowers with aggregate commitments under the Credit Agreement of $1.0 billion. The revolving credit facility has a final maturity date of October 1, 2023. As of September 27, 2019, there was approximately $897.8 million available for borrowing under the revolving credit facility. The Company's revolving credit facility includes a $250.0 million sublimit for letters of credit. The revolving credit facility may be drawn by ASI as well as by certain foreign subsidiaries of ASI. Each foreign borrower is subject to a sublimit of $150.0 million with respect to borrowings under the revolving credit facility. In addition to paying interest on outstanding principal under the senior secured credit facilities, the Company is required to pay a commitment fee to the lenders under the revolving credit facility in respect of the unutilized commitments thereunder. On October 1, 2018, ASI entered into Amendment No. 7 ("Amendment No. 7") to the Credit Agreement which changed the commitment fee rate range from 0.25% to 0.40% per annum to 0.15% to 0.30% per annum. The actual rate within the range is based on a Consolidated Leverage Ratio, as defined in the Credit Agreement.</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primary borrower under the senior secured credit facilities is ASI. In addition, certain subsidiaries of ASI are borrowers of the term loan facilities and/or the revolving credit facility. The Company is not a guarantor under the senior secured credit facilities and is not subject to the covenants or obligations under the Credit Agreement.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420"/>
          </w:cols>
          <w:pgMar w:left="240" w:top="175"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applicable margin on the U.S. Term Loan due 2024 and the U.S. Term Loan B due 2025 is 1.75% with respect to eurocurrency (LIBOR) borrowings, subject to a LIBOR floor of 0.00%, and 0.75% with respect to base-rate borrowings, subject to a minimum base rate of 0.00%. The applicable margin spread for the Yen Term Loan due 2023, the Canadian Term Loan A-2 due 2023, the Euro Term Loan due 2023 and the senior secured revolving credit facility is</w:t>
      </w:r>
    </w:p>
    <w:p>
      <w:pPr>
        <w:spacing w:after="0" w:line="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1.125% to 1.625% (as of September 27, 2019 - 1.375%) with respect to eurocurrency (LIBOR) borrowings, bankers’ acceptance ("BA") rate borrowings and letters of credit fees, subject to a floor of 0.00%, and 0.125% to 0.625% (as of September 27, 2019 - 0.375%) with respect to U.S. and Canadian base rate borrowings, subject to a floor of 0.00%. The actual spreads within all ranges referred to above are based on a Consolidated Leverage Ratio, as defined in the Credit Agreement.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2019 Refinancing Transactions</w:t>
      </w:r>
    </w:p>
    <w:p>
      <w:pPr>
        <w:spacing w:after="0" w:line="14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October 1, 2018, the Company extended the maturity dates of the Revolving Credit Facility, Yen Term Loan due 2022, Canadian Term Loan due 2022, Canadian Term Loan due 2023 and Euro Term Loan due 2022 to October 1, 2023 and lowered the interest rates applicable to each such tranche of commitments or outstanding indebtedness, as applicable, as described in the preceding paragraph.</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2018 Refinancing Transactions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11, 2017, ASI entered into Incremental Amendment No. 2 to the Credit Agreement. Incremental Amendment No. 2 provided for an incremental senior secured credit facility under the Credit Agreement, the U.S. Term Loan B due 2025, comprised of a U.S. dollar denominated term loan made to ASI in an amount equal to $1,785.0 million, due on March 11, 2025.</w:t>
      </w:r>
    </w:p>
    <w:p>
      <w:pPr>
        <w:spacing w:after="0" w:line="9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net proceeds from the U.S. Term Loan B due 2025 were used to finance the Avendra acquisition and, together with approximately $200.0 million of proceeds from a borrowing made under the Credit Agreement’s revolving credit facility, to repay the $633.8 million of principal outstanding on the U.S. Term Loan A due 2022 under the Credit Agreement, along with accrued interest and certain fees and related expenses. The Company recorded $5.7 million of charges to "Interest and Other Financing Costs, net" in the Consolidated Statements of Income for fiscal 2018 for the write-off of debt issuance costs.</w:t>
      </w:r>
    </w:p>
    <w:p>
      <w:pPr>
        <w:spacing w:after="0" w:line="9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2018, the Company capitalized third-party costs of approximately $8.9 million directly attributable to the U.S. Term Loan B due 2025, which are included in "Long-Term Borrowings" in the Consolidated Balance Sheets.</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U.S. Term Loan B due 2025 is subject to substantially similar terms relating to guarantees, collateral, mandatory prepayments and covenants that are applicable to the Company’s existing U.S. Term Loan B due 2024 outstanding under the Credit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Facilities</w:t>
      </w:r>
    </w:p>
    <w:p>
      <w:pPr>
        <w:spacing w:after="0" w:line="14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Credit Agreement provides that the Company has the right at any time to request one or more incremental term loan facilities or increases under existing term loan facilities and/or additional revolving credit facilities or increases under the existing revolving credit facility in an amount up to $1,400.0 million of incremental commitments in the aggregate plus an unlimited amount so long as the pro forma Consolidated Secured Debt to Covenant Adjusted EBITDA ratio (each as calculated in accordance with the Credit Agreement (the "Consolidated Secured Debt Ratio")) would not exceed 3.00 to 1.00, plus any amount of loans and commitments optionally prepaid and terminated under the senior secured credit facilities. The lenders under these facilities are not under any obligation to provide any such incremental facilities or commitments, and any such addition of or increase in facilities or commitments will be subject to customary conditions precedent.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Amortization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requires us to prepay outstanding term loans, subject to certain exceptions, with:</w:t>
      </w:r>
    </w:p>
    <w:p>
      <w:pPr>
        <w:spacing w:after="0" w:line="144" w:lineRule="exact"/>
        <w:rPr>
          <w:sz w:val="20"/>
          <w:szCs w:val="20"/>
          <w:color w:val="auto"/>
        </w:rPr>
      </w:pPr>
    </w:p>
    <w:p>
      <w:pPr>
        <w:ind w:left="660" w:right="3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ASI's annual excess cash flow (as defined in the Credit Agreement) with stepdowns to 25% and 0% upon ASI's reaching certain Consolidated Secured Debt Ratio thresholds; provided, further, that such prepayment shall only be required to the extent excess cash flow for the applicable year exceeds $10.0 million;</w:t>
      </w:r>
    </w:p>
    <w:p>
      <w:pPr>
        <w:spacing w:after="0" w:line="9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all nonordinary course asset sales or other dispositions of property subject to certain exceptions and customary reinvestment rights; provided, further, that such prepayment shall only be required to the extent net cash proceeds exceeds $100.0 million;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any incurrence of debt, but excluding proceeds from certain debt permitted under the Credit Agreement.</w:t>
      </w:r>
    </w:p>
    <w:p>
      <w:pPr>
        <w:spacing w:after="0" w:line="14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foregoing mandatory prepayments will be applied to the term loan facilities on a pro rata basis and will reduce the obligations to make scheduled amortization payments on a dollar for dollar basis as directed by the Company. The Company may voluntarily repay outstanding loans under the Credit Agreement any time without premium or penalty, other than (i) customary "breakage" costs with respect to LIBOR loans, (ii) with respect to any voluntary prepayments of the U.S. Term Loan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420"/>
          </w:cols>
          <w:pgMar w:left="240" w:top="175"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 due 2024 in connection with any repricing transaction (as defined in the Credit Agreement) effected prior to November 24, 2018, a 1% prepayment premium and (iii) with respect to any voluntary prepayments of the U.S. Term Loan B due 2025 in connection with any repricing transaction (as defined in the Credit Agreement) effected prior to December 12, 2018, a 1% prepayment premium. Prepaid term loans may not be reborrowed.</w:t>
      </w:r>
    </w:p>
    <w:p>
      <w:pPr>
        <w:spacing w:after="0" w:line="9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made optional prepayments of approximately $500.0 million, $260.4 million and $330.6 million of outstanding U.S. dollar term loans, during fiscal 2019, fiscal 2018 and fiscal 2017, respectively.</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 change of control as defined in the Credit Agreement occurs, this will cause an event of default under the Credit Agreement. Upon an event of default, the new senior secured credit facilities may be accelerated, in which case the Company would be required to repay all outstanding loans plus accrued and unpaid interest and all other amounts outstanding under the new senior secured credit facilities under the Credit Agreement.</w:t>
      </w:r>
    </w:p>
    <w:p>
      <w:pPr>
        <w:spacing w:after="0" w:line="9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is required to make quarterly principal payments on the Canadian Term Loan A-2 due 2023 in quarterly amounts of 1.25%, 1.25%, 1.88%, 2.50% and 3.75% per annum of their funded total principal amount during the first, second, third, fourth and fifth years subsequent to entering into Amendment No. 7 to the Credit Agreement, with the remaining balance due at maturity. The Company is required to make quarterly principal repayments on the Yen Term Loan due 2023 and the Euro Term Loan due 2023 in quarterly amounts of 1.25%, 1.25%, 1.75%, 2.50% and 3.75% per annum of their funded total principal amount during the first, second, third, fourth and fifth years subsequent to entering into Amendment No. 7 to the Credit Agreement, with the remaining balance due at maturity.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All obligations under the Credit Agreement are unconditionally guaranteed by Aramark Intermediate HoldCo Corporation and, subject to certain exceptions, substantially all of ASI's existing and future wholly-owned domestic subsidiaries excluding certain immaterial subsidiaries, receivables facility subsidiaries, certain other customarily excluded subsidiaries and certain subsidiaries designated under the Credit Agreement as "unrestricted subsidiaries," referred to, collectively, as the U.S. Guarantors. All obligations under the Credit Agreement, and the guarantees of those obligations, are secured by (i) a pledge of 100% of the capital stock of ASI, (ii) pledges of 100% of the capital stock (or 65% of voting stock and 100% of non-voting stock, in the case of the stock of foreign subsidiaries) held by ASI, Aramark Intermediate HoldCo Corporation or any of the U.S. Guarantors and (iii) a security interest in, and mortgages on, substantially all tangible assets of Aramark Intermediate HoldCo Corporation, ASI or any of the U.S. Guarantors.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covenants that, among other things, restrict, subject to certain exceptions, ASI's ability and the ability of its restricted subsidiaries to: incur additional indebtedness; issue preferred stock or provide guarantees; create liens on assets; engage in mergers or consolidations; sell assets; pay dividends, make distributions or repurchase its capital stock; make investments, loans or advances; repay or repurchase any subordinated debt, except as scheduled or at maturity; create restrictions on the payment of dividends or other transfers to ASI from its restricted subsidiaries; make certain acquisitions; engage in certain transactions with affiliates; amend material agreements governing ASI's subordinated debt; and fundamentally change ASI's business. In addition, the Credit Agreement requires ASI to comply with a maximum Consolidated Secured Debt Ratio maintenance covenant. The Credit Agreement also contains certain customary affirmative covenants, such as financial and other reporting, and certain events of default. At September 27, 2019, ASI was in compliance with all of these covenants.</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capital leases, debt in respect of sale-leaseback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the Credit Agreement (other than the lenders in respect of ASI’s U.S. Term Loan B due 2024 and U.S. Term Loan B due 2025 which lenders shall not benefit from the maximum Consolidated Secured Debt Ratio) failed to waive any such default, would also constitute a default under the indentures governing the senior notes. The actual ratio at September 27, 2019 was 1.78x.</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Credit Agreement establishes an incurrence-based minimum Interest Coverage Ratio, defined as Covenant Adjusted EBITDA to consolidated interest expense, as a condition for ASI and its restricted subsidiaries to incur additional indebtedness and to make certain restricted payments. The minimum Interest Coverage Ratio is 2.00x for the term of the Credit Agreement. If ASI does not maintain this minimum Interest Coverage Ratio calculated on a pro forma basis for any such additional indebtedness or restricted payments, it could be prohibited from being able to incur additional indebtedness, other than the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420"/>
          </w:cols>
          <w:pgMar w:left="240" w:top="175"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additional funding provided for under the Credit Agreement and pursuant to specified exceptions, and make certain restricted payments, other than pursuant to certain exceptions. The actual ratio was 5.02x for the fiscal year ended September 27, 2019.</w:t>
      </w:r>
    </w:p>
    <w:p>
      <w:pPr>
        <w:spacing w:after="0" w:line="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failure to pay any obligations under the Credit Agreement as they become due or any event causing amounts to become due prior to their stated maturity could result in a cross-default and potential acceleration of the Company’s other outstanding debt obligations, including the senior notes.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5.000% Senior Notes due 2028</w:t>
      </w:r>
    </w:p>
    <w:p>
      <w:pPr>
        <w:spacing w:after="0" w:line="14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18, 2018, ASI issued $1,150.0 million aggregate principal amount of 5.000% Senior Notes due February 1, 2028 (the "2028 Notes"). The net proceeds from the 2028 Notes were used to finance the AmeriPride acquisition, to pay down certain borrowings under the revolving credit facility and to pay fees related to the transaction. During the second quarter of fiscal 2018, the Company capitalized third-party costs of approximately $14.2 million directly attributable to the 2028 Notes, which are included in "Long-Term Borrowings" in the Consolidated Balance Sheets.</w:t>
      </w:r>
    </w:p>
    <w:p>
      <w:pPr>
        <w:spacing w:after="0" w:line="9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2028 Notes were issued pursuant to an indenture, dated as of January 18, 2018 (the "2028 Notes Indenture"), entered into by and among ASI, the Company and certain other Aramark entities, as guarantors, and the U.S. Bank National Association, as trustee. The 2028 Notes were issued at par.</w:t>
      </w:r>
    </w:p>
    <w:p>
      <w:pPr>
        <w:spacing w:after="0" w:line="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2028 Notes are senior unsecured obligations of ASI. The 2028 Notes rank equal in right of payment to all of the Issuer's existing and future senior indebtedness and will rank senior in right of payment to the Issuer's future subordinated indebtedness. The 2028 Notes are guaranteed on a senior, unsecured basis by the Company and substantially all of the domestic subsidiaries of ASI. The guarantees of the 2028 Notes rank equal in right of payment to all of the senior obligations of such guarantor. The 2028 Notes are effectively subordinated to all of ASI's existing and future secured indebtedness, to the extent of the value of the assets securing that indebtedness, and structurally subordinated to all of the liabilities of any of ASI's subsidiaries that do not guarantee the 2028 Notes. Interest on the 2028 Notes is payable on February 1 and August 1 of each year, commencing on August 1, 2018.</w:t>
      </w:r>
    </w:p>
    <w:p>
      <w:pPr>
        <w:spacing w:after="0" w:line="1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any time prior to February 1, 2023, ASI has the option to redeem all or a part of the 2028 Notes at a purchase price equal to 100% of the principal amount of such 2028 Notes plus an applicable premium and accrued and unpaid interest, if any, to but not including the date of redemption. Prior to February 1, 2021, ASI has the option to redeem up to 40% of the aggregate principal amount of all 2028 Notes at a purchase price equal to 105% of the principal amount of such 2028 Notes plus accrued and unpaid interest, if any, to, but not including, the date of redemption, with the net cash proceeds of one or more equity offerings, provided that at least 50% of the sum of the aggregate principal amount of the 2028 Notes originally issued remain outstanding immediately after the purchase.</w:t>
      </w:r>
    </w:p>
    <w:p>
      <w:pPr>
        <w:spacing w:after="0" w:line="1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2028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2028 Notes Indenture also provides for events of default which, if any of them occurs, would permit or require the principal of and accrued interest on the applicable series of 2028 Notes to become or to be declared due and payable. Further, a failure to pay any obligations under the 2028 Notes Indenture as they become due or any event causing amounts to become due prior to their stated maturity could result in a cross-default and potential acceleration of the Company’s other outstanding debt obligations.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5.000% Senior Notes due 2025 and 3.125% Senior Notes due 2025</w:t>
      </w:r>
    </w:p>
    <w:p>
      <w:pPr>
        <w:spacing w:after="0" w:line="14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March 22, 2017, ASI issued $600.0 million of 5.000% Senior Notes due April 1, 2025 (the "5.000% 2025 Notes"). The 5.000% 2025 Notes were issued pursuant to an indenture (the "5.000% 2025 Notes Indenture"), entered into by and among ASI, the Company and certain other Aramark entities, as guarantors, and The Bank of New York Mellon, as trustee. The 5.000% 2025 Notes were issued at par. On March 27, 2017, Aramark International Finance S.à r.l. ("AIFS"), an indirect wholly owned subsidiary of the Company, issued €325.0 million of 3.125% Senior Notes due April 1, 2025 (the "3.125% 2025 Notes" and, together with the 5.000% 2025 Notes, the "2025 Notes"). The 3.125% 2025 Notes were issued pursuant to an indenture (the "3.125% 2025 Notes Indenture"), entered into by and among AIFS, the Company and certain other Aramark entities, as guarantors, The Bank of New York Mellon, as trustee and registrar, and The Bank of New York Mellon, London Branch, as paying agent and transfer agent. The 3.125% 2025 Notes were issued at par.</w:t>
      </w:r>
    </w:p>
    <w:p>
      <w:pPr>
        <w:spacing w:after="0" w:line="10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2025 Notes are senior unsecured obligations of the respective Issuers. Each series of the 2025 Notes ranks equal in right of payment to all of the respective Issuer's existing and future senior indebtedness, including the senior secured credit facilities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420"/>
          </w:cols>
          <w:pgMar w:left="240" w:top="175"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Credit Agreement, and, in the case of the 5.000% 2025 Notes with respect to ASI, ASI's 5.125% Senior Notes due 2024 (the "2024 Notes") and 4.750% Senior Notes due 2026 (the "2026 Notes") and will rank senior in right of payment to the respective Issuer's future subordinated indebtedness. The 2025 Notes are guaranteed on a senior, unsecured basis by the Company and substantially all of the domestic subsidiaries of ASI and the 3.125% 2025 Notes are guaranteed on a senior, unsecured basis by ASI. The guarantees of the 2025 Notes rank equal in right of payment to all of the senior obligations of such guarantor, including guarantees of the senior secured credit facilities, the 2024 Notes, the 2026 Notes and the 2028 Notes, as applicable, and in the case of the 3.125% 2025 Notes with respect to ASI, ASI’s obligations under the senior secured credit facilities, the 2024 Notes, the 2026 Notes, the 5.000% 2025 Notes and the 2028 Notes. Each series of the 2025 Notes and the related guarantees thereof are effectively subordinated to all of the respective Issuers' existing and future secured indebtedness, including obligations and/or guarantees of the senior secured credit facilities under the Credit Agreement, to the extent of the value of the assets securing that indebtedness, and structurally subordinated to all of the liabilities of any of ASI's subsidiaries that do not guarantee the 2025 Notes. Interest on the 2025 Notes is payable on April 1 and October 1 of each year, commencing on October 1, 2017.</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event of certain types of changes of control, the holders of the 2025 Notes may require the applicable Issuer to purchase for cash all or a portion of their 2025 Notes at a purchase price equal to 101% of the principal amount of such 2025 Notes, plus accrued and unpaid interest, if any, to, but not including, the purchase date. Beginning April 1, 2020, ASI has the option to redeem all or a portion of the 5.000% 2025 Notes at any time at the redemption prices set forth in the 5.000% 2025 Notes Indenture, plus accrued and unpaid interest. Beginning April 1, 2020, AIFS has the option to redeem all or a portion of the 3.125% 2025 Notes at any time at the redemption prices set forth in the 3.125% 2025 Notes Indenture, plus accrued and unpaid interest.</w:t>
      </w:r>
    </w:p>
    <w:p>
      <w:pPr>
        <w:spacing w:after="0" w:line="1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5.000% 2025 Notes Indenture and the 3.125% 2025 Notes Indenture contain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5.000% 2025 Notes Indenture and the 3.125% 2025 Notes Indenture also provide for events of default which, if any of them occurs, would permit or require the principal of and accrued interest on the applicable series of 2025 Notes to become or to be declared due and payable. Further, a failure to pay any obligations under the 5.000% 2025 Notes Indenture or the 3.125% 2025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5.125% Senior Notes due 2024 and 4.75% Senior Notes due 2026</w:t>
      </w:r>
    </w:p>
    <w:p>
      <w:pPr>
        <w:spacing w:after="0" w:line="14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17, 2015, ASI issued $400.0 million of 5.125% Senior Notes due January 15, 2024 (the "Original 2024 Notes"), pursuant to an indenture, dated as of December 17, 2015 (the "2024 Base Indenture"), entered into by ASI, the Company and certain other Aramark entities, as guarantors of the Original 2024 Notes, and The Bank of New York Mellon, as trustee. The Original 2024 Notes were issued at par and the net proceeds were used for general corporate purposes and to reduce the outstanding balance under the Company's revolving credit facility. The Company paid approximately $6.0 million in financing fees related to the offering of the Original 2024 Notes.</w:t>
      </w:r>
    </w:p>
    <w:p>
      <w:pPr>
        <w:spacing w:after="0" w:line="1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31, 2016, ASI issued $1,000.0 million aggregate principal amount of senior unsecured notes, consisting of $500 million of additional 5.125% Senior Notes due January 15, 2024 (the "New 2024 Notes") and $500 million of 4.75% Senior Notes due June 1, 2026 (the "2026 Notes"). The New 2024 Notes constitute a further issuance of the Original 2024 Notes (together with the New 2024 Notes, the "2024 Notes"). The New 2024 Notes were issued pursuant to the Base Indenture, as supplemented by the supplemental indenture, dated as of May 31, 2016 (the "2024 Supplemental Indenture" and together with the 2024 Base Indenture, the "2024 Notes Indenture"), entered into by ASI, the Company and certain other Aramark entities, as guarantors of the New 2024 Notes, and The Bank of New York Mellon, as trustee. The 2026 Notes were issued pursuant to the indenture, dated as of May 31, 2016 (the "2026 Notes Indenture"), entered into by ASI, the Company and certain other Aramark entities, as guarantors of the 2026 Notes and The Bank of New York Mellon, as trustee. The New 2024 Notes were issued at a premium of $18.8 million, which created an effective yield of 4.6%. The premium was recorded to "Long-Term Borrowings" in the Consolidated Balance Sheets and is amortized to "Interest and Other Financing Costs, net" in the Consolidated Statements of Income until maturity in 2024.</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2024 Notes and 2026 Notes are senior unsecured obligations of ASI. The 2024 Notes and 2026 Notes rank equal in right of payment to all of the ASI's existing and future senior debt and senior in the right of payment to the ASI's future debt and other obligations that are expressly subordinated in right of payment to the 2024 Notes and 2026 Notes. The 2024 Notes and 2026 Notes are guaranteed on a senior, unsecured basis by the Company and substantially all of the domestic subsidiaries of ASI. The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400"/>
          </w:cols>
          <w:pgMar w:left="240" w:top="175" w:right="2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2024 Notes and 2026 Notes and the guarantees thereof are effectively subordinated to all existing and future secured debt of ASI and the guarantors, to the extent of the value of the assets securing such debt, and structurally subordinated to all of the liabilities of any of ASI's subsidiaries that do not guarantee the 2024 Notes and 2026 Notes. Interest on the 2024 Notes is payable on January 15 and July 15 of each year. Interest on the 2026 Notes is payable on June 1 and December 1 of each year.</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event of certain types of changes of control, the holders of the 2024 Notes or 2026 Notes may require ASI to purchase for cash all or a portion of their 2024 Notes or 2026 Notes, as applicable, at a purchase price equal to 101% of the principal amount of such notes, plus accrued and unpaid interest, if any, but not including, the purchase date. Beginning January 15, 2019, ASI has the option to redeem all or a portion of the 2024 Notes at any time at the redemption prices set forth in the 2024 Notes Indenture, plus accrued and unpaid interest. Beginning June 1, 2021, ASI has the option to redeem all or a portion of the 2026 Notes at any time at the redemption prices set forth in the 2026 Notes Indenture, plus accrued and unpaid interest.</w:t>
      </w:r>
    </w:p>
    <w:p>
      <w:pPr>
        <w:spacing w:after="0" w:line="10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2024 Notes Indenture and 2026 Notes Indenture contain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assets; and designate ASI's subsidiaries as unrestricted subsidiaries. They also provide for events of default which, if any of them occurs, would permit or require the principal of and accrued interest on the 2024 Notes and 2026 Notes to become or to be declared due and payable.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2017 Refinancing Transactions</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fiscal 2017, the net proceeds from the 2025 Notes and borrowings under the senior secured term loan facilities under the Credit Agreement were used to repay all existing outstanding borrowings under the term loans under the Previous Credit Agreement, to redeem ASI's 5.750% senior notes, due March 2020 (the "2020 Notes"), and to pay certain fees and related expenses. The Company recorded $28.5 million of charges to "Interest and Other Financing Costs, net" in the Consolidated Statements of Income for the fiscal year ended September 29, 2017, consisting of $25.2 million of non-cash charges for the write-off of deferred financing costs and original issue discount and $3.3 million for the call premium on the 2020 Notes. The Company used the borrowings to pay down a portion of the existing U.S. Term Loan B due 2024 loans outstanding under the Credit Agreement and to pay certain related fees and expenses.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 Facility</w:t>
      </w:r>
    </w:p>
    <w:p>
      <w:pPr>
        <w:spacing w:after="0" w:line="14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has an agreement (the "Receivables Facility") with three financial institutions where it sells on a continuous basis an undivided interest in all eligible trade accounts receivable, as defined in the Receivables Facility. The maximum amount available under the Receivables Facility is $400.0 million, which expires in May 2021. In addition, the Receivables Facility includes a seasonal tranche which increases the capacity of the Receivables Facility and maximum amount available by $100.0 million from October through March.</w:t>
      </w:r>
    </w:p>
    <w:p>
      <w:pPr>
        <w:spacing w:after="0" w:line="9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the Receivables Facility, the Company formed ARAMARK Receivables, LLC, a wholly-owned, consolidated, bankruptcy-remote subsidiary. ARAMARK Receivables, LLC was formed for the sole purpose of buying and selling receivables generated by certain subsidiaries of the Company. Under the Receivables Facility, the Company and certain of its subsidiaries transfer without recourse all of their accounts receivable to ARAMARK Receivables, LLC. As collections reduce previously transferred interests, interests in new, eligible receivables are transferred to ARAMARK Receivables, LLC, subject to meeting certain conditions.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27, 2019 and September 28, 2018, there were no borrowings outstanding on the Receivables Facility.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Maturities and Interest and Other Financing Costs, net</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September 27, 2019, annual maturities on long-term borrowings maturing in the next five fiscal years and thereafter (excluding the $48.3 million reduction to long-term borrowings from debt issuance costs and the increase of $10.0 million from the premium on the 2024 Notes)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7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69,928</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7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69,936</w:t>
            </w:r>
          </w:p>
        </w:tc>
      </w:tr>
      <w:tr>
        <w:trPr>
          <w:trHeight w:val="27"/>
        </w:trPr>
        <w:tc>
          <w:tcPr>
            <w:tcW w:w="3160" w:type="dxa"/>
            <w:vAlign w:val="bottom"/>
          </w:tcPr>
          <w:p>
            <w:pPr>
              <w:spacing w:after="0"/>
              <w:rPr>
                <w:sz w:val="2"/>
                <w:szCs w:val="2"/>
                <w:color w:val="auto"/>
              </w:rPr>
            </w:pPr>
          </w:p>
        </w:tc>
        <w:tc>
          <w:tcPr>
            <w:tcW w:w="7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7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72,695</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7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93,736</w:t>
            </w:r>
          </w:p>
        </w:tc>
      </w:tr>
      <w:tr>
        <w:trPr>
          <w:trHeight w:val="27"/>
        </w:trPr>
        <w:tc>
          <w:tcPr>
            <w:tcW w:w="3160" w:type="dxa"/>
            <w:vAlign w:val="bottom"/>
          </w:tcPr>
          <w:p>
            <w:pPr>
              <w:spacing w:after="0"/>
              <w:rPr>
                <w:sz w:val="2"/>
                <w:szCs w:val="2"/>
                <w:color w:val="auto"/>
              </w:rPr>
            </w:pPr>
          </w:p>
        </w:tc>
        <w:tc>
          <w:tcPr>
            <w:tcW w:w="7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7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2,106,525</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7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4,307,650</w:t>
            </w:r>
          </w:p>
        </w:tc>
      </w:tr>
      <w:tr>
        <w:trPr>
          <w:trHeight w:val="783"/>
        </w:trPr>
        <w:tc>
          <w:tcPr>
            <w:tcW w:w="3160" w:type="dxa"/>
            <w:vAlign w:val="bottom"/>
          </w:tcPr>
          <w:p>
            <w:pPr>
              <w:spacing w:after="0"/>
              <w:rPr>
                <w:sz w:val="24"/>
                <w:szCs w:val="24"/>
                <w:color w:val="auto"/>
              </w:rPr>
            </w:pPr>
          </w:p>
        </w:tc>
        <w:tc>
          <w:tcPr>
            <w:tcW w:w="7280" w:type="dxa"/>
            <w:vAlign w:val="bottom"/>
          </w:tcPr>
          <w:p>
            <w:pPr>
              <w:jc w:val="right"/>
              <w:ind w:right="4470"/>
              <w:spacing w:after="0"/>
              <w:rPr>
                <w:sz w:val="20"/>
                <w:szCs w:val="20"/>
                <w:color w:val="auto"/>
              </w:rPr>
            </w:pPr>
            <w:r>
              <w:rPr>
                <w:rFonts w:ascii="Times New Roman" w:cs="Times New Roman" w:eastAsia="Times New Roman" w:hAnsi="Times New Roman"/>
                <w:sz w:val="18"/>
                <w:szCs w:val="18"/>
                <w:color w:val="auto"/>
              </w:rPr>
              <w:t>S-26</w:t>
            </w:r>
          </w:p>
        </w:tc>
        <w:tc>
          <w:tcPr>
            <w:tcW w:w="98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interest and other financing costs, net, are summarized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60" w:type="dxa"/>
            <w:vAlign w:val="bottom"/>
          </w:tcPr>
          <w:p>
            <w:pPr>
              <w:spacing w:after="0"/>
              <w:rPr>
                <w:sz w:val="22"/>
                <w:szCs w:val="22"/>
                <w:color w:val="auto"/>
              </w:rPr>
            </w:pPr>
          </w:p>
        </w:tc>
        <w:tc>
          <w:tcPr>
            <w:tcW w:w="2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28, 2018</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22"/>
                <w:szCs w:val="22"/>
                <w:color w:val="auto"/>
              </w:rPr>
            </w:pPr>
          </w:p>
        </w:tc>
        <w:tc>
          <w:tcPr>
            <w:tcW w:w="1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September 29, 2017</w:t>
            </w:r>
            <w:r>
              <w:rPr>
                <w:rFonts w:ascii="Times New Roman" w:cs="Times New Roman" w:eastAsia="Times New Roman" w:hAnsi="Times New Roman"/>
                <w:sz w:val="8"/>
                <w:szCs w:val="8"/>
                <w:b w:val="1"/>
                <w:bCs w:val="1"/>
                <w:color w:val="auto"/>
              </w:rPr>
              <w:t>(1)</w:t>
            </w: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352,812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353,048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285,995</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financing costs</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7,362</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334,987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346,535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280,985</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ind w:left="500" w:right="40" w:hanging="336"/>
        <w:spacing w:after="0" w:line="184" w:lineRule="auto"/>
        <w:tabs>
          <w:tab w:leader="none" w:pos="50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2"/>
          <w:szCs w:val="12"/>
          <w:color w:val="auto"/>
        </w:rPr>
        <w:t xml:space="preserve">Fiscal 2018 and 2017 balances have been restated to reflect the impact of the adoption of ASU 2017-07, </w:t>
      </w:r>
      <w:r>
        <w:rPr>
          <w:rFonts w:ascii="Times New Roman" w:cs="Times New Roman" w:eastAsia="Times New Roman" w:hAnsi="Times New Roman"/>
          <w:sz w:val="12"/>
          <w:szCs w:val="12"/>
          <w:i w:val="1"/>
          <w:iCs w:val="1"/>
          <w:color w:val="auto"/>
        </w:rPr>
        <w:t>Compensation - Retirement Benefits (Topic 715): Improving the Presentation of Net Periodic Pension Cost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Net Periodic Postretirement Benefit Cost </w:t>
      </w:r>
      <w:r>
        <w:rPr>
          <w:rFonts w:ascii="Times New Roman" w:cs="Times New Roman" w:eastAsia="Times New Roman" w:hAnsi="Times New Roman"/>
          <w:sz w:val="12"/>
          <w:szCs w:val="12"/>
          <w:color w:val="auto"/>
        </w:rPr>
        <w:t>(see Note 1).</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INSTRUMENTS:</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enters into contractual derivative arrangements to manage changes in market conditions related to interest on debt obligations, foreign currency exposures and exposure to fluctuating gasoline and diesel fuel prices. Derivative instruments 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has approximately $2.5 billion notional amount of outstanding interest rate swap agreements as of September 27, 2019, which fixes the rate on a like amount of variable rate borrowings through the first quarter of fiscal 2023. During fiscal 2019, the Company entered into approximately $500.0 million notional amount of interest rate swap agreements to hedge the cash flow risk of variability in interest payments on variable rate borrowings. In addition, interest rate swaps with notional amounts of $575.0 million matured during fiscal 2019. As a result of the Credit Agreement entered into in fiscal 2017, the Company de-designated the previous interest rate swap agreements as the terms of the interest rate swaps did not match the terms of the new term loans. Prior to the Credit Agreement, these agreements met the required criteria to be designated as cash flow hedging instruments. The Company then amended the interest rate swap agreements to match the terms of the new term loans under the Credit Agreement to meet the criteria to be designated as cash flow hedging instruments. As a result of the de-designation, the Company recorded charges to "Interest and Other Financing Costs, net" in the Consolidated Statements of Income during fiscal 2017 of approximately $2.9 million for the changes in market value of the interest rate swaps.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September 27, 2019 and September 28, 2018, approximately ($31.1) million and $36.2 million of unrealized net of tax gains (losses) related to the interest rate swaps were included in "Accumulated other comprehensive loss," respectively.</w:t>
      </w:r>
    </w:p>
    <w:p>
      <w:pPr>
        <w:spacing w:after="0" w:line="10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our derivatives designated as cash flow hedging instruments on Other comprehensive income (loss)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6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60" w:type="dxa"/>
            <w:vAlign w:val="bottom"/>
          </w:tcPr>
          <w:p>
            <w:pPr>
              <w:spacing w:after="0"/>
              <w:rPr>
                <w:sz w:val="22"/>
                <w:szCs w:val="22"/>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42"/>
        </w:trPr>
        <w:tc>
          <w:tcPr>
            <w:tcW w:w="62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55,445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31,884</w:t>
            </w:r>
          </w:p>
        </w:tc>
      </w:tr>
      <w:tr>
        <w:trPr>
          <w:trHeight w:val="27"/>
        </w:trPr>
        <w:tc>
          <w:tcPr>
            <w:tcW w:w="6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in Hedging Relationships</w:t>
      </w:r>
    </w:p>
    <w:p>
      <w:pPr>
        <w:spacing w:after="0" w:line="14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entered into a series of pay fixed/receive floating gasoline and diesel fuel agreements based on the Department of Energy weekly retail on-highway index in order to limit its exposure to price fluctuations for gasoline and diesel fuel. As 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420"/>
          </w:cols>
          <w:pgMar w:left="240" w:top="175"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September 27, 2019, the Company has contracts for approximately 18.6 million gallons outstanding through fiscal 2020. The Company does not record its gasoline and diesel fuel agreements as hedges for accounting purposes. The impact on earnings related to the change in fair value of these unsettled contracts was a loss of approximately $4.1 million for fiscal 2019 and not material in both fiscal year 2018 and 2017. The change in fair value for unsettled contracts is included in "Selling and general corporate expenses" in the Consolidated Statements of Income. When the contracts settle, the gain or loss is recorded to "Costs of services provided" in the Consolidated Statements of Income.</w:t>
      </w:r>
    </w:p>
    <w:p>
      <w:pPr>
        <w:spacing w:after="0" w:line="10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As of September 27, 2019, the Company had foreign currency forward exchange contracts outstanding with notional amounts of €72.6 million, CAD30.0 million and £7.5 million to mitigate the risk of changes in foreign currency exchange rates on short-term intercompany loans to certain international subsidiaries. Gains and losses on these foreign currency exchange contracts are recognized in earnings as the contracts were not designated as hedging instruments, substantially offsetting currency transaction gains and losses on the short-term intercompany loans.</w:t>
      </w:r>
    </w:p>
    <w:p>
      <w:pPr>
        <w:spacing w:after="0" w:line="9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using Level 2 inputs (see Note 16 for a description of the fair value levels), of the Company's derivatives designated and not designated as hedging instruments in the Consolidated Balance Sheets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7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0" w:type="dxa"/>
            <w:vAlign w:val="bottom"/>
          </w:tcPr>
          <w:p>
            <w:pPr>
              <w:spacing w:after="0"/>
              <w:rPr>
                <w:sz w:val="1"/>
                <w:szCs w:val="1"/>
                <w:color w:val="auto"/>
              </w:rPr>
            </w:pPr>
          </w:p>
        </w:tc>
      </w:tr>
      <w:tr>
        <w:trPr>
          <w:trHeight w:val="249"/>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Prepayments and other current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54,708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9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Prepayments and other current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5"/>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Gasoline and diesel fuel agreements</w:t>
            </w: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Prepayments and other current</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3,623</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59,999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43,112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9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Gasoline and diesel fuel agreements</w:t>
            </w: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43,574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7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S-28</w:t>
            </w: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74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920" w:type="dxa"/>
            <w:vAlign w:val="bottom"/>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5"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location of (gain) loss reclassified from "Accumulated other comprehensive loss" into earnings for derivatives designated as hedging instruments and the location of (gain) loss for our derivatives not designated as hedging instruments in the Consolidated Statements of Income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264"/>
        </w:trPr>
        <w:tc>
          <w:tcPr>
            <w:tcW w:w="3660" w:type="dxa"/>
            <w:vAlign w:val="bottom"/>
          </w:tcPr>
          <w:p>
            <w:pPr>
              <w:spacing w:after="0"/>
              <w:rPr>
                <w:sz w:val="22"/>
                <w:szCs w:val="22"/>
                <w:color w:val="auto"/>
              </w:rPr>
            </w:pPr>
          </w:p>
        </w:tc>
        <w:tc>
          <w:tcPr>
            <w:tcW w:w="24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0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00" w:type="dxa"/>
            <w:vAlign w:val="bottom"/>
          </w:tcPr>
          <w:p>
            <w:pPr>
              <w:spacing w:after="0"/>
              <w:rPr>
                <w:sz w:val="22"/>
                <w:szCs w:val="22"/>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80" w:type="dxa"/>
            <w:vAlign w:val="bottom"/>
          </w:tcPr>
          <w:p>
            <w:pPr>
              <w:spacing w:after="0"/>
              <w:rPr>
                <w:sz w:val="22"/>
                <w:szCs w:val="22"/>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49"/>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2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5"/>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and Other Financing</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4"/>
        </w:trPr>
        <w:tc>
          <w:tcPr>
            <w:tcW w:w="3660" w:type="dxa"/>
            <w:vAlign w:val="bottom"/>
          </w:tcPr>
          <w:p>
            <w:pPr>
              <w:spacing w:after="0"/>
              <w:rPr>
                <w:sz w:val="20"/>
                <w:szCs w:val="20"/>
                <w:color w:val="auto"/>
              </w:rPr>
            </w:pPr>
          </w:p>
        </w:tc>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Costs, 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16,606</w:t>
            </w:r>
          </w:p>
        </w:tc>
      </w:tr>
      <w:tr>
        <w:trPr>
          <w:trHeight w:val="27"/>
        </w:trPr>
        <w:tc>
          <w:tcPr>
            <w:tcW w:w="3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36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5"/>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Gasoline and diesel fuel agreements</w:t>
            </w:r>
          </w:p>
        </w:tc>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services provided /</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6"/>
        </w:trPr>
        <w:tc>
          <w:tcPr>
            <w:tcW w:w="36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general corporate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41"/>
        </w:trPr>
        <w:tc>
          <w:tcPr>
            <w:tcW w:w="366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25"/>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and Other Financing</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4"/>
        </w:trPr>
        <w:tc>
          <w:tcPr>
            <w:tcW w:w="3660" w:type="dxa"/>
            <w:vAlign w:val="bottom"/>
          </w:tcPr>
          <w:p>
            <w:pPr>
              <w:spacing w:after="0"/>
              <w:rPr>
                <w:sz w:val="20"/>
                <w:szCs w:val="20"/>
                <w:color w:val="auto"/>
              </w:rPr>
            </w:pPr>
          </w:p>
        </w:tc>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Costs, net</w:t>
            </w:r>
          </w:p>
        </w:tc>
        <w:tc>
          <w:tcPr>
            <w:tcW w:w="200" w:type="dxa"/>
            <w:vAlign w:val="bottom"/>
          </w:tcPr>
          <w:p>
            <w:pPr>
              <w:spacing w:after="0"/>
              <w:rPr>
                <w:sz w:val="20"/>
                <w:szCs w:val="20"/>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7"/>
        </w:trPr>
        <w:tc>
          <w:tcPr>
            <w:tcW w:w="36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37"/>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14,443</w:t>
            </w:r>
          </w:p>
        </w:tc>
      </w:tr>
      <w:tr>
        <w:trPr>
          <w:trHeight w:val="27"/>
        </w:trPr>
        <w:tc>
          <w:tcPr>
            <w:tcW w:w="3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an outstanding Japanese yen denominated term loan in the amount of ¥10,378.1 million. The term loan was designated as a hedge of the Company's net Japanese currency exposure represented by the equity investment in our Japanese affiliate, AIM Services Co., Ltd. Additionally, the Company has a Euro denominated term loan in the amount of €124.4 million. The term loan was designated as a hedge of the Company's net Euro currency exposure represented by certain holdings in our European affiliates.</w:t>
      </w:r>
    </w:p>
    <w:p>
      <w:pPr>
        <w:spacing w:after="0" w:line="9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At September 27, 2019, the net of tax loss expected to be reclassified from "Accumulated other comprehensive loss" into earnings over the next twelve months based on current market rates is approximately $10.0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REVENUE RECOGNITION:</w:t>
      </w:r>
    </w:p>
    <w:p>
      <w:pPr>
        <w:spacing w:after="0" w:line="1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generates revenue through sales of food, facility and uniform services to customers based on written contracts at the locations it serves. Within our FSS United States and FSS International segments, the Company provides food and beverage services, including catering and retail services, or facilities services, including plant operations and maintenance, custodial, housekeeping, landscaping and other services. Within the Uniform segment, the Company provides a full service uniform solution, including delivery, cleaning and maintenance.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4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New Revenue Recognition Standard</w:t>
      </w:r>
    </w:p>
    <w:p>
      <w:pPr>
        <w:spacing w:after="0" w:line="14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a result of the adoption of ASC 606, the following changes occurred with respect to financial statement line item classification in the Company's consolidated financial statements: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420"/>
          </w:cols>
          <w:pgMar w:left="240" w:top="175"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Transition Adjustment</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660" w:right="12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obtain contracts related to employee sales commissions, previously expensed to “Cost of services provided” at contract inception, are now capitalized in “Other Assets” ($111.0 million and $97.2 million as of September 27, 2019 and September 29, 2018,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Reclassifications and Changes in Presentation:</w:t>
      </w:r>
    </w:p>
    <w:p>
      <w:pPr>
        <w:spacing w:after="0" w:line="146" w:lineRule="exact"/>
        <w:rPr>
          <w:sz w:val="20"/>
          <w:szCs w:val="20"/>
          <w:color w:val="auto"/>
        </w:rPr>
      </w:pPr>
    </w:p>
    <w:p>
      <w:pPr>
        <w:ind w:left="660" w:right="2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within the Uniform segment, $358.6 million for fiscal 2019, previously recognized as a reduction to “Cost of services provided,” are now recognized in “Revenue;”</w:t>
      </w:r>
    </w:p>
    <w:p>
      <w:pPr>
        <w:spacing w:after="0" w:line="80"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contract investments, previously capitalized within “Other Assets” and amortized to “Depreciation and amortization” will continue to be expensed over the contract life as either a leasehold improvement in “Property and equipment, net” ($785.4 million as of September 27, 2019) or as long-term prepaid rent or costs to fulfill in “Other Assets” ($166.9 million and $109.4 million as of September 27, 2019, respectively) and primarily classified in “Depreciation and amortization” or “Cost of services provided;”</w:t>
      </w:r>
    </w:p>
    <w:p>
      <w:pPr>
        <w:spacing w:after="0" w:line="9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contracts related to personalized work apparel, linens and other rental items in service, previously capitalized within "Inventories" are now capitalized within "Other Assets" ($356.9 million as of September 27, 2019); and</w:t>
      </w:r>
    </w:p>
    <w:p>
      <w:pPr>
        <w:spacing w:after="0" w:line="80"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client contract investments, previously included within "Purchases of property and equipment and other" in Net cash provided by (used in) investing activities on the Consolidated Statements of Cash Flows, are now included within "Payments made to clients on contracts" in Net cash provided by operating activities.</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320"/>
          </w:cols>
          <w:pgMar w:left="240" w:top="175"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compares the reported Consolidated Balance Sheet as of September 27, 2019, to the balances had the previous revenue accounting guidance remained in effect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7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Adoption adjustments of</w:t>
            </w:r>
          </w:p>
        </w:tc>
        <w:tc>
          <w:tcPr>
            <w:tcW w:w="140" w:type="dxa"/>
            <w:vAlign w:val="bottom"/>
          </w:tcPr>
          <w:p>
            <w:pPr>
              <w:spacing w:after="0"/>
              <w:rPr>
                <w:sz w:val="12"/>
                <w:szCs w:val="12"/>
                <w:color w:val="auto"/>
              </w:rPr>
            </w:pPr>
          </w:p>
        </w:tc>
        <w:tc>
          <w:tcPr>
            <w:tcW w:w="1460" w:type="dxa"/>
            <w:vAlign w:val="bottom"/>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Balances without</w:t>
            </w:r>
          </w:p>
        </w:tc>
        <w:tc>
          <w:tcPr>
            <w:tcW w:w="0" w:type="dxa"/>
            <w:vAlign w:val="bottom"/>
          </w:tcPr>
          <w:p>
            <w:pPr>
              <w:spacing w:after="0"/>
              <w:rPr>
                <w:sz w:val="1"/>
                <w:szCs w:val="1"/>
                <w:color w:val="auto"/>
              </w:rPr>
            </w:pPr>
          </w:p>
        </w:tc>
      </w:tr>
      <w:tr>
        <w:trPr>
          <w:trHeight w:val="194"/>
        </w:trPr>
        <w:tc>
          <w:tcPr>
            <w:tcW w:w="5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140" w:type="dxa"/>
            <w:vAlign w:val="bottom"/>
          </w:tcPr>
          <w:p>
            <w:pPr>
              <w:spacing w:after="0"/>
              <w:rPr>
                <w:sz w:val="16"/>
                <w:szCs w:val="16"/>
                <w:color w:val="auto"/>
              </w:rPr>
            </w:pP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adoption of ASC 606</w:t>
            </w:r>
          </w:p>
        </w:tc>
        <w:tc>
          <w:tcPr>
            <w:tcW w:w="0" w:type="dxa"/>
            <w:vAlign w:val="bottom"/>
          </w:tcPr>
          <w:p>
            <w:pPr>
              <w:spacing w:after="0"/>
              <w:rPr>
                <w:sz w:val="1"/>
                <w:szCs w:val="1"/>
                <w:color w:val="auto"/>
              </w:rPr>
            </w:pPr>
          </w:p>
        </w:tc>
      </w:tr>
      <w:tr>
        <w:trPr>
          <w:trHeight w:val="230"/>
        </w:trPr>
        <w:tc>
          <w:tcPr>
            <w:tcW w:w="532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246,643</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246,643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Receivables, net</w:t>
            </w: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1,806,964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1,806,964</w:t>
            </w:r>
          </w:p>
        </w:tc>
        <w:tc>
          <w:tcPr>
            <w:tcW w:w="0" w:type="dxa"/>
            <w:vAlign w:val="bottom"/>
          </w:tcPr>
          <w:p>
            <w:pPr>
              <w:spacing w:after="0"/>
              <w:rPr>
                <w:sz w:val="1"/>
                <w:szCs w:val="1"/>
                <w:color w:val="auto"/>
              </w:rPr>
            </w:pPr>
          </w:p>
        </w:tc>
      </w:tr>
      <w:tr>
        <w:trPr>
          <w:trHeight w:val="243"/>
        </w:trPr>
        <w:tc>
          <w:tcPr>
            <w:tcW w:w="53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411,319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356,853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768,172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193,461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193,461</w:t>
            </w:r>
          </w:p>
        </w:tc>
        <w:tc>
          <w:tcPr>
            <w:tcW w:w="0" w:type="dxa"/>
            <w:vAlign w:val="bottom"/>
          </w:tcPr>
          <w:p>
            <w:pPr>
              <w:spacing w:after="0"/>
              <w:rPr>
                <w:sz w:val="1"/>
                <w:szCs w:val="1"/>
                <w:color w:val="auto"/>
              </w:rPr>
            </w:pPr>
          </w:p>
        </w:tc>
      </w:tr>
      <w:tr>
        <w:trPr>
          <w:trHeight w:val="237"/>
        </w:trPr>
        <w:tc>
          <w:tcPr>
            <w:tcW w:w="5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2,658,387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356,853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3,015,240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2,181,762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1,396,402</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5,518,800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5,518,800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2,033,566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2,033,566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1,343,806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1,651,225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13,736,321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13,615,233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12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Current maturities of long-term borrowings</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69,928</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69,928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999,517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999,517</w:t>
            </w:r>
          </w:p>
        </w:tc>
        <w:tc>
          <w:tcPr>
            <w:tcW w:w="0" w:type="dxa"/>
            <w:vAlign w:val="bottom"/>
          </w:tcPr>
          <w:p>
            <w:pPr>
              <w:spacing w:after="0"/>
              <w:rPr>
                <w:sz w:val="1"/>
                <w:szCs w:val="1"/>
                <w:color w:val="auto"/>
              </w:rPr>
            </w:pPr>
          </w:p>
        </w:tc>
      </w:tr>
      <w:tr>
        <w:trPr>
          <w:trHeight w:val="243"/>
        </w:trPr>
        <w:tc>
          <w:tcPr>
            <w:tcW w:w="53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1,635,853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1,609,188</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2,705,298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2,678,633</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Borrowings</w:t>
            </w:r>
          </w:p>
        </w:tc>
        <w:tc>
          <w:tcPr>
            <w:tcW w:w="10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6,612,239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6,612,239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1,088,822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1,063,297</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9,915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Common stock</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Capital surplus</w:t>
            </w: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3,236,450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3,236,450</w:t>
            </w:r>
          </w:p>
        </w:tc>
        <w:tc>
          <w:tcPr>
            <w:tcW w:w="0" w:type="dxa"/>
            <w:vAlign w:val="bottom"/>
          </w:tcPr>
          <w:p>
            <w:pPr>
              <w:spacing w:after="0"/>
              <w:rPr>
                <w:sz w:val="1"/>
                <w:szCs w:val="1"/>
                <w:color w:val="auto"/>
              </w:rPr>
            </w:pPr>
          </w:p>
        </w:tc>
      </w:tr>
      <w:tr>
        <w:trPr>
          <w:trHeight w:val="243"/>
        </w:trPr>
        <w:tc>
          <w:tcPr>
            <w:tcW w:w="53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Retained earnings</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1,107,029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1,038,131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(216,965)</w:t>
            </w:r>
          </w:p>
        </w:tc>
        <w:tc>
          <w:tcPr>
            <w:tcW w:w="0" w:type="dxa"/>
            <w:vAlign w:val="bottom"/>
          </w:tcPr>
          <w:p>
            <w:pPr>
              <w:spacing w:after="0"/>
              <w:rPr>
                <w:sz w:val="1"/>
                <w:szCs w:val="1"/>
                <w:color w:val="auto"/>
              </w:rPr>
            </w:pPr>
          </w:p>
        </w:tc>
      </w:tr>
      <w:tr>
        <w:trPr>
          <w:trHeight w:val="243"/>
        </w:trPr>
        <w:tc>
          <w:tcPr>
            <w:tcW w:w="53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Treasury stock</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(809,296)</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3,320,047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3,251,149</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13,736,321</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(121,088)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13,615,233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320" w:type="dxa"/>
            <w:vAlign w:val="bottom"/>
          </w:tcPr>
          <w:p>
            <w:pPr>
              <w:spacing w:after="0"/>
              <w:rPr>
                <w:sz w:val="24"/>
                <w:szCs w:val="24"/>
                <w:color w:val="auto"/>
              </w:rPr>
            </w:pPr>
          </w:p>
        </w:tc>
        <w:tc>
          <w:tcPr>
            <w:tcW w:w="13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S-31</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5"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compares the reported Consolidated Statements of Income for the fiscal year ended September 27, 2019, to the balances had the previous revenue accounting guidance remained in effect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center"/>
              <w:ind w:left="1112"/>
              <w:spacing w:after="0"/>
              <w:rPr>
                <w:sz w:val="20"/>
                <w:szCs w:val="20"/>
                <w:color w:val="auto"/>
              </w:rPr>
            </w:pPr>
            <w:r>
              <w:rPr>
                <w:rFonts w:ascii="Times New Roman" w:cs="Times New Roman" w:eastAsia="Times New Roman" w:hAnsi="Times New Roman"/>
                <w:sz w:val="14"/>
                <w:szCs w:val="14"/>
                <w:b w:val="1"/>
                <w:bCs w:val="1"/>
                <w:color w:val="auto"/>
              </w:rPr>
              <w:t>Fiscal year ended September 27, 2019</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4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Adoption adjustments of</w:t>
            </w:r>
          </w:p>
        </w:tc>
        <w:tc>
          <w:tcPr>
            <w:tcW w:w="1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Balances without adoption</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220" w:type="dxa"/>
            <w:vAlign w:val="bottom"/>
          </w:tcPr>
          <w:p>
            <w:pPr>
              <w:spacing w:after="0"/>
              <w:rPr>
                <w:sz w:val="16"/>
                <w:szCs w:val="16"/>
                <w:color w:val="auto"/>
              </w:rPr>
            </w:pPr>
          </w:p>
        </w:tc>
        <w:tc>
          <w:tcPr>
            <w:tcW w:w="16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of ASC 606</w:t>
            </w:r>
          </w:p>
        </w:tc>
        <w:tc>
          <w:tcPr>
            <w:tcW w:w="0" w:type="dxa"/>
            <w:vAlign w:val="bottom"/>
          </w:tcPr>
          <w:p>
            <w:pPr>
              <w:spacing w:after="0"/>
              <w:rPr>
                <w:sz w:val="1"/>
                <w:szCs w:val="1"/>
                <w:color w:val="auto"/>
              </w:rPr>
            </w:pPr>
          </w:p>
        </w:tc>
      </w:tr>
      <w:tr>
        <w:trPr>
          <w:trHeight w:val="323"/>
        </w:trPr>
        <w:tc>
          <w:tcPr>
            <w:tcW w:w="574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6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6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16,227,341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(317,497)</w:t>
            </w: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15,909,844</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Costs and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 of services provided</w:t>
            </w:r>
          </w:p>
        </w:tc>
        <w:tc>
          <w:tcPr>
            <w:tcW w:w="4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14,532,662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14,210,251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shd w:val="clear" w:color="auto" w:fill="CCEEFF"/>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592,573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611,154</w:t>
            </w:r>
          </w:p>
        </w:tc>
        <w:tc>
          <w:tcPr>
            <w:tcW w:w="0" w:type="dxa"/>
            <w:vAlign w:val="bottom"/>
          </w:tcPr>
          <w:p>
            <w:pPr>
              <w:spacing w:after="0"/>
              <w:rPr>
                <w:sz w:val="1"/>
                <w:szCs w:val="1"/>
                <w:color w:val="auto"/>
              </w:rPr>
            </w:pPr>
          </w:p>
        </w:tc>
      </w:tr>
      <w:tr>
        <w:trPr>
          <w:trHeight w:val="243"/>
        </w:trPr>
        <w:tc>
          <w:tcPr>
            <w:tcW w:w="5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Selling and general corporate expenses</w:t>
            </w:r>
          </w:p>
        </w:tc>
        <w:tc>
          <w:tcPr>
            <w:tcW w:w="4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367,256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367,256</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sale of Healthcare Technologies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(156,309)</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15,336,182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15,032,352</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891,159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877,492</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4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334,987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334,987</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556,172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542,505</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107,706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104,152</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448,466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438,353</w:t>
            </w:r>
          </w:p>
        </w:tc>
        <w:tc>
          <w:tcPr>
            <w:tcW w:w="0" w:type="dxa"/>
            <w:vAlign w:val="bottom"/>
          </w:tcPr>
          <w:p>
            <w:pPr>
              <w:spacing w:after="0"/>
              <w:rPr>
                <w:sz w:val="1"/>
                <w:szCs w:val="1"/>
                <w:color w:val="auto"/>
              </w:rPr>
            </w:pPr>
          </w:p>
        </w:tc>
      </w:tr>
      <w:tr>
        <w:trPr>
          <w:trHeight w:val="243"/>
        </w:trPr>
        <w:tc>
          <w:tcPr>
            <w:tcW w:w="5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448,549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438,436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7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revenue source (in millions):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5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0" w:type="dxa"/>
            <w:vAlign w:val="bottom"/>
          </w:tcPr>
          <w:p>
            <w:pPr>
              <w:spacing w:after="0"/>
              <w:rPr>
                <w:sz w:val="1"/>
                <w:szCs w:val="1"/>
                <w:color w:val="auto"/>
              </w:rPr>
            </w:pPr>
          </w:p>
        </w:tc>
      </w:tr>
      <w:tr>
        <w:trPr>
          <w:trHeight w:val="249"/>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FSS United States: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&amp; Industry</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1,587.0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Education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3,228.8</w:t>
            </w:r>
          </w:p>
        </w:tc>
        <w:tc>
          <w:tcPr>
            <w:tcW w:w="0" w:type="dxa"/>
            <w:vAlign w:val="bottom"/>
          </w:tcPr>
          <w:p>
            <w:pPr>
              <w:spacing w:after="0"/>
              <w:rPr>
                <w:sz w:val="1"/>
                <w:szCs w:val="1"/>
                <w:color w:val="auto"/>
              </w:rPr>
            </w:pPr>
          </w:p>
        </w:tc>
      </w:tr>
      <w:tr>
        <w:trPr>
          <w:trHeight w:val="243"/>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Healthcare</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933.5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2,557.5</w:t>
            </w:r>
          </w:p>
        </w:tc>
        <w:tc>
          <w:tcPr>
            <w:tcW w:w="0" w:type="dxa"/>
            <w:vAlign w:val="bottom"/>
          </w:tcPr>
          <w:p>
            <w:pPr>
              <w:spacing w:after="0"/>
              <w:rPr>
                <w:sz w:val="1"/>
                <w:szCs w:val="1"/>
                <w:color w:val="auto"/>
              </w:rPr>
            </w:pPr>
          </w:p>
        </w:tc>
      </w:tr>
      <w:tr>
        <w:trPr>
          <w:trHeight w:val="243"/>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Facilities &amp; Other</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1,591.8</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FSS United States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9,898.6</w:t>
            </w:r>
          </w:p>
        </w:tc>
        <w:tc>
          <w:tcPr>
            <w:tcW w:w="0" w:type="dxa"/>
            <w:vAlign w:val="bottom"/>
          </w:tcPr>
          <w:p>
            <w:pPr>
              <w:spacing w:after="0"/>
              <w:rPr>
                <w:sz w:val="1"/>
                <w:szCs w:val="1"/>
                <w:color w:val="auto"/>
              </w:rPr>
            </w:pPr>
          </w:p>
        </w:tc>
      </w:tr>
      <w:tr>
        <w:trPr>
          <w:trHeight w:val="324"/>
        </w:trPr>
        <w:tc>
          <w:tcPr>
            <w:tcW w:w="5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FSS International:</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2,044.4</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1,698.5</w:t>
            </w:r>
          </w:p>
        </w:tc>
        <w:tc>
          <w:tcPr>
            <w:tcW w:w="0" w:type="dxa"/>
            <w:vAlign w:val="bottom"/>
          </w:tcPr>
          <w:p>
            <w:pPr>
              <w:spacing w:after="0"/>
              <w:rPr>
                <w:sz w:val="1"/>
                <w:szCs w:val="1"/>
                <w:color w:val="auto"/>
              </w:rPr>
            </w:pPr>
          </w:p>
        </w:tc>
      </w:tr>
      <w:tr>
        <w:trPr>
          <w:trHeight w:val="237"/>
        </w:trPr>
        <w:tc>
          <w:tcPr>
            <w:tcW w:w="5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FSS International</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3,742.9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Uniform</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2,585.8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16,227.3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S-32</w:t>
      </w:r>
    </w:p>
    <w:p>
      <w:pPr>
        <w:sectPr>
          <w:pgSz w:w="11900" w:h="16838" w:orient="portrait"/>
          <w:cols w:equalWidth="0" w:num="1">
            <w:col w:w="11420"/>
          </w:cols>
          <w:pgMar w:left="240" w:top="175" w:right="239" w:bottom="1440" w:gutter="0" w:footer="0" w:header="0"/>
          <w:type w:val="continuous"/>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4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defers sales commissions earned by its sales force that are considered to be incremental and recoverable costs of obtaining a contract tied to its food, facilities and uniform services. The deferred costs are amortized using the portfolio approach on a straight line basis over the average period of benefit, approximately 8.5 years, and are assessed for impairment on a periodic basis. Determination of the amortization period and the subsequent assessment for impairment of the contract cost asset requires judgment. During the fiscal year ended September 27, 2019, the Company expensed approximately $20.0 million of these costs to “Cost of services provided” in the Consolidated Statements of Income.</w:t>
      </w:r>
    </w:p>
    <w:p>
      <w:pPr>
        <w:spacing w:after="0" w:line="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Leasehold improvements and costs to fulfill contracts includes payments made by the Company to enhance the service resources used by the Company to satisfy its performance obligation. These amounts are amortized over the contract period. If a contract is terminated prior to its maturity date, the Company is typically reimbursed for the unamortized amount. During the fiscal year ended September 27, 2019, the Company expensed approximately $149.0 million of leasehold improvements and approximately $20.5 million of cost to fulfill assets, respectively, to "Depreciation and amortization" in the Consolidated Statements of Income.</w:t>
      </w:r>
    </w:p>
    <w:p>
      <w:pPr>
        <w:spacing w:after="0" w:line="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Long-term prepaid rent is amortized over the contract period. If a contract is terminated prior to its maturity date, the Company is typically reimbursed for the unamortized amount. During the fiscal year ended September 27, 2019, the Company expensed approximately $16.0 million of these costs to "Cost of services provided" in the Consolidated Statements of Income.</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Other costs to fulfill contracts represent personalized work apparel, linens and other rental items in service in the Uniform segment. The amounts are recorded at cost and are amortized over their estimated useful lives, which primarily range from one to four years. The amortization rates used are based on the Company's specific experience. The Company recorded expense of approximately $318.2 million during the fiscal year ended September 27, 2019 related to these costs, which was recorded in "Costs of services provided" in the Consolidated Statements of Income.</w:t>
      </w:r>
    </w:p>
    <w:p>
      <w:pPr>
        <w:spacing w:after="0" w:line="7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Deferred income is recognized in "Accrued expenses and other current liabilities" in the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w:t>
      </w:r>
    </w:p>
    <w:p>
      <w:pPr>
        <w:spacing w:after="0" w:line="9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fiscal year ended September 27, 2019, deferred income increased related to customer prepayments and decreased related to income recognized during the period as a result of satisfying the performance obligation. Below is a summary of the changes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September 28,</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 Net increase in current period</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Less: Recognition of</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September 27,</w:t>
            </w:r>
          </w:p>
        </w:tc>
      </w:tr>
      <w:tr>
        <w:trPr>
          <w:trHeight w:val="195"/>
        </w:trPr>
        <w:tc>
          <w:tcPr>
            <w:tcW w:w="3780" w:type="dxa"/>
            <w:vAlign w:val="bottom"/>
          </w:tcPr>
          <w:p>
            <w:pPr>
              <w:spacing w:after="0"/>
              <w:rPr>
                <w:sz w:val="16"/>
                <w:szCs w:val="16"/>
                <w:color w:val="auto"/>
              </w:rPr>
            </w:pPr>
          </w:p>
        </w:tc>
        <w:tc>
          <w:tcPr>
            <w:tcW w:w="162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deferred income</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deferred income</w:t>
            </w: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37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Deferred income</w:t>
            </w:r>
          </w:p>
        </w:tc>
        <w:tc>
          <w:tcPr>
            <w:tcW w:w="16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1,364.3</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319.0</w:t>
            </w:r>
          </w:p>
        </w:tc>
      </w:tr>
      <w:tr>
        <w:trPr>
          <w:trHeight w:val="41"/>
        </w:trPr>
        <w:tc>
          <w:tcPr>
            <w:tcW w:w="378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EMPLOYEE PENSION AND PROFIT SHARING PLANS:</w:t>
      </w:r>
    </w:p>
    <w:p>
      <w:pPr>
        <w:spacing w:after="0" w:line="14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United States, the Company maintains qualified contributory and non-contributory defined contribution retirement plans for eligible employees, with Company contributions to the plans based on earnings performance or salary level. The Company also has a non-qualified retirement savings plan for certain employees. The total expense of the above plans for fiscal 2019, fiscal 2018 and fiscal 2017 was $41.5 million, $22.5 million and $27.5 million, respectively. The increase in the expense in fiscal 2019 compared to fiscal 2018 is due to the additional employer matching contributions as a result of the cash tax savings from U.S. tax reform. The Company also maintains similar contributory and non-contributory defined contribution retirement plans at several of its international operations, primarily in Canada and the United Kingdom. The total expense of these international plans for fiscal 2019, fiscal 2018 and fiscal 2017 was $11.7 million, $8.6 million and $6.9 million, respectively.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420"/>
          </w:cols>
          <w:pgMar w:left="240" w:top="175"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periodic pension cost for the Company's single-employer defined benefit pension plans for fiscal 2019, fiscal 2018 and fiscal 2017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40" w:type="dxa"/>
            <w:vAlign w:val="bottom"/>
          </w:tcPr>
          <w:p>
            <w:pPr>
              <w:spacing w:after="0"/>
              <w:rPr>
                <w:sz w:val="22"/>
                <w:szCs w:val="22"/>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40" w:type="dxa"/>
            <w:vAlign w:val="bottom"/>
          </w:tcPr>
          <w:p>
            <w:pPr>
              <w:spacing w:after="0"/>
              <w:rPr>
                <w:sz w:val="22"/>
                <w:szCs w:val="22"/>
                <w:color w:val="auto"/>
              </w:rPr>
            </w:pPr>
          </w:p>
        </w:tc>
        <w:tc>
          <w:tcPr>
            <w:tcW w:w="17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49"/>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8,834</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8,398</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26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Recognized net loss</w:t>
            </w:r>
          </w:p>
        </w:tc>
        <w:tc>
          <w:tcPr>
            <w:tcW w:w="26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3,400</w:t>
            </w:r>
          </w:p>
        </w:tc>
      </w:tr>
      <w:tr>
        <w:trPr>
          <w:trHeight w:val="27"/>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pension cost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2,404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changes in the projected benefit obligation and the fair value of plan assets for these plans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80" w:type="dxa"/>
            <w:vAlign w:val="bottom"/>
          </w:tcPr>
          <w:p>
            <w:pPr>
              <w:spacing w:after="0"/>
              <w:rPr>
                <w:sz w:val="22"/>
                <w:szCs w:val="22"/>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0" w:type="dxa"/>
            <w:vAlign w:val="bottom"/>
          </w:tcPr>
          <w:p>
            <w:pPr>
              <w:spacing w:after="0"/>
              <w:rPr>
                <w:sz w:val="1"/>
                <w:szCs w:val="1"/>
                <w:color w:val="auto"/>
              </w:rPr>
            </w:pP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 beginning</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366,426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333,672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AmeriPride acquisition</w:t>
            </w: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79,605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7,121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10,579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contributions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Actuarial loss (gain)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Settlements and curtailments</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control payment</w:t>
            </w: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 ending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401,207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366,426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 beginning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409,826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341,538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AmeriPride acquisition</w:t>
            </w: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73,273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Employer contributions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contributions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Settlements</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control payment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plan assets, end</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425,967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409,826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24,760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43,400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500" w:right="20" w:hanging="465"/>
        <w:spacing w:after="0" w:line="183" w:lineRule="auto"/>
        <w:tabs>
          <w:tab w:leader="none" w:pos="50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2"/>
          <w:szCs w:val="12"/>
          <w:color w:val="auto"/>
        </w:rPr>
        <w:t>Fiscal 2019 includes the impact of closing two of the AmeriPride plans. Fiscal 2018 includes the impact of the Canadian pension plan freeze and the UK pension plan settlement resulting from the transfer of members out of the plan.</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 the following (in thousands):</w:t>
      </w:r>
    </w:p>
    <w:p>
      <w:pPr>
        <w:spacing w:after="0" w:line="36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320" w:type="dxa"/>
            <w:vAlign w:val="bottom"/>
          </w:tcPr>
          <w:p>
            <w:pPr>
              <w:spacing w:after="0"/>
              <w:rPr>
                <w:sz w:val="16"/>
                <w:szCs w:val="16"/>
                <w:color w:val="auto"/>
              </w:rPr>
            </w:pPr>
          </w:p>
        </w:tc>
        <w:tc>
          <w:tcPr>
            <w:tcW w:w="19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49"/>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benefit asset (included in Other Assets)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59,481</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benefit liability (included in Other Noncurrent Liabilities)</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(16,081)</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 (included in Accumulated other comprehensive loss before taxes)</w:t>
            </w:r>
          </w:p>
        </w:tc>
        <w:tc>
          <w:tcPr>
            <w:tcW w:w="32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77,204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48,067</w:t>
            </w:r>
          </w:p>
        </w:tc>
      </w:tr>
      <w:tr>
        <w:trPr>
          <w:trHeight w:val="27"/>
        </w:trPr>
        <w:tc>
          <w:tcPr>
            <w:tcW w:w="6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777"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S-34</w:t>
      </w:r>
    </w:p>
    <w:p>
      <w:pPr>
        <w:sectPr>
          <w:pgSz w:w="11900" w:h="16838" w:orient="portrait"/>
          <w:cols w:equalWidth="0" w:num="1">
            <w:col w:w="11420"/>
          </w:cols>
          <w:pgMar w:left="240" w:top="175" w:right="239" w:bottom="777" w:gutter="0" w:footer="0" w:header="0"/>
          <w:type w:val="continuous"/>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determine pension expense of the respective fiscal years: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49"/>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8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6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rate of return on assets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51"/>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determine the funded status of the respective fiscal years: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35"/>
        </w:trPr>
        <w:tc>
          <w:tcPr>
            <w:tcW w:w="686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49"/>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8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36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Assumptions, including discount rate, expected return on assets, compensation increases and health care trends, are adjusted annually, as necessary, based on prevailing market conditions and actual experience. The Company applies a spot-rate approach for the discount rate used in the calculation of pension interest and service cost. The spot-rate approach applies separate discount rates for each projected benefit payment in the calculation.</w:t>
      </w:r>
    </w:p>
    <w:p>
      <w:pPr>
        <w:spacing w:after="0" w:line="9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accumulated benefit obligation as of September 27, 2019 was $398.8 million. During fiscal 2019, settlement gains and actuarial losses of approximately $0.1 million and $32.9 million, respectively, were recognized in other comprehensive loss (before taxes) and $1.2 million of actuarial losses were recognized as net periodic pension cost during such period. The estimated portion of net actuarial loss included in accumulated other comprehensive loss as of September 27, 2019 expected to be recognized in net periodic pension cost during fiscal 2020 is approximately $1.8 million (before taxes).</w:t>
      </w:r>
    </w:p>
    <w:p>
      <w:pPr>
        <w:spacing w:after="0" w:line="9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accumulated benefit obligation as of September 28, 2018 was $364.0 million. During fiscal 2018, settlement gains and actuarial losses of approximately $3.9 million and $22.2 million, respectively, were recognized in other comprehensive income (before taxes) and $1.6 million of amortization of actuarial losses was recognized as net periodic pension cost during such period.</w:t>
      </w:r>
    </w:p>
    <w:p>
      <w:pPr>
        <w:spacing w:after="0" w:line="9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the Company's single-employer pension plans with an accumulated benefit obligation in excess of plan assets as of September 27, 2019 and September 28, 2018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60" w:type="dxa"/>
            <w:vAlign w:val="bottom"/>
          </w:tcPr>
          <w:p>
            <w:pPr>
              <w:spacing w:after="0"/>
              <w:rPr>
                <w:sz w:val="16"/>
                <w:szCs w:val="16"/>
                <w:color w:val="auto"/>
              </w:rPr>
            </w:pPr>
          </w:p>
        </w:tc>
        <w:tc>
          <w:tcPr>
            <w:tcW w:w="17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49"/>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10,699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16,081</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60" w:type="dxa"/>
            <w:vAlign w:val="bottom"/>
          </w:tcPr>
          <w:p>
            <w:pPr>
              <w:spacing w:after="0"/>
              <w:rPr>
                <w:sz w:val="21"/>
                <w:szCs w:val="21"/>
                <w:color w:val="auto"/>
              </w:rPr>
            </w:pPr>
          </w:p>
        </w:tc>
        <w:tc>
          <w:tcPr>
            <w:tcW w:w="17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10,506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15,935</w:t>
            </w:r>
          </w:p>
        </w:tc>
      </w:tr>
    </w:tbl>
    <w:p>
      <w:pPr>
        <w:spacing w:after="0" w:line="3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Assets of the plans are invested with the goal of principal preservation and enhancement over the long-term. The primary goal is total return, consistent with prudent investment management. The Company's investment policies also require an appropriate level of diversification across the asset categories. The current overall capital structure and targeted ranges for asset classes are 0-20% invested in equity securities, 70-100% invested in debt securities and 0-10% in real estate investments and cash and cash equivalents. Performance of the plans is monitored on a regular basis and adjustments of the asset allocations are made when deemed necessary.</w:t>
      </w:r>
    </w:p>
    <w:p>
      <w:pPr>
        <w:spacing w:after="0" w:line="10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weighted-average long-term rate of return on assets has been determined based on an estimated weighted-average of long-term returns of major asset classes, taking into account historical performance of plan assets, the current interest rate environment, plan demographics, acceptable risk levels and the estimated value of active asset management.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420"/>
          </w:cols>
          <w:pgMar w:left="240" w:top="175"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fair value of plan assets for the Company's defined benefit pension plans as of September 27, 2019 and September 28, 2018 is as follows (see Note 16 for a description of the fair value levels)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80" w:type="dxa"/>
            <w:vAlign w:val="bottom"/>
          </w:tcPr>
          <w:p>
            <w:pPr>
              <w:spacing w:after="0"/>
              <w:rPr>
                <w:sz w:val="13"/>
                <w:szCs w:val="13"/>
                <w:color w:val="auto"/>
              </w:rPr>
            </w:pPr>
          </w:p>
        </w:tc>
        <w:tc>
          <w:tcPr>
            <w:tcW w:w="15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80" w:type="dxa"/>
            <w:vAlign w:val="bottom"/>
          </w:tcPr>
          <w:p>
            <w:pPr>
              <w:spacing w:after="0"/>
              <w:rPr>
                <w:sz w:val="12"/>
                <w:szCs w:val="12"/>
                <w:color w:val="auto"/>
              </w:rPr>
            </w:pPr>
          </w:p>
        </w:tc>
        <w:tc>
          <w:tcPr>
            <w:tcW w:w="152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other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trusts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funds:</w:t>
            </w: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funds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72,074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72,074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Fixed income funds</w:t>
            </w:r>
          </w:p>
        </w:tc>
        <w:tc>
          <w:tcPr>
            <w:tcW w:w="20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319,395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319,395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10,425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10,425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425,967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24,073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391,469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10,425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2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80" w:type="dxa"/>
            <w:vAlign w:val="bottom"/>
          </w:tcPr>
          <w:p>
            <w:pPr>
              <w:spacing w:after="0"/>
              <w:rPr>
                <w:sz w:val="24"/>
                <w:szCs w:val="24"/>
                <w:color w:val="auto"/>
              </w:rPr>
            </w:pPr>
          </w:p>
        </w:tc>
        <w:tc>
          <w:tcPr>
            <w:tcW w:w="15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80" w:type="dxa"/>
            <w:vAlign w:val="bottom"/>
          </w:tcPr>
          <w:p>
            <w:pPr>
              <w:spacing w:after="0"/>
              <w:rPr>
                <w:sz w:val="12"/>
                <w:szCs w:val="12"/>
                <w:color w:val="auto"/>
              </w:rPr>
            </w:pPr>
          </w:p>
        </w:tc>
        <w:tc>
          <w:tcPr>
            <w:tcW w:w="152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other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20,568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trusts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11,689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11,689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funds:</w:t>
            </w: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funds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220,853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220,853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Fixed income funds</w:t>
            </w:r>
          </w:p>
        </w:tc>
        <w:tc>
          <w:tcPr>
            <w:tcW w:w="20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146,271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146,271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10,445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409,826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32,257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367,124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10,445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fair value of the investment funds is based on the value of the underlying assets, as reported to the Plan by the trustees. They are comprised of a portfolio of underlying securities that can be valued based on trading information on active markets. Fair value is calculated by applying the Plan's percentage ownership in the fund to the total market value of the account's underlying securities, and is therefore categorized as Level 2 as the Plan does not directly own shares in these underlying investments. Investments in equity securities include publicly-traded domestic companies (approximately 35%) and international companies (approximately 65%) that are diversified across industry, country and stock market capitalization. Investments in fixed income securities consist of international corporate bonds and government securities. Substantially all of the real estate investments are in international markets. Cash and cash equivalents include direct cash holdings, which are valued based on cost, and short-term deposits and investments in money market funds for which fair value measurements are all based on quoted prices for similar assets or liabilities in markets that are active.</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fiscal 2018, the Company amended certain Canadian pension plans to freeze benefit accruals. The plan is closed to new participants and current participants no longer earn additional benefits. During fiscal 2019 in conjunction with the planned wind down of the Canadian plan, the Company reallocated the plan assets to be entirely invested in debt securities.</w:t>
      </w:r>
    </w:p>
    <w:p>
      <w:pPr>
        <w:spacing w:after="0" w:line="9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It is the Company's policy to fund at least the minimum required contributions as outlined in the required statutory actuarial valuation for each plan. The following table sets forth the benefits expected to be paid in the next five fiscal years and in aggregate for the five fiscal years thereafter by the Company's defined benefit pension plans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Fiscal 2020</w:t>
            </w:r>
          </w:p>
        </w:tc>
        <w:tc>
          <w:tcPr>
            <w:tcW w:w="47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13,601</w:t>
            </w: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2021</w:t>
            </w:r>
          </w:p>
        </w:tc>
        <w:tc>
          <w:tcPr>
            <w:tcW w:w="47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14,063</w:t>
            </w:r>
          </w:p>
        </w:tc>
      </w:tr>
      <w:tr>
        <w:trPr>
          <w:trHeight w:val="27"/>
        </w:trPr>
        <w:tc>
          <w:tcPr>
            <w:tcW w:w="58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Fiscal 2022</w:t>
            </w:r>
          </w:p>
        </w:tc>
        <w:tc>
          <w:tcPr>
            <w:tcW w:w="4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14,448</w:t>
            </w: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2023</w:t>
            </w:r>
          </w:p>
        </w:tc>
        <w:tc>
          <w:tcPr>
            <w:tcW w:w="47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14,819</w:t>
            </w:r>
          </w:p>
        </w:tc>
      </w:tr>
      <w:tr>
        <w:trPr>
          <w:trHeight w:val="27"/>
        </w:trPr>
        <w:tc>
          <w:tcPr>
            <w:tcW w:w="58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Fiscal 2024</w:t>
            </w:r>
          </w:p>
        </w:tc>
        <w:tc>
          <w:tcPr>
            <w:tcW w:w="4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15,121</w:t>
            </w: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2025 – 2029</w:t>
            </w:r>
          </w:p>
        </w:tc>
        <w:tc>
          <w:tcPr>
            <w:tcW w:w="47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81,559</w:t>
            </w: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benefit payments above are based on assumptions about future events. Actual benefit payments may vary significantly from these estimates.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420"/>
          </w:cols>
          <w:pgMar w:left="240" w:top="175"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360"/>
        <w:spacing w:after="0" w:line="407" w:lineRule="auto"/>
        <w:rPr>
          <w:sz w:val="20"/>
          <w:szCs w:val="20"/>
          <w:color w:val="auto"/>
        </w:rPr>
      </w:pPr>
      <w:r>
        <w:rPr>
          <w:rFonts w:ascii="Times New Roman" w:cs="Times New Roman" w:eastAsia="Times New Roman" w:hAnsi="Times New Roman"/>
          <w:sz w:val="18"/>
          <w:szCs w:val="18"/>
          <w:color w:val="auto"/>
        </w:rPr>
        <w:t xml:space="preserve">The expected contributions to be paid to the Company's defined benefit pension plans during fiscal 2020 are approximately $4.1 million. </w:t>
      </w:r>
      <w:r>
        <w:rPr>
          <w:rFonts w:ascii="Times New Roman" w:cs="Times New Roman" w:eastAsia="Times New Roman" w:hAnsi="Times New Roman"/>
          <w:sz w:val="18"/>
          <w:szCs w:val="18"/>
          <w:b w:val="1"/>
          <w:bCs w:val="1"/>
          <w:color w:val="auto"/>
        </w:rPr>
        <w:t>Multiemployer Defined Benefit Pension Plans</w:t>
      </w: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 contributes to a number of multiemployer defined benefit pension plans under the terms of collective-bargaining agreements ("CBA") that cover its union-represented employees. The risks of participating in these multiemployer plans are different from single-employer plans in the following respects:</w:t>
      </w:r>
    </w:p>
    <w:p>
      <w:pPr>
        <w:spacing w:after="0" w:line="95"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Assets contributed to the multiemployer plan by one employer may be used to provide benefits to employees of other participating employers.</w:t>
      </w:r>
    </w:p>
    <w:p>
      <w:pPr>
        <w:spacing w:after="0" w:line="155" w:lineRule="exact"/>
        <w:rPr>
          <w:rFonts w:ascii="Times New Roman" w:cs="Times New Roman" w:eastAsia="Times New Roman" w:hAnsi="Times New Roman"/>
          <w:sz w:val="17"/>
          <w:szCs w:val="17"/>
          <w:color w:val="auto"/>
        </w:rPr>
      </w:pPr>
    </w:p>
    <w:p>
      <w:pPr>
        <w:ind w:left="980" w:right="24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80"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some of its multiemployer plans, the Company may be required to pay those plans an amount based on the underfunded status of the plan, referred to as a withdrawal liability.</w:t>
      </w: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220"/>
          </w:cols>
          <w:pgMar w:left="240" w:top="175" w:right="4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participation in these plans for fiscal 2019 is outlined in the table below. The "EIN/Pension Plan Number" column provides the Employee Identification Number (EIN) and the three-digit plan number, if applicable. Unless otherwise noted, the most recent Pension Protection Act (PPA) zone status available in 2019 and 2018 is for the plans' two most recent fiscal year-ends. The zone status is based on information that the Company received from the plan and is certified by the plan's actuary. Among other factors, plans in the critical and declining zone are generally less than 65% funded and projected to become insolvent in the next 15 or 20 years depending on the ratio of active to inactive participants, plans in the critical zone are generally less than 65% funded, plans in the endangered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CBA(s) to which the plans are subject. There have been no significant changes that affect the comparability of fiscal 2019, fiscal 2018 and fiscal 2017 contributions.</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Protection</w:t>
            </w: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5"/>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Contributions by the Company</w:t>
            </w: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8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EIN/Pension</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Act Zone Status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FIP/RP Status</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Surcharge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0" w:type="dxa"/>
            <w:vAlign w:val="bottom"/>
          </w:tcPr>
          <w:p>
            <w:pPr>
              <w:spacing w:after="0"/>
              <w:rPr>
                <w:sz w:val="1"/>
                <w:szCs w:val="1"/>
                <w:color w:val="auto"/>
              </w:rPr>
            </w:pPr>
          </w:p>
        </w:tc>
      </w:tr>
      <w:tr>
        <w:trPr>
          <w:trHeight w:val="149"/>
        </w:trPr>
        <w:tc>
          <w:tcPr>
            <w:tcW w:w="21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Pending/</w:t>
            </w:r>
          </w:p>
        </w:tc>
        <w:tc>
          <w:tcPr>
            <w:tcW w:w="22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2"/>
                <w:szCs w:val="12"/>
                <w:color w:val="auto"/>
              </w:rPr>
            </w:pPr>
          </w:p>
        </w:tc>
        <w:tc>
          <w:tcPr>
            <w:tcW w:w="74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94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5"/>
        </w:trPr>
        <w:tc>
          <w:tcPr>
            <w:tcW w:w="2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Fund</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9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Implemented</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Dates of CBAs</w:t>
            </w:r>
          </w:p>
        </w:tc>
        <w:tc>
          <w:tcPr>
            <w:tcW w:w="0" w:type="dxa"/>
            <w:vAlign w:val="bottom"/>
          </w:tcPr>
          <w:p>
            <w:pPr>
              <w:spacing w:after="0"/>
              <w:rPr>
                <w:sz w:val="1"/>
                <w:szCs w:val="1"/>
                <w:color w:val="auto"/>
              </w:rPr>
            </w:pPr>
          </w:p>
        </w:tc>
      </w:tr>
      <w:tr>
        <w:trPr>
          <w:trHeight w:val="151"/>
        </w:trPr>
        <w:tc>
          <w:tcPr>
            <w:tcW w:w="218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National Retirement Fund</w:t>
            </w:r>
          </w:p>
        </w:tc>
        <w:tc>
          <w:tcPr>
            <w:tcW w:w="106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13-6130178/</w:t>
            </w:r>
          </w:p>
        </w:tc>
        <w:tc>
          <w:tcPr>
            <w:tcW w:w="98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w w:val="99"/>
              </w:rPr>
              <w:t>Critical</w:t>
            </w:r>
          </w:p>
        </w:tc>
        <w:tc>
          <w:tcPr>
            <w:tcW w:w="104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Critical</w:t>
            </w:r>
          </w:p>
        </w:tc>
        <w:tc>
          <w:tcPr>
            <w:tcW w:w="124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jc w:val="right"/>
              <w:ind w:right="48"/>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4,130</w:t>
            </w:r>
          </w:p>
        </w:tc>
        <w:tc>
          <w:tcPr>
            <w:tcW w:w="280" w:type="dxa"/>
            <w:vAlign w:val="bottom"/>
            <w:shd w:val="clear" w:color="auto" w:fill="CCEEFF"/>
          </w:tcPr>
          <w:p>
            <w:pPr>
              <w:jc w:val="right"/>
              <w:ind w:right="68"/>
              <w:spacing w:after="0" w:line="15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line="151" w:lineRule="exact"/>
              <w:rPr>
                <w:sz w:val="20"/>
                <w:szCs w:val="20"/>
                <w:color w:val="auto"/>
              </w:rPr>
            </w:pPr>
            <w:r>
              <w:rPr>
                <w:rFonts w:ascii="Times New Roman" w:cs="Times New Roman" w:eastAsia="Times New Roman" w:hAnsi="Times New Roman"/>
                <w:sz w:val="14"/>
                <w:szCs w:val="14"/>
                <w:color w:val="auto"/>
              </w:rPr>
              <w:t>4,147</w:t>
            </w:r>
          </w:p>
        </w:tc>
        <w:tc>
          <w:tcPr>
            <w:tcW w:w="220" w:type="dxa"/>
            <w:vAlign w:val="bottom"/>
            <w:shd w:val="clear" w:color="auto" w:fill="CCEEFF"/>
          </w:tcPr>
          <w:p>
            <w:pPr>
              <w:jc w:val="right"/>
              <w:ind w:right="28"/>
              <w:spacing w:after="0" w:line="15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line="151" w:lineRule="exact"/>
              <w:rPr>
                <w:sz w:val="20"/>
                <w:szCs w:val="20"/>
                <w:color w:val="auto"/>
              </w:rPr>
            </w:pPr>
            <w:r>
              <w:rPr>
                <w:rFonts w:ascii="Times New Roman" w:cs="Times New Roman" w:eastAsia="Times New Roman" w:hAnsi="Times New Roman"/>
                <w:sz w:val="14"/>
                <w:szCs w:val="14"/>
                <w:color w:val="auto"/>
              </w:rPr>
              <w:t>7,541</w:t>
            </w:r>
          </w:p>
        </w:tc>
        <w:tc>
          <w:tcPr>
            <w:tcW w:w="94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w w:val="93"/>
              </w:rPr>
              <w:t>No</w:t>
            </w:r>
          </w:p>
        </w:tc>
        <w:tc>
          <w:tcPr>
            <w:tcW w:w="1080" w:type="dxa"/>
            <w:vAlign w:val="bottom"/>
            <w:shd w:val="clear" w:color="auto" w:fill="CCEEFF"/>
          </w:tcPr>
          <w:p>
            <w:pPr>
              <w:jc w:val="center"/>
              <w:ind w:left="8"/>
              <w:spacing w:after="0" w:line="151" w:lineRule="exact"/>
              <w:rPr>
                <w:sz w:val="20"/>
                <w:szCs w:val="20"/>
                <w:color w:val="auto"/>
              </w:rPr>
            </w:pPr>
            <w:r>
              <w:rPr>
                <w:rFonts w:ascii="Times New Roman" w:cs="Times New Roman" w:eastAsia="Times New Roman" w:hAnsi="Times New Roman"/>
                <w:sz w:val="14"/>
                <w:szCs w:val="14"/>
                <w:color w:val="auto"/>
              </w:rPr>
              <w:t>3/1/2019 -</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001</w:t>
            </w: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4/1/2022</w:t>
            </w:r>
          </w:p>
        </w:tc>
        <w:tc>
          <w:tcPr>
            <w:tcW w:w="0" w:type="dxa"/>
            <w:vAlign w:val="bottom"/>
          </w:tcPr>
          <w:p>
            <w:pPr>
              <w:spacing w:after="0"/>
              <w:rPr>
                <w:sz w:val="1"/>
                <w:szCs w:val="1"/>
                <w:color w:val="auto"/>
              </w:rPr>
            </w:pPr>
          </w:p>
        </w:tc>
      </w:tr>
      <w:tr>
        <w:trPr>
          <w:trHeight w:val="153"/>
        </w:trPr>
        <w:tc>
          <w:tcPr>
            <w:tcW w:w="21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UNITE HERE Retirement Fund</w:t>
            </w:r>
            <w:r>
              <w:rPr>
                <w:rFonts w:ascii="Times New Roman" w:cs="Times New Roman" w:eastAsia="Times New Roman" w:hAnsi="Times New Roman"/>
                <w:sz w:val="8"/>
                <w:szCs w:val="8"/>
                <w:color w:val="auto"/>
              </w:rPr>
              <w:t>(1)</w:t>
            </w:r>
          </w:p>
        </w:tc>
        <w:tc>
          <w:tcPr>
            <w:tcW w:w="10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82-0994119/</w:t>
            </w:r>
          </w:p>
        </w:tc>
        <w:tc>
          <w:tcPr>
            <w:tcW w:w="9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Critical</w:t>
            </w:r>
          </w:p>
        </w:tc>
        <w:tc>
          <w:tcPr>
            <w:tcW w:w="10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Critical</w:t>
            </w:r>
          </w:p>
        </w:tc>
        <w:tc>
          <w:tcPr>
            <w:tcW w:w="12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4,531</w:t>
            </w:r>
          </w:p>
        </w:tc>
        <w:tc>
          <w:tcPr>
            <w:tcW w:w="280" w:type="dxa"/>
            <w:vAlign w:val="bottom"/>
          </w:tcPr>
          <w:p>
            <w:pPr>
              <w:spacing w:after="0"/>
              <w:rPr>
                <w:sz w:val="13"/>
                <w:szCs w:val="13"/>
                <w:color w:val="auto"/>
              </w:rPr>
            </w:pPr>
          </w:p>
        </w:tc>
        <w:tc>
          <w:tcPr>
            <w:tcW w:w="740" w:type="dxa"/>
            <w:vAlign w:val="bottom"/>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3,686</w:t>
            </w:r>
          </w:p>
        </w:tc>
        <w:tc>
          <w:tcPr>
            <w:tcW w:w="220" w:type="dxa"/>
            <w:vAlign w:val="bottom"/>
          </w:tcPr>
          <w:p>
            <w:pPr>
              <w:spacing w:after="0"/>
              <w:rPr>
                <w:sz w:val="13"/>
                <w:szCs w:val="13"/>
                <w:color w:val="auto"/>
              </w:rPr>
            </w:pPr>
          </w:p>
        </w:tc>
        <w:tc>
          <w:tcPr>
            <w:tcW w:w="70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N/A</w:t>
            </w:r>
          </w:p>
        </w:tc>
        <w:tc>
          <w:tcPr>
            <w:tcW w:w="9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3"/>
              </w:rPr>
              <w:t>No</w:t>
            </w:r>
          </w:p>
        </w:tc>
        <w:tc>
          <w:tcPr>
            <w:tcW w:w="10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6/30/2019 -</w:t>
            </w:r>
          </w:p>
        </w:tc>
        <w:tc>
          <w:tcPr>
            <w:tcW w:w="0" w:type="dxa"/>
            <w:vAlign w:val="bottom"/>
          </w:tcPr>
          <w:p>
            <w:pPr>
              <w:spacing w:after="0"/>
              <w:rPr>
                <w:sz w:val="1"/>
                <w:szCs w:val="1"/>
                <w:color w:val="auto"/>
              </w:rPr>
            </w:pPr>
          </w:p>
        </w:tc>
      </w:tr>
      <w:tr>
        <w:trPr>
          <w:trHeight w:val="193"/>
        </w:trPr>
        <w:tc>
          <w:tcPr>
            <w:tcW w:w="21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6/30/2023</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Local 1102 Retirement Trust</w:t>
            </w:r>
          </w:p>
        </w:tc>
        <w:tc>
          <w:tcPr>
            <w:tcW w:w="106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13-1847329/</w:t>
            </w:r>
          </w:p>
        </w:tc>
        <w:tc>
          <w:tcPr>
            <w:tcW w:w="98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Endangered</w:t>
            </w:r>
          </w:p>
        </w:tc>
        <w:tc>
          <w:tcPr>
            <w:tcW w:w="104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Endangered</w:t>
            </w:r>
          </w:p>
        </w:tc>
        <w:tc>
          <w:tcPr>
            <w:tcW w:w="124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110</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1,206</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397</w:t>
            </w:r>
          </w:p>
        </w:tc>
        <w:tc>
          <w:tcPr>
            <w:tcW w:w="94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w w:val="93"/>
              </w:rPr>
              <w:t>No</w:t>
            </w:r>
          </w:p>
        </w:tc>
        <w:tc>
          <w:tcPr>
            <w:tcW w:w="108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10/31/2020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001</w:t>
            </w: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1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Central States SE and SW Areas</w:t>
            </w:r>
          </w:p>
        </w:tc>
        <w:tc>
          <w:tcPr>
            <w:tcW w:w="10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36-6044243/</w:t>
            </w:r>
          </w:p>
        </w:tc>
        <w:tc>
          <w:tcPr>
            <w:tcW w:w="9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Critical and</w:t>
            </w:r>
          </w:p>
        </w:tc>
        <w:tc>
          <w:tcPr>
            <w:tcW w:w="10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Critical and</w:t>
            </w:r>
          </w:p>
        </w:tc>
        <w:tc>
          <w:tcPr>
            <w:tcW w:w="12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4,282</w:t>
            </w:r>
          </w:p>
        </w:tc>
        <w:tc>
          <w:tcPr>
            <w:tcW w:w="280" w:type="dxa"/>
            <w:vAlign w:val="bottom"/>
          </w:tcPr>
          <w:p>
            <w:pPr>
              <w:spacing w:after="0"/>
              <w:rPr>
                <w:sz w:val="13"/>
                <w:szCs w:val="13"/>
                <w:color w:val="auto"/>
              </w:rPr>
            </w:pPr>
          </w:p>
        </w:tc>
        <w:tc>
          <w:tcPr>
            <w:tcW w:w="740" w:type="dxa"/>
            <w:vAlign w:val="bottom"/>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4,128</w:t>
            </w:r>
          </w:p>
        </w:tc>
        <w:tc>
          <w:tcPr>
            <w:tcW w:w="220" w:type="dxa"/>
            <w:vAlign w:val="bottom"/>
          </w:tcPr>
          <w:p>
            <w:pPr>
              <w:spacing w:after="0"/>
              <w:rPr>
                <w:sz w:val="13"/>
                <w:szCs w:val="13"/>
                <w:color w:val="auto"/>
              </w:rPr>
            </w:pPr>
          </w:p>
        </w:tc>
        <w:tc>
          <w:tcPr>
            <w:tcW w:w="70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3,836</w:t>
            </w:r>
          </w:p>
        </w:tc>
        <w:tc>
          <w:tcPr>
            <w:tcW w:w="9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3"/>
              </w:rPr>
              <w:t>No</w:t>
            </w:r>
          </w:p>
        </w:tc>
        <w:tc>
          <w:tcPr>
            <w:tcW w:w="10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1/31/2007 -</w:t>
            </w:r>
          </w:p>
        </w:tc>
        <w:tc>
          <w:tcPr>
            <w:tcW w:w="0" w:type="dxa"/>
            <w:vAlign w:val="bottom"/>
          </w:tcPr>
          <w:p>
            <w:pPr>
              <w:spacing w:after="0"/>
              <w:rPr>
                <w:sz w:val="1"/>
                <w:szCs w:val="1"/>
                <w:color w:val="auto"/>
              </w:rPr>
            </w:pPr>
          </w:p>
        </w:tc>
      </w:tr>
      <w:tr>
        <w:trPr>
          <w:trHeight w:val="193"/>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Pension Plan</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3/31/2023</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Pension Plan for Hospital &amp; Health</w:t>
            </w:r>
          </w:p>
        </w:tc>
        <w:tc>
          <w:tcPr>
            <w:tcW w:w="106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23-2627428/</w:t>
            </w:r>
          </w:p>
        </w:tc>
        <w:tc>
          <w:tcPr>
            <w:tcW w:w="98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Critical</w:t>
            </w:r>
          </w:p>
        </w:tc>
        <w:tc>
          <w:tcPr>
            <w:tcW w:w="104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Critical</w:t>
            </w:r>
          </w:p>
        </w:tc>
        <w:tc>
          <w:tcPr>
            <w:tcW w:w="124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361</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319</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336</w:t>
            </w:r>
          </w:p>
        </w:tc>
        <w:tc>
          <w:tcPr>
            <w:tcW w:w="94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w w:val="93"/>
              </w:rPr>
              <w:t>No</w:t>
            </w:r>
          </w:p>
        </w:tc>
        <w:tc>
          <w:tcPr>
            <w:tcW w:w="108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1/31/2023</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Care Employees Philadelphia &amp;</w:t>
            </w:r>
          </w:p>
        </w:tc>
        <w:tc>
          <w:tcPr>
            <w:tcW w:w="10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9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Vicinity</w:t>
            </w: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1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Local 731 Private Scavengers and</w:t>
            </w:r>
          </w:p>
        </w:tc>
        <w:tc>
          <w:tcPr>
            <w:tcW w:w="10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36-6513567/</w:t>
            </w:r>
          </w:p>
        </w:tc>
        <w:tc>
          <w:tcPr>
            <w:tcW w:w="9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Green</w:t>
            </w:r>
          </w:p>
        </w:tc>
        <w:tc>
          <w:tcPr>
            <w:tcW w:w="10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Green</w:t>
            </w:r>
          </w:p>
        </w:tc>
        <w:tc>
          <w:tcPr>
            <w:tcW w:w="12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N/A</w:t>
            </w:r>
          </w:p>
        </w:tc>
        <w:tc>
          <w:tcPr>
            <w:tcW w:w="22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973</w:t>
            </w:r>
          </w:p>
        </w:tc>
        <w:tc>
          <w:tcPr>
            <w:tcW w:w="280" w:type="dxa"/>
            <w:vAlign w:val="bottom"/>
          </w:tcPr>
          <w:p>
            <w:pPr>
              <w:spacing w:after="0"/>
              <w:rPr>
                <w:sz w:val="13"/>
                <w:szCs w:val="13"/>
                <w:color w:val="auto"/>
              </w:rPr>
            </w:pPr>
          </w:p>
        </w:tc>
        <w:tc>
          <w:tcPr>
            <w:tcW w:w="740" w:type="dxa"/>
            <w:vAlign w:val="bottom"/>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907</w:t>
            </w:r>
          </w:p>
        </w:tc>
        <w:tc>
          <w:tcPr>
            <w:tcW w:w="220" w:type="dxa"/>
            <w:vAlign w:val="bottom"/>
          </w:tcPr>
          <w:p>
            <w:pPr>
              <w:spacing w:after="0"/>
              <w:rPr>
                <w:sz w:val="13"/>
                <w:szCs w:val="13"/>
                <w:color w:val="auto"/>
              </w:rPr>
            </w:pPr>
          </w:p>
        </w:tc>
        <w:tc>
          <w:tcPr>
            <w:tcW w:w="70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898</w:t>
            </w:r>
          </w:p>
        </w:tc>
        <w:tc>
          <w:tcPr>
            <w:tcW w:w="9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3"/>
              </w:rPr>
              <w:t>No</w:t>
            </w:r>
          </w:p>
        </w:tc>
        <w:tc>
          <w:tcPr>
            <w:tcW w:w="10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4/26/2019</w:t>
            </w:r>
          </w:p>
        </w:tc>
        <w:tc>
          <w:tcPr>
            <w:tcW w:w="0" w:type="dxa"/>
            <w:vAlign w:val="bottom"/>
          </w:tcPr>
          <w:p>
            <w:pPr>
              <w:spacing w:after="0"/>
              <w:rPr>
                <w:sz w:val="1"/>
                <w:szCs w:val="1"/>
                <w:color w:val="auto"/>
              </w:rPr>
            </w:pPr>
          </w:p>
        </w:tc>
      </w:tr>
      <w:tr>
        <w:trPr>
          <w:trHeight w:val="149"/>
        </w:trPr>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Garage Attendants Pension Trust</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Fund</w:t>
            </w: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SEIU National Industry Pension</w:t>
            </w:r>
          </w:p>
        </w:tc>
        <w:tc>
          <w:tcPr>
            <w:tcW w:w="106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52-6148540/</w:t>
            </w:r>
          </w:p>
        </w:tc>
        <w:tc>
          <w:tcPr>
            <w:tcW w:w="98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Critical</w:t>
            </w:r>
          </w:p>
        </w:tc>
        <w:tc>
          <w:tcPr>
            <w:tcW w:w="104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Critical</w:t>
            </w:r>
          </w:p>
        </w:tc>
        <w:tc>
          <w:tcPr>
            <w:tcW w:w="124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623</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501</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429</w:t>
            </w:r>
          </w:p>
        </w:tc>
        <w:tc>
          <w:tcPr>
            <w:tcW w:w="94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w w:val="93"/>
              </w:rPr>
              <w:t>No</w:t>
            </w:r>
          </w:p>
        </w:tc>
        <w:tc>
          <w:tcPr>
            <w:tcW w:w="108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12/31/2019 -</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Fund </w:t>
            </w:r>
            <w:r>
              <w:rPr>
                <w:rFonts w:ascii="Times New Roman" w:cs="Times New Roman" w:eastAsia="Times New Roman" w:hAnsi="Times New Roman"/>
                <w:sz w:val="8"/>
                <w:szCs w:val="8"/>
                <w:color w:val="auto"/>
              </w:rPr>
              <w:t>(2)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001</w:t>
            </w: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4/14/2022</w:t>
            </w:r>
          </w:p>
        </w:tc>
        <w:tc>
          <w:tcPr>
            <w:tcW w:w="0" w:type="dxa"/>
            <w:vAlign w:val="bottom"/>
          </w:tcPr>
          <w:p>
            <w:pPr>
              <w:spacing w:after="0"/>
              <w:rPr>
                <w:sz w:val="1"/>
                <w:szCs w:val="1"/>
                <w:color w:val="auto"/>
              </w:rPr>
            </w:pPr>
          </w:p>
        </w:tc>
      </w:tr>
      <w:tr>
        <w:trPr>
          <w:trHeight w:val="153"/>
        </w:trPr>
        <w:tc>
          <w:tcPr>
            <w:tcW w:w="21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LIUNA National Industrial Pension</w:t>
            </w:r>
          </w:p>
        </w:tc>
        <w:tc>
          <w:tcPr>
            <w:tcW w:w="10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52-6074345/</w:t>
            </w:r>
          </w:p>
        </w:tc>
        <w:tc>
          <w:tcPr>
            <w:tcW w:w="9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Critical</w:t>
            </w:r>
          </w:p>
        </w:tc>
        <w:tc>
          <w:tcPr>
            <w:tcW w:w="10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Critical</w:t>
            </w:r>
          </w:p>
        </w:tc>
        <w:tc>
          <w:tcPr>
            <w:tcW w:w="12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678</w:t>
            </w:r>
          </w:p>
        </w:tc>
        <w:tc>
          <w:tcPr>
            <w:tcW w:w="280" w:type="dxa"/>
            <w:vAlign w:val="bottom"/>
          </w:tcPr>
          <w:p>
            <w:pPr>
              <w:spacing w:after="0"/>
              <w:rPr>
                <w:sz w:val="13"/>
                <w:szCs w:val="13"/>
                <w:color w:val="auto"/>
              </w:rPr>
            </w:pPr>
          </w:p>
        </w:tc>
        <w:tc>
          <w:tcPr>
            <w:tcW w:w="740" w:type="dxa"/>
            <w:vAlign w:val="bottom"/>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620</w:t>
            </w:r>
          </w:p>
        </w:tc>
        <w:tc>
          <w:tcPr>
            <w:tcW w:w="220" w:type="dxa"/>
            <w:vAlign w:val="bottom"/>
          </w:tcPr>
          <w:p>
            <w:pPr>
              <w:spacing w:after="0"/>
              <w:rPr>
                <w:sz w:val="13"/>
                <w:szCs w:val="13"/>
                <w:color w:val="auto"/>
              </w:rPr>
            </w:pPr>
          </w:p>
        </w:tc>
        <w:tc>
          <w:tcPr>
            <w:tcW w:w="70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584</w:t>
            </w:r>
          </w:p>
        </w:tc>
        <w:tc>
          <w:tcPr>
            <w:tcW w:w="9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3"/>
              </w:rPr>
              <w:t>No</w:t>
            </w:r>
          </w:p>
        </w:tc>
        <w:tc>
          <w:tcPr>
            <w:tcW w:w="10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12/31/2020</w:t>
            </w:r>
          </w:p>
        </w:tc>
        <w:tc>
          <w:tcPr>
            <w:tcW w:w="0" w:type="dxa"/>
            <w:vAlign w:val="bottom"/>
          </w:tcPr>
          <w:p>
            <w:pPr>
              <w:spacing w:after="0"/>
              <w:rPr>
                <w:sz w:val="1"/>
                <w:szCs w:val="1"/>
                <w:color w:val="auto"/>
              </w:rPr>
            </w:pPr>
          </w:p>
        </w:tc>
      </w:tr>
      <w:tr>
        <w:trPr>
          <w:trHeight w:val="193"/>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Fund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funds</w:t>
            </w: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17,873</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17,109</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14,668</w:t>
            </w: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1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contributions</w:t>
            </w: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33,561</w:t>
            </w:r>
          </w:p>
        </w:tc>
        <w:tc>
          <w:tcPr>
            <w:tcW w:w="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32,623</w:t>
            </w:r>
          </w:p>
        </w:tc>
        <w:tc>
          <w:tcPr>
            <w:tcW w:w="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28,689</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80" w:hanging="464"/>
        <w:spacing w:after="0"/>
        <w:tabs>
          <w:tab w:leader="none" w:pos="5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January 1, 2018, the UNITE HERE portion of the National Retirement Fund was spun off into the newly formed UNITE HERE Retirement Fund.</w:t>
      </w:r>
    </w:p>
    <w:p>
      <w:pPr>
        <w:spacing w:after="0" w:line="39" w:lineRule="exact"/>
        <w:rPr>
          <w:rFonts w:ascii="Times New Roman" w:cs="Times New Roman" w:eastAsia="Times New Roman" w:hAnsi="Times New Roman"/>
          <w:sz w:val="13"/>
          <w:szCs w:val="13"/>
          <w:color w:val="auto"/>
        </w:rPr>
      </w:pPr>
    </w:p>
    <w:p>
      <w:pPr>
        <w:ind w:left="580" w:hanging="464"/>
        <w:spacing w:after="0"/>
        <w:tabs>
          <w:tab w:leader="none" w:pos="5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 75% of the Company's participants in this fund are covered by a single CBA that expires on 12/31/2019.</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provided more than 5 percent of the total contributions for the following plans and plan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5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Contributions to the plan exceeded more than 5% of total contributions (as</w:t>
            </w:r>
          </w:p>
        </w:tc>
      </w:tr>
      <w:tr>
        <w:trPr>
          <w:trHeight w:val="212"/>
        </w:trPr>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Fund</w:t>
            </w:r>
          </w:p>
        </w:tc>
        <w:tc>
          <w:tcPr>
            <w:tcW w:w="5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the plan's year-end)</w:t>
            </w:r>
          </w:p>
        </w:tc>
      </w:tr>
      <w:tr>
        <w:trPr>
          <w:trHeight w:val="33"/>
        </w:trPr>
        <w:tc>
          <w:tcPr>
            <w:tcW w:w="5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69"/>
        </w:trPr>
        <w:tc>
          <w:tcPr>
            <w:tcW w:w="6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Local 1102 Retirement Trust</w:t>
            </w:r>
          </w:p>
        </w:tc>
        <w:tc>
          <w:tcPr>
            <w:tcW w:w="5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shd w:val="clear" w:color="auto" w:fill="CCEEFF"/>
              </w:rPr>
              <w:t>12/31/2018 and 12/31/2017</w:t>
            </w:r>
          </w:p>
        </w:tc>
      </w:tr>
      <w:tr>
        <w:trPr>
          <w:trHeight w:val="81"/>
        </w:trPr>
        <w:tc>
          <w:tcPr>
            <w:tcW w:w="5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360" w:type="dxa"/>
            <w:vAlign w:val="bottom"/>
            <w:shd w:val="clear" w:color="auto" w:fill="CCEEFF"/>
          </w:tcPr>
          <w:p>
            <w:pPr>
              <w:spacing w:after="0"/>
              <w:rPr>
                <w:sz w:val="7"/>
                <w:szCs w:val="7"/>
                <w:color w:val="auto"/>
              </w:rPr>
            </w:pPr>
          </w:p>
        </w:tc>
      </w:tr>
      <w:tr>
        <w:trPr>
          <w:trHeight w:val="19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Service Employees Pension Fund of Upstate New York</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12/31/2018 and 12/31/2017</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date the Company's financial statements were issued, Forms 5500 were not available for the plan years ending in 2019.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the provision for income taxes represents income taxes payable or refundable for the current year plus the change in deferred taxes during the year. Deferred taxes result from differences between the financial and tax bases in assets and liabilities and are adjusted for changes in tax rates and enacted tax legislation. Valuation allowances are recorded to reduce deferred tax assets when it is more likely than not that a tax benefit will not be realized.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420"/>
          </w:cols>
          <w:pgMar w:left="240" w:top="175"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income taxes by source of income are as follows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20" w:type="dxa"/>
            <w:vAlign w:val="bottom"/>
          </w:tcPr>
          <w:p>
            <w:pPr>
              <w:spacing w:after="0"/>
              <w:rPr>
                <w:sz w:val="22"/>
                <w:szCs w:val="22"/>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20" w:type="dxa"/>
            <w:vAlign w:val="bottom"/>
          </w:tcPr>
          <w:p>
            <w:pPr>
              <w:spacing w:after="0"/>
              <w:rPr>
                <w:sz w:val="22"/>
                <w:szCs w:val="22"/>
                <w:color w:val="auto"/>
              </w:rPr>
            </w:pPr>
          </w:p>
        </w:tc>
        <w:tc>
          <w:tcPr>
            <w:tcW w:w="16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29, 2017</w:t>
            </w:r>
          </w:p>
        </w:tc>
        <w:tc>
          <w:tcPr>
            <w:tcW w:w="0" w:type="dxa"/>
            <w:vAlign w:val="bottom"/>
          </w:tcPr>
          <w:p>
            <w:pPr>
              <w:spacing w:after="0"/>
              <w:rPr>
                <w:sz w:val="1"/>
                <w:szCs w:val="1"/>
                <w:color w:val="auto"/>
              </w:rPr>
            </w:pPr>
          </w:p>
        </w:tc>
      </w:tr>
      <w:tr>
        <w:trPr>
          <w:trHeight w:val="249"/>
        </w:trPr>
        <w:tc>
          <w:tcPr>
            <w:tcW w:w="5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418,902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326,277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362,783</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137,270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157,859</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556,172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471,876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520,642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provision (benefit) for income taxes consists of (in thousands):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5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20" w:type="dxa"/>
            <w:vAlign w:val="bottom"/>
          </w:tcPr>
          <w:p>
            <w:pPr>
              <w:spacing w:after="0"/>
              <w:rPr>
                <w:sz w:val="22"/>
                <w:szCs w:val="22"/>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20" w:type="dxa"/>
            <w:vAlign w:val="bottom"/>
          </w:tcPr>
          <w:p>
            <w:pPr>
              <w:spacing w:after="0"/>
              <w:rPr>
                <w:sz w:val="22"/>
                <w:szCs w:val="22"/>
                <w:color w:val="auto"/>
              </w:rPr>
            </w:pPr>
          </w:p>
        </w:tc>
        <w:tc>
          <w:tcPr>
            <w:tcW w:w="16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29, 2017</w:t>
            </w:r>
          </w:p>
        </w:tc>
        <w:tc>
          <w:tcPr>
            <w:tcW w:w="0" w:type="dxa"/>
            <w:vAlign w:val="bottom"/>
          </w:tcPr>
          <w:p>
            <w:pPr>
              <w:spacing w:after="0"/>
              <w:rPr>
                <w:sz w:val="1"/>
                <w:szCs w:val="1"/>
                <w:color w:val="auto"/>
              </w:rPr>
            </w:pPr>
          </w:p>
        </w:tc>
      </w:tr>
      <w:tr>
        <w:trPr>
          <w:trHeight w:val="249"/>
        </w:trPr>
        <w:tc>
          <w:tcPr>
            <w:tcW w:w="5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111,175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 and local</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15,455</w:t>
            </w:r>
          </w:p>
        </w:tc>
        <w:tc>
          <w:tcPr>
            <w:tcW w:w="0" w:type="dxa"/>
            <w:vAlign w:val="bottom"/>
          </w:tcPr>
          <w:p>
            <w:pPr>
              <w:spacing w:after="0"/>
              <w:rPr>
                <w:sz w:val="1"/>
                <w:szCs w:val="1"/>
                <w:color w:val="auto"/>
              </w:rPr>
            </w:pPr>
          </w:p>
        </w:tc>
      </w:tr>
      <w:tr>
        <w:trPr>
          <w:trHeight w:val="243"/>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38,456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57,681</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67,203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184,311</w:t>
            </w:r>
          </w:p>
        </w:tc>
        <w:tc>
          <w:tcPr>
            <w:tcW w:w="0" w:type="dxa"/>
            <w:vAlign w:val="bottom"/>
          </w:tcPr>
          <w:p>
            <w:pPr>
              <w:spacing w:after="0"/>
              <w:rPr>
                <w:sz w:val="1"/>
                <w:szCs w:val="1"/>
                <w:color w:val="auto"/>
              </w:rPr>
            </w:pPr>
          </w:p>
        </w:tc>
      </w:tr>
      <w:tr>
        <w:trPr>
          <w:trHeight w:val="22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(21,956)</w:t>
            </w:r>
          </w:p>
        </w:tc>
        <w:tc>
          <w:tcPr>
            <w:tcW w:w="0" w:type="dxa"/>
            <w:vAlign w:val="bottom"/>
          </w:tcPr>
          <w:p>
            <w:pPr>
              <w:spacing w:after="0"/>
              <w:rPr>
                <w:sz w:val="1"/>
                <w:szCs w:val="1"/>
                <w:color w:val="auto"/>
              </w:rPr>
            </w:pPr>
          </w:p>
        </w:tc>
      </w:tr>
      <w:tr>
        <w:trPr>
          <w:trHeight w:val="243"/>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 and local</w:t>
            </w:r>
          </w:p>
        </w:tc>
        <w:tc>
          <w:tcPr>
            <w:tcW w:w="2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(19,065)</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40,503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(37,856)</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107,706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146,455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Current taxes receivable of $35.1 million and $7.5 million at September 27, 2019 and September 28, 2018, respectively, are included in "Prepayments and other current assets" in the Consolidated Balance Sheets. Current income taxes payable of $8.1 million and $47.9 million at September 27, 2019 and September 28, 2018, respectively, are included in "Accrued expenses and other current liabilities" in the Consolidated Balance Sheets.</w:t>
      </w:r>
    </w:p>
    <w:p>
      <w:pPr>
        <w:spacing w:after="0" w:line="9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provision for income taxes varies from the amount determined by applying the United States Federal statutory rate to pretax income as a result of the following (all percentages are as a percentage of income before income taxes):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80" w:type="dxa"/>
            <w:vAlign w:val="bottom"/>
            <w:tcBorders>
              <w:bottom w:val="single" w:sz="8" w:color="auto"/>
            </w:tcBorders>
          </w:tcPr>
          <w:p>
            <w:pPr>
              <w:spacing w:after="0"/>
              <w:rPr>
                <w:sz w:val="16"/>
                <w:szCs w:val="16"/>
                <w:color w:val="auto"/>
              </w:rPr>
            </w:pPr>
          </w:p>
        </w:tc>
      </w:tr>
      <w:tr>
        <w:trPr>
          <w:trHeight w:val="264"/>
        </w:trPr>
        <w:tc>
          <w:tcPr>
            <w:tcW w:w="5480" w:type="dxa"/>
            <w:vAlign w:val="bottom"/>
          </w:tcPr>
          <w:p>
            <w:pPr>
              <w:spacing w:after="0"/>
              <w:rPr>
                <w:sz w:val="22"/>
                <w:szCs w:val="22"/>
                <w:color w:val="auto"/>
              </w:rPr>
            </w:pPr>
          </w:p>
        </w:tc>
        <w:tc>
          <w:tcPr>
            <w:tcW w:w="20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4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statutory income tax rate</w:t>
            </w: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9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548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Foreign taxes</w:t>
            </w:r>
            <w:r>
              <w:rPr>
                <w:rFonts w:ascii="Times New Roman" w:cs="Times New Roman" w:eastAsia="Times New Roman" w:hAnsi="Times New Roman"/>
                <w:sz w:val="25"/>
                <w:szCs w:val="25"/>
                <w:color w:val="auto"/>
                <w:vertAlign w:val="superscript"/>
              </w:rPr>
              <w:t>(1)</w:t>
            </w:r>
          </w:p>
        </w:tc>
        <w:tc>
          <w:tcPr>
            <w:tcW w:w="19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19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3"/>
                <w:szCs w:val="23"/>
                <w:color w:val="auto"/>
              </w:rPr>
            </w:pPr>
          </w:p>
        </w:tc>
        <w:tc>
          <w:tcPr>
            <w:tcW w:w="1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(4.3)</w:t>
            </w: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9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Uncertain tax positions</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Tax Reform - Remeasurement of deferred taxes</w:t>
            </w:r>
          </w:p>
        </w:tc>
        <w:tc>
          <w:tcPr>
            <w:tcW w:w="20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Tax Reform - Foreign tax credit valuation allowance</w:t>
            </w:r>
          </w:p>
        </w:tc>
        <w:tc>
          <w:tcPr>
            <w:tcW w:w="1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9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Sale of Healthcare Technologies</w:t>
            </w: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credits &amp; other</w:t>
            </w:r>
          </w:p>
        </w:tc>
        <w:tc>
          <w:tcPr>
            <w:tcW w:w="1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54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right="100" w:hanging="345"/>
        <w:spacing w:after="0" w:line="327" w:lineRule="auto"/>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differences between the United States statutory tax rate and tax rates in foreign jurisdictions, foreign withholding taxes and taxation of foreign earnings, which includes the transition tax on deemed repatriated earnings of foreign subsidiaries and the tax on "Global Intangible Low-Taxed Income" ("GILTI").</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effective tax rate is based on expected income, statutory tax rates and tax planning opportunities available to the Company in the various jurisdictions in which it operates. Judgment is required in determining the effective tax rate and in evaluating the tax return positions. Reserves are established when positions are "more likely than not" to be challenged and not sustained. Reserves are adjusted at each financial statement date to reflect the impact of audit settlements, expiration of statutes of</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420"/>
          </w:cols>
          <w:pgMar w:left="240" w:top="175" w:right="239" w:bottom="779"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limitation, developments in tax law and ongoing discussions with tax authorities. Accrued interest and penalties associated with uncertain tax positions are recognized as part of the income tax provision.</w:t>
      </w:r>
    </w:p>
    <w:p>
      <w:pPr>
        <w:spacing w:after="0" w:line="8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of September 27, 2019, certain subsidiaries have recorded deferred tax assets of $27.4 million associated with accumulated federal, state and foreign net operating loss ("NOL") carryforwards. The Company believes it is more likely than not that the benefit from certain state and foreign net operating loss carryforwards will not be realized. As a result, the Company has recorded a valuation allowance of approximately $17.5 million on the deferred tax asset related to these state and foreign NOL carryforwards. The impact of the change in valuation allowances for state and foreign NOLs is presented in the State income taxes, net of Federal tax benefit and Foreign taxes lines, respectively, of the effective income tax rate reconciliation.</w:t>
      </w:r>
    </w:p>
    <w:p>
      <w:pPr>
        <w:spacing w:after="0" w:line="103"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As of September 27, 2019, the Company has approximately $28.1 million of foreign tax credit ("FTC") carryforwards, which expire in 2027, and approximately $0.9 million of interest restriction carryforwards.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27, 2019 and September 28, 2018, the components of deferred taxes are as follows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9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and equipment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137,293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126,345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intangible assets, including goodwill</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462,637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474,263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to fulfill - Rental merchandise in-service</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63,835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Gross deferred tax liability</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732,624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715,705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Insurance</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40,240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136,603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Accruals and allowances</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operating loss/credit carryforwards and other</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60,576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deferred tax asset, before valuation allowances</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247,682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256,757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Valuation allowances</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(17,532)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502,474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487,971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Rollforward of the valuation allowance is as follows:</w:t>
            </w: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0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Additions</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9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Subtractions</w:t>
            </w:r>
            <w:r>
              <w:rPr>
                <w:rFonts w:ascii="Times New Roman" w:cs="Times New Roman" w:eastAsia="Times New Roman" w:hAnsi="Times New Roman"/>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13,821</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(17,532)</w:t>
            </w:r>
          </w:p>
        </w:tc>
        <w:tc>
          <w:tcPr>
            <w:tcW w:w="100" w:type="dxa"/>
            <w:vAlign w:val="bottom"/>
          </w:tcPr>
          <w:p>
            <w:pPr>
              <w:spacing w:after="0"/>
              <w:rPr>
                <w:sz w:val="22"/>
                <w:szCs w:val="22"/>
                <w:color w:val="auto"/>
              </w:rPr>
            </w:pPr>
          </w:p>
        </w:tc>
        <w:tc>
          <w:tcPr>
            <w:tcW w:w="3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80" w:right="60" w:hanging="345"/>
        <w:spacing w:after="0"/>
        <w:tabs>
          <w:tab w:leader="none" w:pos="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additions in fiscal 2019 were mainly driven by losses in certain foreign subsidiaries. The additions in fiscal 2018 were mainly driven by the Tax Cuts and Jobs Act impacting the ability to utilize FTC carryforwards going forward, as well as the inability to use foreign NOL carryforwards.</w:t>
      </w:r>
    </w:p>
    <w:p>
      <w:pPr>
        <w:spacing w:after="0" w:line="25" w:lineRule="exact"/>
        <w:rPr>
          <w:rFonts w:ascii="Times New Roman" w:cs="Times New Roman" w:eastAsia="Times New Roman" w:hAnsi="Times New Roman"/>
          <w:sz w:val="13"/>
          <w:szCs w:val="13"/>
          <w:color w:val="auto"/>
        </w:rPr>
      </w:pPr>
    </w:p>
    <w:p>
      <w:pPr>
        <w:ind w:left="380" w:right="220" w:hanging="345"/>
        <w:spacing w:after="0"/>
        <w:tabs>
          <w:tab w:leader="none" w:pos="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Valuation allowances against FTC carryforwards were released during fiscal 2019 as a result of Treasury Regulations. During fiscal 2018, tax planning resulted in taxable income in separate Company states that had historical losses.</w:t>
      </w:r>
    </w:p>
    <w:p>
      <w:pPr>
        <w:spacing w:after="0" w:line="3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Deferred tax liabilities of approximately $519.9 million and $503.4 million as of September 27, 2019 and September 28, 2018, respectively, are included in "Deferred Income Taxes and Other Noncurrent Liabilities" in the Consolidated Balance Sheets. Deferred tax assets of approximately $17.4 million and $15.5 million as of September 27, 2019 and September 28, 2018, respectively, are included in "Other Assets" in the Consolidated Balance Sheets.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420"/>
          </w:cols>
          <w:pgMar w:left="240" w:top="175"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has approximately $36.3 million of total gross unrecognized tax benefits as of September 27, 2019, of which $33.4 million, if recognized, would impact the effective tax rate and $2.9 million would result in an adjustment to the deferred tax liability.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follows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80" w:type="dxa"/>
            <w:vAlign w:val="bottom"/>
          </w:tcPr>
          <w:p>
            <w:pPr>
              <w:spacing w:after="0"/>
              <w:rPr>
                <w:sz w:val="16"/>
                <w:szCs w:val="16"/>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30,812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based on tax positions taken in the current year</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709</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for tax positions taken in prior years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1,505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Reductions for remeasurements, settlements and payments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Reductions due to statute expiration</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end of year</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36,272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29,089</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has approximately $5.5 million and $4.9 million accrued for interest and penalties as of September 27, 2019 and September 28, 2018, respectively, and recorded $0.6 million and an immaterial amount in interest and penalties during fiscal 2019 and fiscal 2018, respectively. Interest and penalties related to unrecognized tax benefits are recorded in "Provision (Benefit) for income taxes" in the Consolidated Statements of Income.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 are not expected to significantly change within the next 12 months.</w:t>
      </w:r>
    </w:p>
    <w:p>
      <w:pPr>
        <w:spacing w:after="0" w:line="14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Generally, a number of years may elapse before a tax reporting year is audited and finally resolved. With few exceptions, the Company is no longer subject to U.S. federal, state or local examinations by tax authorities before 2015. While it is often difficult to predict the final outcome or the timing of or resolution of a particular tax matter, the Company does not anticipate any adjustments resulting from U.S. federal, state or foreign tax audits that would result in a material change to the financial condition or results of operations. Adequate amounts are established for any adjustments that may result from examinations for tax years after 2015. However, an unfavorable settlement of a particular issue would require use of the Company's cash and cash equivalents.</w:t>
      </w:r>
    </w:p>
    <w:p>
      <w:pPr>
        <w:spacing w:after="0" w:line="1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December 22, 2017, “H.R.1,” commonly referred to as the “Tax Cuts and Jobs Act” (the “Tax Legislation”) was signed into U.S. law. The Tax Legislation, which was effective on January 1, 2018, significantly revised the U.S. tax code by, among other things, lowering the corporate income tax rate from 35.0% to 21.0% and implementing new international tax provisions that included a one-time transition tax on deemed repatriated earnings of foreign subsidiaries. Though certain key aspects of the new law were effective January 1, 2018 and had an immediate accounting impact, other significant provisions were not effective or did not result in accounting implications for the Company until after the fiscal year end ended September 28, 2018. The provisions effective for fiscal 2019 are the tax on GILTI, the deduction for "Foreign-Derived Intangible Income" ("FDII"), the Internal Revenue Code ("IRC") Section163(j) limitation on interest expense and the IRC Section 162(m) limitation on certain executive compensation.</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Tax Legislation required the Company to use a blended rate for its fiscal 2018 tax year by applying a prorated percentage of days before and after the January 1, 2018 effective date. As a result, the Company's 2018 annual statutory rate was reduced to 24.5%.</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During fiscal 2018, the Company made reasonable estimates related to certain impacts of the Tax Legislation and, in accordance with the Securities and Exchange Commission (“SEC”) Staff Accountant Bulletin No. 118, </w:t>
      </w:r>
      <w:r>
        <w:rPr>
          <w:rFonts w:ascii="Times New Roman" w:cs="Times New Roman" w:eastAsia="Times New Roman" w:hAnsi="Times New Roman"/>
          <w:sz w:val="18"/>
          <w:szCs w:val="18"/>
          <w:i w:val="1"/>
          <w:iCs w:val="1"/>
          <w:color w:val="auto"/>
        </w:rPr>
        <w:t>Income Tax Accounting Implications of the Tax Cut and Jobs Act</w:t>
      </w:r>
      <w:r>
        <w:rPr>
          <w:rFonts w:ascii="Times New Roman" w:cs="Times New Roman" w:eastAsia="Times New Roman" w:hAnsi="Times New Roman"/>
          <w:sz w:val="18"/>
          <w:szCs w:val="18"/>
          <w:color w:val="auto"/>
        </w:rPr>
        <w:t xml:space="preserve"> (“SAB 118”), recorded a provisional estimate during a measurement period, when it did not have the necessary information available, prepared, or analyzed in reasonable detail to complete its accounting for the change in tax law.</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a result of the enactment of the Tax Legislation, the Company was required to recognize the effect of the corporate income tax rate change on its deferred tax assets and liabilities in fiscal 2018, the period in which the legislation was enacted. The Company recorded a tax benefit from the corporate income tax rate change and certain other adjustments, which resulted in a noncash benefit to the provision (benefit) for income taxes of approximately $237.8 million, which was recorded to the Consolidated Statements of Income for the fiscal year ended September 28, 2018. A corresponding reduction to the Company's deferred income tax liability was also recorded to the Consolidated Balance Sheets during the fiscal year ended September 28, 2018.</w:t>
      </w:r>
    </w:p>
    <w:p>
      <w:pPr>
        <w:spacing w:after="0" w:line="13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Tax Legislation also required the Company to calculate a one-time transition tax on unremitted earnings of certain non-U.S. subsidiaries. Based on an estimate, the Company believed there was no transition tax due, net of foreign tax credits. As a result of the Tax Legislation, the Company reassessed the ability to recover its $27.2 million of FTC carryforwards. Based on then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420"/>
          </w:cols>
          <w:pgMar w:left="240" w:top="175"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currently available information, the Company believed it would not generate sufficient foreign source income in the carryforward period to utilize a portion of these credits. As a result, the Company recorded a valuation allowance of $13.1 million against its FTC carryforward during fiscal 2018 as a provisional estimate. On the basis of proposed Treasury Regulations issued subsequent to the filing of the Company's Annual Report on Form 10-K on November 21, 2018, the Company recorded an adjustment to reduce the $13.1 million valuation allowance by $9.5 million, which was recorded as a tax benefit to the provision for income taxes during the first quarter of fiscal 2019. During the second quarter of fiscal 2019, the Company reduced the remaining $3.6 million valuation allowance and recorded a related uncertain tax position of $2.7 million, resulting in a net benefit to the provision for income taxes of $0.9 million.</w:t>
      </w:r>
    </w:p>
    <w:p>
      <w:pPr>
        <w:spacing w:after="0" w:line="13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Tax Legislation contains additional international provisions which impact the Company beginning in fiscal 2019, including the tax on GILTI. The impact of the GILTI liability did not have a significant impact on the financial statements for the fiscal year ending September 27, 2019. The Company is electing to treat taxes due on future U.S. inclusions in taxable income related to GILTI as a current period expense when incurred (the "period cost method").</w:t>
      </w:r>
    </w:p>
    <w:p>
      <w:pPr>
        <w:spacing w:after="0" w:line="12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accounting for the impact of the Tax Legislation is complete and the Company closed the measurement period related to SAB 118 during the first quarter of fiscal 2019.</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the result of the new rules, which include a shift from a worldwide system of taxation to a participation exemption system, the Company generally will not incur additional U.S. tax liability on the distribution of unremitted foreign earnings. However, other items continue to trigger additional tax expense for which no deferred tax liability has been recorded, including Section 986(c) currency gain/loss, foreign withholding taxes and state taxes. The undistributed earnings of certain foreign subsidiaries for which no deferred tax liability was recorded amounted to approximately $184.0 million and $86.3 million as of September 27, 2019 and September 28, 2018, respectively. The foreign withholding tax cost associated with remitting these earnings is approximately $11.0 million and $5.1 million as of September 27, 2019 and September 28, 2018, respectively. Such amounts have not been accrued by the Company as it believes those foreign earnings are permanently reinvested.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67"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On August 6, 2019, the Board of Directors authorized a new share repurchase program providing for purchases up to $200.0 million of Aramark common stock through July 2022.</w:t>
      </w:r>
    </w:p>
    <w:p>
      <w:pPr>
        <w:spacing w:after="0" w:line="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fiscal 2017, the Board of Directors authorized a share repurchase program providing for purchases of up to $250.0 million of Aramark common stock which expired February 1, 2019. During fiscal 2019, the Company completed a repurchase of 1.6 million shares of its common stock for $50.0 million under this program. During fiscal 2018, the Company completed a repurchase of 0.6 million shares of its common stock for $24.4 million.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dividend payments to its stockholders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20" w:type="dxa"/>
            <w:vAlign w:val="bottom"/>
          </w:tcPr>
          <w:p>
            <w:pPr>
              <w:spacing w:after="0"/>
              <w:rPr>
                <w:sz w:val="16"/>
                <w:szCs w:val="16"/>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42"/>
        </w:trPr>
        <w:tc>
          <w:tcPr>
            <w:tcW w:w="5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payments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100.8</w:t>
            </w:r>
          </w:p>
        </w:tc>
      </w:tr>
      <w:tr>
        <w:trPr>
          <w:trHeight w:val="27"/>
        </w:trPr>
        <w:tc>
          <w:tcPr>
            <w:tcW w:w="5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November 15, 2019, a $0.11 dividend per share of common stock was declared, payable on December 9, 2019, to shareholders of record on the close of business on December 2, 2019.</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SHARE-BASED COMPENSATION:</w:t>
      </w:r>
    </w:p>
    <w:p>
      <w:pPr>
        <w:spacing w:after="0" w:line="14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November 12, 2013, the Board of Directors (the "Board") approved, and the stockholders of Aramark adopted by written consent, the Aramark 2013 Stock Incentive Plan (the "Old 2013 Stock Plan"), which became effective on December 1, 2013 and the amended and restated Old 2013 Stock Plan was approved by the Board on November 9, 2016 and approved by the stockholders of Aramark on February 1, 2017 (as amended, the "2013 Stock Plan"). The 2013 Stock Plan provides that the total number of shares of common stock that may be issued under the 2013 Stock Plan is 25,500,000.</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420"/>
          </w:cols>
          <w:pgMar w:left="240" w:top="175" w:right="2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share-based compensation expense and related information for Time-Based Options ("TBOs"), Performance-Based Options ("PBOs"), Time-Based Restricted Stock Units ("RSUs"), Performance Stock Units and Performance Restricted Stock ("PSUs"), and Deferred Stock Units classified as "Selling and general corporate expenses" in the Consolidated Statements of Income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20" w:type="dxa"/>
            <w:vAlign w:val="bottom"/>
          </w:tcPr>
          <w:p>
            <w:pPr>
              <w:spacing w:after="0"/>
              <w:rPr>
                <w:sz w:val="22"/>
                <w:szCs w:val="22"/>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40" w:type="dxa"/>
            <w:vAlign w:val="bottom"/>
          </w:tcPr>
          <w:p>
            <w:pPr>
              <w:spacing w:after="0"/>
              <w:rPr>
                <w:sz w:val="22"/>
                <w:szCs w:val="22"/>
                <w:color w:val="auto"/>
              </w:rPr>
            </w:pPr>
          </w:p>
        </w:tc>
        <w:tc>
          <w:tcPr>
            <w:tcW w:w="17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TBOs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w:t>
            </w: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PSUs </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Stock Units</w:t>
            </w: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related to share-based compensation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Received from Option Exercises</w:t>
            </w: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Benefit on Share Deliveries </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w:t>
            </w:r>
          </w:p>
        </w:tc>
      </w:tr>
    </w:tbl>
    <w:p>
      <w:pPr>
        <w:spacing w:after="0" w:line="279" w:lineRule="exact"/>
        <w:rPr>
          <w:sz w:val="20"/>
          <w:szCs w:val="20"/>
          <w:color w:val="auto"/>
        </w:rPr>
      </w:pPr>
    </w:p>
    <w:p>
      <w:pPr>
        <w:ind w:left="380" w:right="220" w:hanging="345"/>
        <w:spacing w:after="0" w:line="228" w:lineRule="auto"/>
        <w:tabs>
          <w:tab w:leader="none" w:pos="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Share-based compensation expense was reduced during fiscal 2019 based on lower than estimated target attainment on plan metrics for the fiscal 2018 PSU grants, resulting in the reversal of previously recognized share-based compensation expense of $6.6 million. The Company also reversed previously recognized share-based compensation expense based on the actual target for the 2017 PSU grants achieved as of the end of fiscal 2019 of $5.2 million. During fiscal 2018, the Company increased the estimated target attainment on plan metrics for both the fiscal 2016 and fiscal 2017 PSU grants, resulting in an additional $18.9 million of share-based compensation expense.</w:t>
      </w:r>
    </w:p>
    <w:p>
      <w:pPr>
        <w:spacing w:after="0" w:line="1" w:lineRule="exact"/>
        <w:rPr>
          <w:rFonts w:ascii="Times New Roman" w:cs="Times New Roman" w:eastAsia="Times New Roman" w:hAnsi="Times New Roman"/>
          <w:sz w:val="13"/>
          <w:szCs w:val="13"/>
          <w:color w:val="auto"/>
        </w:rPr>
      </w:pPr>
    </w:p>
    <w:p>
      <w:pPr>
        <w:ind w:left="380" w:hanging="345"/>
        <w:spacing w:after="0" w:line="225" w:lineRule="auto"/>
        <w:tabs>
          <w:tab w:leader="none" w:pos="380" w:val="left"/>
        </w:tabs>
        <w:numPr>
          <w:ilvl w:val="0"/>
          <w:numId w:val="5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The tax benefit on option exercises and restricted stock unit deliveries is included in "Accrued Expenses" in the Consolidated Statements of Cash Flows.</w:t>
      </w:r>
    </w:p>
    <w:p>
      <w:pPr>
        <w:spacing w:after="0" w:line="34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 compensation expense was capitalized. Prior to the fourth quarter of fiscal 2018, the Company has applied a forfeiture assumption of 8.7% per annum in the calculation of such expenses. The rate was reduced to approximately 6.4% per annum in the fourth quarter of fiscal 2018 based on actual forfeiture activity.</w:t>
      </w:r>
    </w:p>
    <w:p>
      <w:pPr>
        <w:spacing w:after="0" w:line="9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below table summarizes the unrecognized compensation expense as of September 27, 2019 related to nonvested awards and the weighted-average period they are expected to be recognized: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Unrecognized Compensation</w:t>
            </w:r>
          </w:p>
        </w:tc>
        <w:tc>
          <w:tcPr>
            <w:tcW w:w="100" w:type="dxa"/>
            <w:vAlign w:val="bottom"/>
          </w:tcPr>
          <w:p>
            <w:pPr>
              <w:spacing w:after="0"/>
              <w:rPr>
                <w:sz w:val="13"/>
                <w:szCs w:val="13"/>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Period</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420" w:type="dxa"/>
            <w:vAlign w:val="bottom"/>
          </w:tcPr>
          <w:p>
            <w:pPr>
              <w:jc w:val="center"/>
              <w:ind w:left="441"/>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TBOs</w:t>
            </w:r>
          </w:p>
        </w:tc>
        <w:tc>
          <w:tcPr>
            <w:tcW w:w="1420" w:type="dxa"/>
            <w:vAlign w:val="bottom"/>
            <w:tcBorders>
              <w:bottom w:val="single" w:sz="8" w:color="CCEEFF"/>
            </w:tcBorders>
            <w:shd w:val="clear" w:color="auto" w:fill="CCEEFF"/>
          </w:tcPr>
          <w:p>
            <w:pPr>
              <w:jc w:val="right"/>
              <w:ind w:right="12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2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w:t>
            </w:r>
          </w:p>
        </w:tc>
        <w:tc>
          <w:tcPr>
            <w:tcW w:w="14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2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PSUs</w:t>
            </w:r>
          </w:p>
        </w:tc>
        <w:tc>
          <w:tcPr>
            <w:tcW w:w="1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2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auto"/>
            </w:tcBorders>
          </w:tcPr>
          <w:p>
            <w:pPr>
              <w:jc w:val="right"/>
              <w:ind w:right="12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Time-Based Options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TBOs vest solely based upon continued employment over a four year time period. All TBOs remain exercisable for ten years from the date of grant.</w:t>
      </w:r>
    </w:p>
    <w:p>
      <w:pPr>
        <w:spacing w:after="0" w:line="1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fair value of the TBOs granted was estimated using the Black-Scholes option pricing model. The expected volatility is based on a blended average of the historical volatility of the Company's and competitors' stocks over the expected term of the stock options. The expected life represents the period of time that options granted are expected to be outstanding and is calculated using the simplified method as permitted under Securities and Exchange Commission ("SEC") rules and regulations due to the method providing a reasonable estimate in comparison to actual experience. The simplified method uses the midpoint between an option's vesting date and contractual term. The risk-free rate is based on the United States Treasury security with terms equal to the expected life of the option as of the grant date. Compensation expense for TBOs is recognized on a straight-line basis over the vesting period during which employees perform related services.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420"/>
          </w:cols>
          <w:pgMar w:left="240" w:top="175"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weighted average assumptions and related valuations for TBOs.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80" w:type="dxa"/>
            <w:vAlign w:val="bottom"/>
          </w:tcPr>
          <w:p>
            <w:pPr>
              <w:spacing w:after="0"/>
              <w:rPr>
                <w:sz w:val="22"/>
                <w:szCs w:val="22"/>
                <w:color w:val="auto"/>
              </w:rPr>
            </w:pPr>
          </w:p>
        </w:tc>
        <w:tc>
          <w:tcPr>
            <w:tcW w:w="16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60" w:type="dxa"/>
            <w:vAlign w:val="bottom"/>
          </w:tcPr>
          <w:p>
            <w:pPr>
              <w:spacing w:after="0"/>
              <w:rPr>
                <w:sz w:val="22"/>
                <w:szCs w:val="22"/>
                <w:color w:val="auto"/>
              </w:rPr>
            </w:pPr>
          </w:p>
        </w:tc>
        <w:tc>
          <w:tcPr>
            <w:tcW w:w="1440" w:type="dxa"/>
            <w:vAlign w:val="bottom"/>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September 29, 2017</w:t>
            </w:r>
          </w:p>
        </w:tc>
        <w:tc>
          <w:tcPr>
            <w:tcW w:w="0" w:type="dxa"/>
            <w:vAlign w:val="bottom"/>
          </w:tcPr>
          <w:p>
            <w:pPr>
              <w:spacing w:after="0"/>
              <w:rPr>
                <w:sz w:val="1"/>
                <w:szCs w:val="1"/>
                <w:color w:val="auto"/>
              </w:rPr>
            </w:pPr>
          </w:p>
        </w:tc>
      </w:tr>
      <w:tr>
        <w:trPr>
          <w:trHeight w:val="249"/>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tcBorders>
              <w:top w:val="single" w:sz="8" w:color="auto"/>
              <w:bottom w:val="single" w:sz="8" w:color="CCEEFF"/>
            </w:tcBorders>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gridSpan w:val="4"/>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w w:val="96"/>
              </w:rPr>
              <w:t>20%</w:t>
            </w: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gridSpan w:val="3"/>
            <w:shd w:val="clear" w:color="auto" w:fill="CCEEFF"/>
          </w:tcPr>
          <w:p>
            <w:pPr>
              <w:jc w:val="center"/>
              <w:ind w:right="18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1.17% - 1.44%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5"/>
          </w:tcPr>
          <w:p>
            <w:pPr>
              <w:jc w:val="center"/>
              <w:ind w:right="95"/>
              <w:spacing w:after="0"/>
              <w:rPr>
                <w:sz w:val="20"/>
                <w:szCs w:val="20"/>
                <w:color w:val="auto"/>
              </w:rPr>
            </w:pPr>
            <w:r>
              <w:rPr>
                <w:rFonts w:ascii="Times New Roman" w:cs="Times New Roman" w:eastAsia="Times New Roman" w:hAnsi="Times New Roman"/>
                <w:sz w:val="18"/>
                <w:szCs w:val="18"/>
                <w:color w:val="auto"/>
                <w:w w:val="99"/>
              </w:rPr>
              <w:t>1.03% - 1.11%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center"/>
              <w:ind w:right="182"/>
              <w:spacing w:after="0"/>
              <w:rPr>
                <w:sz w:val="20"/>
                <w:szCs w:val="20"/>
                <w:color w:val="auto"/>
              </w:rPr>
            </w:pPr>
            <w:r>
              <w:rPr>
                <w:rFonts w:ascii="Times New Roman" w:cs="Times New Roman" w:eastAsia="Times New Roman" w:hAnsi="Times New Roman"/>
                <w:sz w:val="18"/>
                <w:szCs w:val="18"/>
                <w:color w:val="auto"/>
                <w:w w:val="98"/>
              </w:rPr>
              <w:t>1.11% - 1.21%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 (in years)</w:t>
            </w:r>
          </w:p>
        </w:tc>
        <w:tc>
          <w:tcPr>
            <w:tcW w:w="138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5"/>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center"/>
              <w:ind w:right="79"/>
              <w:spacing w:after="0"/>
              <w:rPr>
                <w:sz w:val="20"/>
                <w:szCs w:val="20"/>
                <w:color w:val="auto"/>
              </w:rPr>
            </w:pPr>
            <w:r>
              <w:rPr>
                <w:rFonts w:ascii="Times New Roman" w:cs="Times New Roman" w:eastAsia="Times New Roman" w:hAnsi="Times New Roman"/>
                <w:sz w:val="18"/>
                <w:szCs w:val="18"/>
                <w:color w:val="auto"/>
              </w:rPr>
              <w:t>6.25</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center"/>
              <w:ind w:right="182"/>
              <w:spacing w:after="0"/>
              <w:rPr>
                <w:sz w:val="20"/>
                <w:szCs w:val="20"/>
                <w:color w:val="auto"/>
              </w:rPr>
            </w:pPr>
            <w:r>
              <w:rPr>
                <w:rFonts w:ascii="Times New Roman" w:cs="Times New Roman" w:eastAsia="Times New Roman" w:hAnsi="Times New Roman"/>
                <w:sz w:val="18"/>
                <w:szCs w:val="18"/>
                <w:color w:val="auto"/>
                <w:w w:val="95"/>
              </w:rPr>
              <w:t>6.25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1.62% - 3.02%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5"/>
          </w:tcPr>
          <w:p>
            <w:pPr>
              <w:jc w:val="center"/>
              <w:ind w:right="95"/>
              <w:spacing w:after="0"/>
              <w:rPr>
                <w:sz w:val="20"/>
                <w:szCs w:val="20"/>
                <w:color w:val="auto"/>
              </w:rPr>
            </w:pPr>
            <w:r>
              <w:rPr>
                <w:rFonts w:ascii="Times New Roman" w:cs="Times New Roman" w:eastAsia="Times New Roman" w:hAnsi="Times New Roman"/>
                <w:sz w:val="18"/>
                <w:szCs w:val="18"/>
                <w:color w:val="auto"/>
                <w:w w:val="99"/>
              </w:rPr>
              <w:t>2.25% - 2.94%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center"/>
              <w:ind w:right="202"/>
              <w:spacing w:after="0"/>
              <w:rPr>
                <w:sz w:val="20"/>
                <w:szCs w:val="20"/>
                <w:color w:val="auto"/>
              </w:rPr>
            </w:pPr>
            <w:r>
              <w:rPr>
                <w:rFonts w:ascii="Times New Roman" w:cs="Times New Roman" w:eastAsia="Times New Roman" w:hAnsi="Times New Roman"/>
                <w:sz w:val="18"/>
                <w:szCs w:val="18"/>
                <w:color w:val="auto"/>
                <w:w w:val="99"/>
              </w:rPr>
              <w:t>2.14% - 2.20%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grant-date fair value</w:t>
            </w:r>
          </w:p>
        </w:tc>
        <w:tc>
          <w:tcPr>
            <w:tcW w:w="138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w w:val="98"/>
              </w:rPr>
              <w:t>$8.75</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center"/>
              <w:ind w:right="182"/>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56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TBO activity is presented below:</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   Weighted-Average</w:t>
            </w: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8"/>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(000s)</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5"/>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28, 2018</w:t>
            </w: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13,302</w:t>
            </w:r>
          </w:p>
        </w:tc>
        <w:tc>
          <w:tcPr>
            <w:tcW w:w="440" w:type="dxa"/>
            <w:vAlign w:val="bottom"/>
            <w:tcBorders>
              <w:bottom w:val="single" w:sz="8" w:color="CCEEFF"/>
            </w:tcBorders>
            <w:gridSpan w:val="2"/>
            <w:shd w:val="clear" w:color="auto" w:fill="CCEEFF"/>
          </w:tcPr>
          <w:p>
            <w:pPr>
              <w:jc w:val="center"/>
              <w:ind w:right="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26.60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w:t>
            </w:r>
          </w:p>
        </w:tc>
        <w:tc>
          <w:tcPr>
            <w:tcW w:w="44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36.42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440" w:type="dxa"/>
            <w:vAlign w:val="bottom"/>
            <w:tcBorders>
              <w:bottom w:val="single" w:sz="8" w:color="CCEEFF"/>
            </w:tcBorders>
            <w:gridSpan w:val="2"/>
            <w:shd w:val="clear" w:color="auto" w:fill="CCEEFF"/>
          </w:tcPr>
          <w:p>
            <w:pPr>
              <w:jc w:val="center"/>
              <w:ind w:right="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21.90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 and expired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44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35.72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27, 2019</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12,356</w:t>
            </w:r>
          </w:p>
        </w:tc>
        <w:tc>
          <w:tcPr>
            <w:tcW w:w="440" w:type="dxa"/>
            <w:vAlign w:val="bottom"/>
            <w:tcBorders>
              <w:bottom w:val="single" w:sz="8" w:color="CCEEFF"/>
            </w:tcBorders>
            <w:gridSpan w:val="2"/>
            <w:shd w:val="clear" w:color="auto" w:fill="CCEEFF"/>
          </w:tcPr>
          <w:p>
            <w:pPr>
              <w:jc w:val="center"/>
              <w:ind w:right="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28.22</w:t>
            </w:r>
          </w:p>
        </w:tc>
        <w:tc>
          <w:tcPr>
            <w:tcW w:w="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182,889</w:t>
            </w:r>
          </w:p>
        </w:tc>
        <w:tc>
          <w:tcPr>
            <w:tcW w:w="1440" w:type="dxa"/>
            <w:vAlign w:val="bottom"/>
            <w:tcBorders>
              <w:bottom w:val="single" w:sz="8" w:color="CCEEFF"/>
            </w:tcBorders>
            <w:gridSpan w:val="3"/>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at September 27, 2019</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8,150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center"/>
              <w:ind w:right="10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3"/>
              </w:rPr>
              <w:t>23.82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156,493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to vest at September 27, 2019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3,980</w:t>
            </w:r>
          </w:p>
        </w:tc>
        <w:tc>
          <w:tcPr>
            <w:tcW w:w="440" w:type="dxa"/>
            <w:vAlign w:val="bottom"/>
            <w:tcBorders>
              <w:bottom w:val="single" w:sz="8" w:color="CCEEFF"/>
            </w:tcBorders>
            <w:gridSpan w:val="2"/>
            <w:shd w:val="clear" w:color="auto" w:fill="CCEEFF"/>
          </w:tcPr>
          <w:p>
            <w:pPr>
              <w:jc w:val="center"/>
              <w:ind w:right="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36.72</w:t>
            </w:r>
          </w:p>
        </w:tc>
        <w:tc>
          <w:tcPr>
            <w:tcW w:w="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1440" w:type="dxa"/>
            <w:vAlign w:val="bottom"/>
            <w:tcBorders>
              <w:bottom w:val="single" w:sz="8" w:color="CCEEFF"/>
            </w:tcBorders>
            <w:gridSpan w:val="3"/>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5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80" w:type="dxa"/>
            <w:vAlign w:val="bottom"/>
          </w:tcPr>
          <w:p>
            <w:pPr>
              <w:spacing w:after="0"/>
              <w:rPr>
                <w:sz w:val="22"/>
                <w:szCs w:val="22"/>
                <w:color w:val="auto"/>
              </w:rPr>
            </w:pPr>
          </w:p>
        </w:tc>
        <w:tc>
          <w:tcPr>
            <w:tcW w:w="16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60" w:type="dxa"/>
            <w:vAlign w:val="bottom"/>
          </w:tcPr>
          <w:p>
            <w:pPr>
              <w:spacing w:after="0"/>
              <w:rPr>
                <w:sz w:val="22"/>
                <w:szCs w:val="22"/>
                <w:color w:val="auto"/>
              </w:rPr>
            </w:pPr>
          </w:p>
        </w:tc>
        <w:tc>
          <w:tcPr>
            <w:tcW w:w="1440" w:type="dxa"/>
            <w:vAlign w:val="bottom"/>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September 29, 2017</w:t>
            </w:r>
          </w:p>
        </w:tc>
        <w:tc>
          <w:tcPr>
            <w:tcW w:w="0" w:type="dxa"/>
            <w:vAlign w:val="bottom"/>
          </w:tcPr>
          <w:p>
            <w:pPr>
              <w:spacing w:after="0"/>
              <w:rPr>
                <w:sz w:val="1"/>
                <w:szCs w:val="1"/>
                <w:color w:val="auto"/>
              </w:rPr>
            </w:pPr>
          </w:p>
        </w:tc>
      </w:tr>
      <w:tr>
        <w:trPr>
          <w:trHeight w:val="249"/>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intrinsic value exercised (in millions)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fair value that vested (in millions)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Options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no longer grants PBOs under the 2013 Stock Plan. All PBOs remain exercisable for ten years from the date of grant.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PBO activity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vMerge w:val="restart"/>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(000s)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($000s)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28, 2018</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 and expired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27, 2019</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45,696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Exercisable at September 27, 2019</w:t>
            </w:r>
          </w:p>
        </w:tc>
        <w:tc>
          <w:tcPr>
            <w:tcW w:w="12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45,696</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0"/>
        <w:spacing w:after="0" w:line="407" w:lineRule="auto"/>
        <w:rPr>
          <w:sz w:val="20"/>
          <w:szCs w:val="20"/>
          <w:color w:val="auto"/>
        </w:rPr>
      </w:pPr>
      <w:r>
        <w:rPr>
          <w:rFonts w:ascii="Times New Roman" w:cs="Times New Roman" w:eastAsia="Times New Roman" w:hAnsi="Times New Roman"/>
          <w:sz w:val="18"/>
          <w:szCs w:val="18"/>
          <w:color w:val="auto"/>
        </w:rPr>
        <w:t xml:space="preserve">The total intrinsic value of PBOs exercised during fiscal 2019, fiscal 2018 and fiscal 2017 was $8.9 million, $7.4 million and $26.6 million, respectively. </w:t>
      </w:r>
      <w:r>
        <w:rPr>
          <w:rFonts w:ascii="Times New Roman" w:cs="Times New Roman" w:eastAsia="Times New Roman" w:hAnsi="Times New Roman"/>
          <w:sz w:val="18"/>
          <w:szCs w:val="18"/>
          <w:b w:val="1"/>
          <w:bCs w:val="1"/>
          <w:color w:val="auto"/>
        </w:rPr>
        <w:t>Time-Based Restricted Stock Units</w:t>
      </w: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RSU agreement provides for grants of RSUs, 25% of which will vest and be settled in shares on each of the first four anniversaries of the date of grant, subject to the participant's continued employment with the Company through each such anniversary. The grant-date fair value of RSUs is based on the fair value of the Company's common stock. Participants holding RSUs will receive the benefit of any dividends paid on shares in the form of additional RSUs. The unvested units are subject to</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420"/>
          </w:cols>
          <w:pgMar w:left="240" w:top="175" w:right="2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 if employment is terminated other than due to death, disability or retirement, and the units are nontransferable while subject to forfeiture.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vMerge w:val="restart"/>
          </w:tcPr>
          <w:p>
            <w:pPr>
              <w:spacing w:after="0"/>
              <w:rPr>
                <w:sz w:val="13"/>
                <w:szCs w:val="13"/>
                <w:color w:val="auto"/>
              </w:rPr>
            </w:pPr>
          </w:p>
        </w:tc>
        <w:tc>
          <w:tcPr>
            <w:tcW w:w="10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49"/>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28, 2018</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36.99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27, 2019</w:t>
            </w: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36.89</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2013 Stock Plan, the Company is authorized to grant PSUs to its employees. A participant is eligible to become vested in a number of PSUs equal to a percentage, higher or lower, of the target number of PSUs granted based on the level of the Company's achievement of the performance condition. During fiscal 2017, the Company granted PSUs subject to the level of achievement of adjusted earnings per share for the cumulative three years performance period and the participant's continued employment with the Company, which vested at the end of fiscal 2019. During both fiscal 2018 and 2019, the Company granted PSUs subject to the level of achievement of adjusted earnings per share and return on invested capital for the cumulative three year performance period and the participant's continued employment with the Company. The grant-date fair value of the PSUs is based on the fair value of the Company's common stock.</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3"/>
                <w:szCs w:val="13"/>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Performance Stock Units</w:t>
            </w:r>
          </w:p>
        </w:tc>
        <w:tc>
          <w:tcPr>
            <w:tcW w:w="120" w:type="dxa"/>
            <w:vAlign w:val="bottom"/>
            <w:vMerge w:val="restart"/>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(000s)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28, 2018</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70"/>
        </w:trPr>
        <w:tc>
          <w:tcPr>
            <w:tcW w:w="82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5"/>
                <w:szCs w:val="25"/>
                <w:color w:val="auto"/>
                <w:vertAlign w:val="superscript"/>
              </w:rPr>
              <w:t>(3)</w:t>
            </w: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27, 2019</w:t>
            </w:r>
          </w:p>
        </w:tc>
        <w:tc>
          <w:tcPr>
            <w:tcW w:w="16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36.20</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3"/>
          <w:szCs w:val="13"/>
          <w:color w:val="auto"/>
        </w:rPr>
        <w:t>(3)</w:t>
      </w:r>
      <w:r>
        <w:rPr>
          <w:sz w:val="20"/>
          <w:szCs w:val="20"/>
          <w:color w:val="auto"/>
        </w:rPr>
        <w:tab/>
      </w:r>
      <w:r>
        <w:rPr>
          <w:rFonts w:ascii="Times New Roman" w:cs="Times New Roman" w:eastAsia="Times New Roman" w:hAnsi="Times New Roman"/>
          <w:sz w:val="13"/>
          <w:szCs w:val="13"/>
          <w:color w:val="auto"/>
        </w:rPr>
        <w:t>Includes approximately 0.5 million shares resulting from the payout of the fiscal 2016 PSU grants due to exceeding the adjusted earnings per share target.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Stock Units</w:t>
      </w:r>
    </w:p>
    <w:p>
      <w:pPr>
        <w:spacing w:after="0" w:line="14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Deferred Stock Units are issued only to non-employee members of the Board of Directors of the Company and represent the right to receive shares of the Company's common stock in the future. Each deferred stock unit will be converted to one share of the Company's common stock either on the first day of the seventh month after which such director ceases to serve as a member of the Board of Directors or at the director's election upon vesting. The grant-date fair value of deferred stock units is based on the fair value of the Company's common stock. The deferred stock units vest on the day prior to the next annual meeting of stockholders (which is generally one year after grant). The Company granted 58,912 deferred stock units during fiscal 2019. In addition, directors may elect to defer their cash retainer into Deferred Stock Units which are fully vested upon issuance.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EARNINGS PER SHARE:</w:t>
      </w:r>
    </w:p>
    <w:p>
      <w:pPr>
        <w:spacing w:after="0" w:line="14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420"/>
          </w:cols>
          <w:pgMar w:left="240" w:top="175"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attributable to the Company's stockholders (in thousands, except per share data):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264"/>
        </w:trPr>
        <w:tc>
          <w:tcPr>
            <w:tcW w:w="5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40" w:type="dxa"/>
            <w:vAlign w:val="bottom"/>
          </w:tcPr>
          <w:p>
            <w:pPr>
              <w:spacing w:after="0"/>
              <w:rPr>
                <w:sz w:val="22"/>
                <w:szCs w:val="22"/>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40" w:type="dxa"/>
            <w:vAlign w:val="bottom"/>
          </w:tcPr>
          <w:p>
            <w:pPr>
              <w:spacing w:after="0"/>
              <w:rPr>
                <w:sz w:val="22"/>
                <w:szCs w:val="22"/>
                <w:color w:val="auto"/>
              </w:rPr>
            </w:pPr>
          </w:p>
        </w:tc>
        <w:tc>
          <w:tcPr>
            <w:tcW w:w="15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49"/>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448,549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567,885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373,923</w:t>
            </w:r>
          </w:p>
        </w:tc>
      </w:tr>
      <w:tr>
        <w:trPr>
          <w:trHeight w:val="27"/>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246,854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245,771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244,453</w:t>
            </w:r>
          </w:p>
        </w:tc>
      </w:tr>
      <w:tr>
        <w:trPr>
          <w:trHeight w:val="27"/>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7,104</w:t>
            </w:r>
          </w:p>
        </w:tc>
      </w:tr>
      <w:tr>
        <w:trPr>
          <w:trHeight w:val="297"/>
        </w:trPr>
        <w:tc>
          <w:tcPr>
            <w:tcW w:w="5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252,010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253,352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251,557</w:t>
            </w:r>
          </w:p>
        </w:tc>
      </w:tr>
      <w:tr>
        <w:trPr>
          <w:trHeight w:val="311"/>
        </w:trPr>
        <w:tc>
          <w:tcPr>
            <w:tcW w:w="5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5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5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Share-based awards to purchase 5.2 million, 1.6 million and 3.9 million shares were outstanding at September 27, 2019, September 28, 2018 and September 29, 2017, respectively, but were not included in the computation of diluted earnings per common share, as their effect would have been antidilutive. In addition, PSUs related to 1.3 million shares, 1.2 million shares and 1.2 million shares were outstanding at September 27, 2019, September 28, 2018 and September 29, 2017, respectively, but were not included in the computation of diluted earnings per common share, as the performance targets were not yet met.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48"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Company has capital and other purchase commitments of approximately $595.3 million at September 27, 2019, primarily in connection with commitments for capital projects to help finance improvements or renovations at the facilities in which the Company operates.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27, 2019, the Company also has letters of credit outstanding in the amount of $110.1 million.</w:t>
      </w:r>
    </w:p>
    <w:p>
      <w:pPr>
        <w:spacing w:after="0" w:line="1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of the Company's lease arrangements, primarily vehicle leases, with terms ranging from one to eight years, contain provisions related to residual value guarantees. The maximum potential liability to the Company under such arrangements was approximately $27.5 million at September 27, 2019 if the terminal fair value of vehicles coming off lease was zero. Consistent with past experience, management does not expect any significant payments will be required pursuant to these arrangements. No amounts have been accrued for guarantee arrangements at September 27, 2019.</w:t>
      </w:r>
    </w:p>
    <w:p>
      <w:pPr>
        <w:spacing w:after="0" w:line="9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Rental expense for all operating leases was $860.6 million, $187.5 million and $170.0 million for fiscal 2019, fiscal 2018 and fiscal 2017, respectively. The increase from fiscal 2018 to fiscal 2019 is due to the Company's adoption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due to leases in the Company's revenue contracts with customers. Following is a schedule of the future minimum rental and similar commitments under all noncancelable operating leases and certain residual value guarantees as of September 27, 2019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101,061</w:t>
            </w:r>
          </w:p>
        </w:tc>
      </w:tr>
      <w:tr>
        <w:trPr>
          <w:trHeight w:val="243"/>
        </w:trPr>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74,908</w:t>
            </w:r>
          </w:p>
        </w:tc>
      </w:tr>
      <w:tr>
        <w:trPr>
          <w:trHeight w:val="27"/>
        </w:trPr>
        <w:tc>
          <w:tcPr>
            <w:tcW w:w="10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56,765</w:t>
            </w:r>
          </w:p>
        </w:tc>
      </w:tr>
      <w:tr>
        <w:trPr>
          <w:trHeight w:val="243"/>
        </w:trPr>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43,795</w:t>
            </w:r>
          </w:p>
        </w:tc>
      </w:tr>
      <w:tr>
        <w:trPr>
          <w:trHeight w:val="27"/>
        </w:trPr>
        <w:tc>
          <w:tcPr>
            <w:tcW w:w="10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36,215</w:t>
            </w:r>
          </w:p>
        </w:tc>
      </w:tr>
      <w:tr>
        <w:trPr>
          <w:trHeight w:val="243"/>
        </w:trPr>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2025-Thereafter</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214,818</w:t>
            </w:r>
          </w:p>
        </w:tc>
      </w:tr>
      <w:tr>
        <w:trPr>
          <w:trHeight w:val="27"/>
        </w:trPr>
        <w:tc>
          <w:tcPr>
            <w:tcW w:w="10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rental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527,562</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w:t>
      </w:r>
    </w:p>
    <w:p>
      <w:pPr>
        <w:sectPr>
          <w:pgSz w:w="11900" w:h="16838" w:orient="portrait"/>
          <w:cols w:equalWidth="0" w:num="1">
            <w:col w:w="11420"/>
          </w:cols>
          <w:pgMar w:left="240" w:top="17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S-46</w:t>
      </w:r>
    </w:p>
    <w:p>
      <w:pPr>
        <w:sectPr>
          <w:pgSz w:w="11900" w:h="16838" w:orient="portrait"/>
          <w:cols w:equalWidth="0" w:num="1">
            <w:col w:w="11420"/>
          </w:cols>
          <w:pgMar w:left="240" w:top="175" w:right="23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August 26, 2019, the Company announced that Eric J. Foss stepped down from his role as Chairman, President and Chief Executive Officer, effective as of August 25, 2019. The Company recognized $10.4 million of cash compensation related charges related to his separation from the Company, which are included in "Accrued payroll and related expenses" in the Consolidated Balance Sheets. These unpaid obligations are expected to be paid through fiscal 2021.</w:t>
      </w:r>
    </w:p>
    <w:p>
      <w:pPr>
        <w:spacing w:after="0" w:line="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fiscal 2019, the Company was a defendant in two class action lawsuits alleging breach of contract, promissory estoppel, unjust enrichment and various state law claims for failure to pay employee annual incentive bonuses related to the 2018 fiscal year. In November 2019, the Company settled the lawsuits with the plaintiffs for approximately $21.0 million, which includes payments to the class members, attorneys' fees and other expenses. Of the $21.0 million settlement charge, $12.0 million was expensed in "Cost of services provided" and $9.0 million was expensed in "Selling and general corporate expenses" in the Consolidated Statements of Income during the fiscal year ended September 27, 2019.</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QUARTERLY RESULTS (Unaudited):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unaudited quarterly results for fiscal 2019 and fiscal 2018 (in thousands, except per share amounts):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2018</w:t>
            </w:r>
          </w:p>
        </w:tc>
        <w:tc>
          <w:tcPr>
            <w:tcW w:w="240" w:type="dxa"/>
            <w:vAlign w:val="bottom"/>
          </w:tcPr>
          <w:p>
            <w:pPr>
              <w:spacing w:after="0"/>
              <w:rPr>
                <w:sz w:val="22"/>
                <w:szCs w:val="22"/>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2019</w:t>
            </w:r>
          </w:p>
        </w:tc>
        <w:tc>
          <w:tcPr>
            <w:tcW w:w="42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28, 2019</w:t>
            </w:r>
          </w:p>
        </w:tc>
        <w:tc>
          <w:tcPr>
            <w:tcW w:w="180" w:type="dxa"/>
            <w:vAlign w:val="bottom"/>
          </w:tcPr>
          <w:p>
            <w:pPr>
              <w:spacing w:after="0"/>
              <w:rPr>
                <w:sz w:val="22"/>
                <w:szCs w:val="22"/>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27, 2019</w:t>
            </w: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4,265,349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3,999,987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4,010,761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3,951,244</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services provided</w:t>
            </w:r>
          </w:p>
        </w:tc>
        <w:tc>
          <w:tcPr>
            <w:tcW w:w="22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3,794,445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3,639,959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3,594,978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3,503,280</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250,676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29,310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83,064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85,414</w:t>
            </w:r>
          </w:p>
        </w:tc>
      </w:tr>
      <w:tr>
        <w:trPr>
          <w:trHeight w:val="270"/>
        </w:trPr>
        <w:tc>
          <w:tcPr>
            <w:tcW w:w="42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Net income attributable to Aramark stockholders</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23"/>
                <w:szCs w:val="23"/>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250,682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29,353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82,955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85,557</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0.35</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0.34</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2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0.110</w:t>
            </w:r>
          </w:p>
        </w:tc>
      </w:tr>
      <w:tr>
        <w:trPr>
          <w:trHeight w:val="616"/>
        </w:trPr>
        <w:tc>
          <w:tcPr>
            <w:tcW w:w="4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2017</w:t>
            </w:r>
          </w:p>
        </w:tc>
        <w:tc>
          <w:tcPr>
            <w:tcW w:w="240" w:type="dxa"/>
            <w:vAlign w:val="bottom"/>
          </w:tcPr>
          <w:p>
            <w:pPr>
              <w:spacing w:after="0"/>
              <w:rPr>
                <w:sz w:val="22"/>
                <w:szCs w:val="22"/>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 2018</w:t>
            </w:r>
          </w:p>
        </w:tc>
        <w:tc>
          <w:tcPr>
            <w:tcW w:w="42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29, 2018</w:t>
            </w:r>
          </w:p>
        </w:tc>
        <w:tc>
          <w:tcPr>
            <w:tcW w:w="180" w:type="dxa"/>
            <w:vAlign w:val="bottom"/>
          </w:tcPr>
          <w:p>
            <w:pPr>
              <w:spacing w:after="0"/>
              <w:rPr>
                <w:sz w:val="22"/>
                <w:szCs w:val="22"/>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3,965,118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3,939,311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3,971,606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3,913,598</w:t>
            </w:r>
          </w:p>
        </w:tc>
      </w:tr>
      <w:tr>
        <w:trPr>
          <w:trHeight w:val="270"/>
        </w:trPr>
        <w:tc>
          <w:tcPr>
            <w:tcW w:w="42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Cost of services provided</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23"/>
                <w:szCs w:val="23"/>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3,522,230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3,563,009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3,526,293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3,386,380</w:t>
            </w: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292,440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27,716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72,716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175,568</w:t>
            </w:r>
          </w:p>
        </w:tc>
      </w:tr>
      <w:tr>
        <w:trPr>
          <w:trHeight w:val="270"/>
        </w:trPr>
        <w:tc>
          <w:tcPr>
            <w:tcW w:w="42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Net income attributable to Aramark stockholders</w:t>
            </w:r>
            <w:r>
              <w:rPr>
                <w:rFonts w:ascii="Times New Roman" w:cs="Times New Roman" w:eastAsia="Times New Roman" w:hAnsi="Times New Roman"/>
                <w:sz w:val="25"/>
                <w:szCs w:val="25"/>
                <w:color w:val="auto"/>
                <w:vertAlign w:val="superscript"/>
              </w:rPr>
              <w:t>(3)</w:t>
            </w:r>
          </w:p>
        </w:tc>
        <w:tc>
          <w:tcPr>
            <w:tcW w:w="220" w:type="dxa"/>
            <w:vAlign w:val="bottom"/>
          </w:tcPr>
          <w:p>
            <w:pPr>
              <w:spacing w:after="0"/>
              <w:rPr>
                <w:sz w:val="23"/>
                <w:szCs w:val="23"/>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292,284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27,569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72,577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175,455</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0.71</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0.69</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2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0.105</w:t>
            </w:r>
          </w:p>
        </w:tc>
      </w:tr>
      <w:tr>
        <w:trPr>
          <w:trHeight w:val="567"/>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S-47</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6" w:lineRule="exact"/>
        <w:rPr>
          <w:sz w:val="20"/>
          <w:szCs w:val="20"/>
          <w:color w:val="auto"/>
        </w:rPr>
      </w:pPr>
    </w:p>
    <w:p>
      <w:pPr>
        <w:ind w:left="420" w:hanging="276"/>
        <w:spacing w:after="0"/>
        <w:tabs>
          <w:tab w:leader="none" w:pos="4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Fiscal 2019 net income was impacted by the sale of HCT in the first quarter of fiscal 2019 (see Note 2).</w:t>
      </w:r>
    </w:p>
    <w:p>
      <w:pPr>
        <w:spacing w:after="0" w:line="118" w:lineRule="exact"/>
        <w:rPr>
          <w:rFonts w:ascii="Times New Roman" w:cs="Times New Roman" w:eastAsia="Times New Roman" w:hAnsi="Times New Roman"/>
          <w:sz w:val="13"/>
          <w:szCs w:val="13"/>
          <w:color w:val="auto"/>
        </w:rPr>
      </w:pPr>
    </w:p>
    <w:p>
      <w:pPr>
        <w:ind w:left="420" w:right="420" w:hanging="276"/>
        <w:spacing w:after="0" w:line="184" w:lineRule="auto"/>
        <w:tabs>
          <w:tab w:leader="none" w:pos="420"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2"/>
          <w:szCs w:val="12"/>
          <w:color w:val="auto"/>
        </w:rPr>
        <w:t xml:space="preserve">Fiscal 2018 balances have been restated to reflect the impact of the adoption of ASU 2017-07, </w:t>
      </w:r>
      <w:r>
        <w:rPr>
          <w:rFonts w:ascii="Times New Roman" w:cs="Times New Roman" w:eastAsia="Times New Roman" w:hAnsi="Times New Roman"/>
          <w:sz w:val="12"/>
          <w:szCs w:val="12"/>
          <w:i w:val="1"/>
          <w:iCs w:val="1"/>
          <w:color w:val="auto"/>
        </w:rPr>
        <w:t>Compensation - Retirement Benefits (Topic 715): Improving the Presentation of Net Periodic Pension Cost and Net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Periodic Postretirement Benefit Cost </w:t>
      </w:r>
      <w:r>
        <w:rPr>
          <w:rFonts w:ascii="Times New Roman" w:cs="Times New Roman" w:eastAsia="Times New Roman" w:hAnsi="Times New Roman"/>
          <w:sz w:val="12"/>
          <w:szCs w:val="12"/>
          <w:color w:val="auto"/>
        </w:rPr>
        <w:t>(see Note 1).</w:t>
      </w:r>
    </w:p>
    <w:p>
      <w:pPr>
        <w:spacing w:after="0" w:line="1" w:lineRule="exact"/>
        <w:rPr>
          <w:rFonts w:ascii="Times New Roman" w:cs="Times New Roman" w:eastAsia="Times New Roman" w:hAnsi="Times New Roman"/>
          <w:sz w:val="22"/>
          <w:szCs w:val="22"/>
          <w:color w:val="auto"/>
          <w:vertAlign w:val="superscript"/>
        </w:rPr>
      </w:pPr>
    </w:p>
    <w:p>
      <w:pPr>
        <w:ind w:left="420" w:hanging="276"/>
        <w:spacing w:after="0" w:line="225" w:lineRule="auto"/>
        <w:tabs>
          <w:tab w:leader="none" w:pos="420" w:val="left"/>
        </w:tabs>
        <w:numPr>
          <w:ilvl w:val="0"/>
          <w:numId w:val="5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Fiscal 2018 net income was impacted by the passage of the "Tax Cuts and Jobs Act" (see Note 9).</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BUSINESS SEGMENTS:</w:t>
      </w:r>
    </w:p>
    <w:p>
      <w:pPr>
        <w:spacing w:after="0" w:line="14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reports its operating results in three reportable segments: FSS United States, FSS International and Uniform. Corporate includes general expenses and assets not specifically allocated to an individual segment and share-based compensation expense (see Note 11). In the Company's food and support services segments, approximately 78% of the global revenue is related to food services and 22% is related to facilities services. During fiscal 2019, the Company received proceeds of approximately $16.2 million relating to the recovery of the Company’s investment (possessory interest) at one of the National Park Service sites within the FSS United States segment. The Company recorded a gain related to the recovery of its investment, which is included in “Cost of services provided” in the Consolidated Statements of Income. Financial information by segment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8"/>
                <w:szCs w:val="8"/>
                <w:b w:val="1"/>
                <w:bCs w:val="1"/>
                <w:color w:val="auto"/>
              </w:rPr>
              <w:t>(1)</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50"/>
        </w:trPr>
        <w:tc>
          <w:tcPr>
            <w:tcW w:w="4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49"/>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FSS United States</w:t>
            </w:r>
          </w:p>
        </w:tc>
        <w:tc>
          <w:tcPr>
            <w:tcW w:w="1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9,898.6</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10,137.8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9,748.0</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FSS International</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3,291.7</w:t>
            </w:r>
          </w:p>
        </w:tc>
      </w:tr>
      <w:tr>
        <w:trPr>
          <w:trHeight w:val="27"/>
        </w:trPr>
        <w:tc>
          <w:tcPr>
            <w:tcW w:w="4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Uniform</w:t>
            </w:r>
          </w:p>
        </w:tc>
        <w:tc>
          <w:tcPr>
            <w:tcW w:w="1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1,996.0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1,564.7</w:t>
            </w:r>
          </w:p>
        </w:tc>
      </w:tr>
      <w:tr>
        <w:trPr>
          <w:trHeight w:val="237"/>
        </w:trPr>
        <w:tc>
          <w:tcPr>
            <w:tcW w:w="4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16,227.3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15,789.6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14,604.4</w:t>
            </w:r>
          </w:p>
        </w:tc>
      </w:tr>
      <w:tr>
        <w:trPr>
          <w:trHeight w:val="27"/>
        </w:trPr>
        <w:tc>
          <w:tcPr>
            <w:tcW w:w="4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759"/>
        </w:trPr>
        <w:tc>
          <w:tcPr>
            <w:tcW w:w="4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 Income</w:t>
            </w:r>
            <w:r>
              <w:rPr>
                <w:rFonts w:ascii="Times New Roman" w:cs="Times New Roman" w:eastAsia="Times New Roman" w:hAnsi="Times New Roman"/>
                <w:sz w:val="8"/>
                <w:szCs w:val="8"/>
                <w:b w:val="1"/>
                <w:bCs w:val="1"/>
                <w:color w:val="auto"/>
              </w:rPr>
              <w:t>(1)(2)(3)</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50"/>
        </w:trPr>
        <w:tc>
          <w:tcPr>
            <w:tcW w:w="4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49"/>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FSS United States</w:t>
            </w:r>
          </w:p>
        </w:tc>
        <w:tc>
          <w:tcPr>
            <w:tcW w:w="1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596.6</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FSS International</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155.8</w:t>
            </w:r>
          </w:p>
        </w:tc>
      </w:tr>
      <w:tr>
        <w:trPr>
          <w:trHeight w:val="27"/>
        </w:trPr>
        <w:tc>
          <w:tcPr>
            <w:tcW w:w="4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Uniform</w:t>
            </w:r>
          </w:p>
        </w:tc>
        <w:tc>
          <w:tcPr>
            <w:tcW w:w="1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182.3</w:t>
            </w:r>
          </w:p>
        </w:tc>
      </w:tr>
      <w:tr>
        <w:trPr>
          <w:trHeight w:val="237"/>
        </w:trPr>
        <w:tc>
          <w:tcPr>
            <w:tcW w:w="4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934.7</w:t>
            </w:r>
          </w:p>
        </w:tc>
      </w:tr>
      <w:tr>
        <w:trPr>
          <w:trHeight w:val="27"/>
        </w:trPr>
        <w:tc>
          <w:tcPr>
            <w:tcW w:w="4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37"/>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818.4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801.6</w:t>
            </w:r>
          </w:p>
        </w:tc>
      </w:tr>
      <w:tr>
        <w:trPr>
          <w:trHeight w:val="27"/>
        </w:trPr>
        <w:tc>
          <w:tcPr>
            <w:tcW w:w="4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1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r>
      <w:tr>
        <w:trPr>
          <w:trHeight w:val="237"/>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520.7</w:t>
            </w:r>
          </w:p>
        </w:tc>
      </w:tr>
      <w:tr>
        <w:trPr>
          <w:trHeight w:val="27"/>
        </w:trPr>
        <w:tc>
          <w:tcPr>
            <w:tcW w:w="4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81"/>
        </w:trPr>
        <w:tc>
          <w:tcPr>
            <w:tcW w:w="4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r>
              <w:rPr>
                <w:rFonts w:ascii="Times New Roman" w:cs="Times New Roman" w:eastAsia="Times New Roman" w:hAnsi="Times New Roman"/>
                <w:sz w:val="8"/>
                <w:szCs w:val="8"/>
                <w:b w:val="1"/>
                <w:bCs w:val="1"/>
                <w:color w:val="auto"/>
              </w:rPr>
              <w:t>(1)</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50"/>
        </w:trPr>
        <w:tc>
          <w:tcPr>
            <w:tcW w:w="4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49"/>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FSS United States</w:t>
            </w:r>
          </w:p>
        </w:tc>
        <w:tc>
          <w:tcPr>
            <w:tcW w:w="1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372.7</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FSS International</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55.3</w:t>
            </w:r>
          </w:p>
        </w:tc>
      </w:tr>
      <w:tr>
        <w:trPr>
          <w:trHeight w:val="27"/>
        </w:trPr>
        <w:tc>
          <w:tcPr>
            <w:tcW w:w="4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Uniform</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77.2</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42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508.2</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737"/>
        </w:trPr>
        <w:tc>
          <w:tcPr>
            <w:tcW w:w="4200" w:type="dxa"/>
            <w:vAlign w:val="bottom"/>
          </w:tcPr>
          <w:p>
            <w:pPr>
              <w:spacing w:after="0"/>
              <w:rPr>
                <w:sz w:val="24"/>
                <w:szCs w:val="24"/>
                <w:color w:val="auto"/>
              </w:rPr>
            </w:pPr>
          </w:p>
        </w:tc>
        <w:tc>
          <w:tcPr>
            <w:tcW w:w="1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S-48</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9"/>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Capital Expenditures and Other</w:t>
            </w:r>
            <w:r>
              <w:rPr>
                <w:rFonts w:ascii="Times New Roman" w:cs="Times New Roman" w:eastAsia="Times New Roman" w:hAnsi="Times New Roman"/>
                <w:sz w:val="8"/>
                <w:szCs w:val="8"/>
                <w:b w:val="1"/>
                <w:bCs w:val="1"/>
                <w:color w:val="auto"/>
              </w:rPr>
              <w:t>(1)</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29, 2017</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FSS 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3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494.3</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FSS International</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Uniform</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3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912.1</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555.0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 Includes amounts acquired in business combinations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60" w:type="dxa"/>
            <w:vAlign w:val="bottom"/>
            <w:gridSpan w:val="6"/>
            <w:vMerge w:val="restart"/>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Identifiable Assets</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856"/>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FSS 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8,368.1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8,482.8</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FSS International</w:t>
            </w: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2,039.2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2,072.0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Uniform</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3,118.7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2,991.7</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13,736.3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13,720.1</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geographic data include revenue generated by subsidiaries within that geographic area and net property &amp; equipment based on physical location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8"/>
                <w:szCs w:val="8"/>
                <w:b w:val="1"/>
                <w:bCs w:val="1"/>
                <w:color w:val="auto"/>
              </w:rPr>
              <w:t>(1)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250"/>
        </w:trPr>
        <w:tc>
          <w:tcPr>
            <w:tcW w:w="5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29, 2017</w:t>
            </w: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12,070.0</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11,795.6</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11,098.0</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3,506.4</w:t>
            </w: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16,227.3</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15,789.6</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14,604.4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r>
      <w:tr>
        <w:trPr>
          <w:trHeight w:val="381"/>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Property and Equipment, net</w:t>
            </w:r>
            <w:r>
              <w:rPr>
                <w:rFonts w:ascii="Times New Roman" w:cs="Times New Roman" w:eastAsia="Times New Roman" w:hAnsi="Times New Roman"/>
                <w:sz w:val="8"/>
                <w:szCs w:val="8"/>
                <w:b w:val="1"/>
                <w:bCs w:val="1"/>
                <w:color w:val="auto"/>
              </w:rPr>
              <w:t>(1)</w:t>
            </w:r>
          </w:p>
        </w:tc>
      </w:tr>
      <w:tr>
        <w:trPr>
          <w:trHeight w:val="264"/>
        </w:trPr>
        <w:tc>
          <w:tcPr>
            <w:tcW w:w="5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49"/>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1,065.9</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327.1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312.2</w:t>
            </w: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2,181.8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1,378.1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60" w:right="140" w:hanging="357"/>
        <w:spacing w:after="0"/>
        <w:tabs>
          <w:tab w:leader="none" w:pos="46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adoption of the new ASU related to revenue recognition impacted each of the financial information categories presented (see Note 7). All financial information categories in fiscal 2019 for the FSS United States segment were also impacted by the sale of HCT in the first quarter of fiscal 2019 (see Note 2).</w:t>
      </w:r>
    </w:p>
    <w:p>
      <w:pPr>
        <w:spacing w:after="0" w:line="104" w:lineRule="exact"/>
        <w:rPr>
          <w:rFonts w:ascii="Times New Roman" w:cs="Times New Roman" w:eastAsia="Times New Roman" w:hAnsi="Times New Roman"/>
          <w:sz w:val="13"/>
          <w:szCs w:val="13"/>
          <w:color w:val="auto"/>
        </w:rPr>
      </w:pPr>
    </w:p>
    <w:p>
      <w:pPr>
        <w:ind w:left="460" w:right="300" w:hanging="357"/>
        <w:spacing w:after="0" w:line="184" w:lineRule="auto"/>
        <w:tabs>
          <w:tab w:leader="none" w:pos="460"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2"/>
          <w:szCs w:val="12"/>
          <w:color w:val="auto"/>
        </w:rPr>
        <w:t xml:space="preserve">Fiscal 2018 and 2017 balances have been restated to reflect the impact of the adoption of ASU 2017-07, </w:t>
      </w:r>
      <w:r>
        <w:rPr>
          <w:rFonts w:ascii="Times New Roman" w:cs="Times New Roman" w:eastAsia="Times New Roman" w:hAnsi="Times New Roman"/>
          <w:sz w:val="12"/>
          <w:szCs w:val="12"/>
          <w:i w:val="1"/>
          <w:iCs w:val="1"/>
          <w:color w:val="auto"/>
        </w:rPr>
        <w:t>Compensation - Retirement Benefits (Topic 715): Improving the Presentation of Net Periodic Pension Cost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and Net Periodic Postretirement Benefit Cost </w:t>
      </w:r>
      <w:r>
        <w:rPr>
          <w:rFonts w:ascii="Times New Roman" w:cs="Times New Roman" w:eastAsia="Times New Roman" w:hAnsi="Times New Roman"/>
          <w:sz w:val="12"/>
          <w:szCs w:val="12"/>
          <w:color w:val="auto"/>
        </w:rPr>
        <w:t>(see Note 1).</w:t>
      </w:r>
    </w:p>
    <w:p>
      <w:pPr>
        <w:spacing w:after="0" w:line="107" w:lineRule="exact"/>
        <w:rPr>
          <w:rFonts w:ascii="Times New Roman" w:cs="Times New Roman" w:eastAsia="Times New Roman" w:hAnsi="Times New Roman"/>
          <w:sz w:val="22"/>
          <w:szCs w:val="22"/>
          <w:color w:val="auto"/>
          <w:vertAlign w:val="superscript"/>
        </w:rPr>
      </w:pPr>
    </w:p>
    <w:p>
      <w:pPr>
        <w:ind w:left="460" w:right="280" w:hanging="357"/>
        <w:spacing w:after="0" w:line="183" w:lineRule="auto"/>
        <w:tabs>
          <w:tab w:leader="none" w:pos="460"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2"/>
          <w:szCs w:val="12"/>
          <w:color w:val="auto"/>
        </w:rPr>
        <w:t>During fiscal 2019, the Company incurred expenses of $74.9 million related to special recognition awards, retirement contributions and employee training costs as a result of tax savings from U.S. tax reform. The breakdown of these expenses by segment are as follows: FSS United States: $58.7 million; FSS International: $0.4 million; Uniform: $14.4 million; and Corporate: $1.4 million.</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OF FINANCIAL ASSETS AND FINANCIAL LIABILITIES:</w:t>
      </w:r>
    </w:p>
    <w:p>
      <w:pPr>
        <w:spacing w:after="0" w:line="14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95"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methodology are quoted prices (unadjusted) for identical assets or liabilities in active markets</w:t>
      </w:r>
    </w:p>
    <w:p>
      <w:pPr>
        <w:spacing w:after="0" w:line="144"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420"/>
          </w:cols>
          <w:pgMar w:left="240" w:top="175" w:right="239" w:bottom="1440" w:gutter="0" w:footer="0" w:header="0"/>
        </w:sectPr>
      </w:pPr>
    </w:p>
    <w:bookmarkStart w:id="99" w:name="page100"/>
    <w:bookmarkEnd w:id="99"/>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the gross values would not be materially different. The fair value of the Company's debt at September 27, 2019 and September 28, 2018 was $6,851.2 million and $7,303.1 million, respectively. The carrying value of the Company's debt at September 27, 2019 and September 28, 2018 was $6,682.2 million and $7,244.0 million, respectively. The fair values were computed using market quotes, if available, or based on discounted cash flows using market interest rates as of the end of the respective periods. The inputs utilized in estimating the fair value of the Company's debt has been classified as level 2 in the fair value hierarchy levels.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CONDENSED CONSOLIDATING FINANCIAL STATEMENTS OF ARAMARK AND SUBSIDIARIES: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condensed consolidating financial statements of the Company have been prepared pursuant to Rule 3-10 of Regulation S-X.</w:t>
      </w:r>
    </w:p>
    <w:p>
      <w:pPr>
        <w:spacing w:after="0" w:line="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condensed consolidating financial statements are presented for: (i) Aramark (the "Parent"); (ii) ASI and Aramark International Finance S.à.r.l. (the "Issuers"); (iii) the guarantors; (iv) the non guarantors; (v) elimination entries necessary to consolidate the Parent with the Issuers, the guarantors and non guarantors; and (vi) the Company on a consolidated basis. Each of the guarantors is wholly-owned, directly or indirectly, by the Company. The 5.125% Senior Notes due 2024 (the "2024 Notes"), 5.000% Senior Notes due April 1, 2025 (the "5.000% 2025 Notes"), 3.125% Senior Notes due April 1, 2025 (the "3.125% 2025 Notes" and, together with the 5.000% 2025 Notes, the "2025 Notes"), 4.75% Senior Notes due June 1, 2026 ("2026 Notes") and 5.000% Senior Notes due February 1, 2028 (the "2028 Notes") are obligations of the Company's wholly-owned subsidiary, ASI, (other than the 3.125% 2025 Notes, which are obligations of the Company's wholly owned subsidiary, Aramark International Finance S.a.r.l) and are each jointly and severally guaranteed on a senior unsecured basis by the Company and substantially all of the Company's existing and future domestic subsidiaries (excluding the Receivables Facility subsidiary) ("Guarantors"). All other subsidiaries of the Company, either direct or indirect, are non-guarantors and do not guarantee the 2024 Notes, 2025 Notes, 2026 Notes or 2028 Notes ("Non-Guarantors"). The Guarantors also guarantee certain other debt. These condensed consolidating financial statements have been prepared from the Company's financial information on the same basis of accounting as the consolidated financial statements. Interest expense and certain other costs are partially allocated to all of the subsidiaries of the Company. Goodwill and other intangible assets have been allocated to the subsidiaries based on management's estimates.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400"/>
          </w:cols>
          <w:pgMar w:left="240" w:top="418" w:right="25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27, 2019</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Aramark</w:t>
            </w:r>
          </w:p>
        </w:tc>
        <w:tc>
          <w:tcPr>
            <w:tcW w:w="220" w:type="dxa"/>
            <w:vAlign w:val="bottom"/>
          </w:tcPr>
          <w:p>
            <w:pPr>
              <w:spacing w:after="0"/>
              <w:rPr>
                <w:sz w:val="13"/>
                <w:szCs w:val="13"/>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 Guarantors</w:t>
            </w:r>
          </w:p>
        </w:tc>
        <w:tc>
          <w:tcPr>
            <w:tcW w:w="22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10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172,584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246,643</w:t>
            </w:r>
          </w:p>
        </w:tc>
        <w:tc>
          <w:tcPr>
            <w:tcW w:w="0" w:type="dxa"/>
            <w:vAlign w:val="bottom"/>
          </w:tcPr>
          <w:p>
            <w:pPr>
              <w:spacing w:after="0"/>
              <w:rPr>
                <w:sz w:val="1"/>
                <w:szCs w:val="1"/>
                <w:color w:val="auto"/>
              </w:rPr>
            </w:pPr>
          </w:p>
        </w:tc>
      </w:tr>
      <w:tr>
        <w:trPr>
          <w:trHeight w:val="243"/>
        </w:trPr>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522,627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1,282,371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1,806,964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301,091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94,424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411,319</w:t>
            </w:r>
          </w:p>
        </w:tc>
        <w:tc>
          <w:tcPr>
            <w:tcW w:w="0" w:type="dxa"/>
            <w:vAlign w:val="bottom"/>
          </w:tcPr>
          <w:p>
            <w:pPr>
              <w:spacing w:after="0"/>
              <w:rPr>
                <w:sz w:val="1"/>
                <w:szCs w:val="1"/>
                <w:color w:val="auto"/>
              </w:rPr>
            </w:pPr>
          </w:p>
        </w:tc>
      </w:tr>
      <w:tr>
        <w:trPr>
          <w:trHeight w:val="243"/>
        </w:trPr>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83,631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193,461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78,444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946,928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1,633,010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2,658,387</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43,329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1,784,410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354,023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2,181,762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4,694,549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651,147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5,518,800</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and Advances to Subsidiaries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3,320,042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6,649,119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717,228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1,819,315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184,567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2,033,566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979,350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346,076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1,343,806</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3,320,047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6,994,062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10,224,552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3,886,051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(10,688,391)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13,736,321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 AND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maturities of long-term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35,748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69,928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507,903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363,974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999,517</w:t>
            </w:r>
          </w:p>
        </w:tc>
        <w:tc>
          <w:tcPr>
            <w:tcW w:w="0" w:type="dxa"/>
            <w:vAlign w:val="bottom"/>
          </w:tcPr>
          <w:p>
            <w:pPr>
              <w:spacing w:after="0"/>
              <w:rPr>
                <w:sz w:val="1"/>
                <w:szCs w:val="1"/>
                <w:color w:val="auto"/>
              </w:rPr>
            </w:pPr>
          </w:p>
        </w:tc>
      </w:tr>
      <w:tr>
        <w:trPr>
          <w:trHeight w:val="225"/>
        </w:trPr>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241,523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1,030,074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364,168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1,635,853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375,419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1,565,901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763,890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2,705,298</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6,090,487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82,394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439,358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6,612,239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and Other Noncurrent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380,453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569,409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138,960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1,088,822</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Payable</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4,187,591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726,464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9,915</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3,320,047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147,703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3,809,342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1,817,379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3,320,047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3,320,047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6,994,062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10,224,552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3,886,051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(10,688,391)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13,736,321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S-51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5" w:right="2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28, 2018</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Aramark</w:t>
            </w:r>
          </w:p>
        </w:tc>
        <w:tc>
          <w:tcPr>
            <w:tcW w:w="220" w:type="dxa"/>
            <w:vAlign w:val="bottom"/>
          </w:tcPr>
          <w:p>
            <w:pPr>
              <w:spacing w:after="0"/>
              <w:rPr>
                <w:sz w:val="13"/>
                <w:szCs w:val="13"/>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 Guarantors</w:t>
            </w:r>
          </w:p>
        </w:tc>
        <w:tc>
          <w:tcPr>
            <w:tcW w:w="22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10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215,025</w:t>
            </w:r>
          </w:p>
        </w:tc>
        <w:tc>
          <w:tcPr>
            <w:tcW w:w="0" w:type="dxa"/>
            <w:vAlign w:val="bottom"/>
          </w:tcPr>
          <w:p>
            <w:pPr>
              <w:spacing w:after="0"/>
              <w:rPr>
                <w:sz w:val="1"/>
                <w:szCs w:val="1"/>
                <w:color w:val="auto"/>
              </w:rPr>
            </w:pPr>
          </w:p>
        </w:tc>
      </w:tr>
      <w:tr>
        <w:trPr>
          <w:trHeight w:val="243"/>
        </w:trPr>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443,599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1,345,796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1,790,433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592,259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116,686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724,802</w:t>
            </w:r>
          </w:p>
        </w:tc>
        <w:tc>
          <w:tcPr>
            <w:tcW w:w="0" w:type="dxa"/>
            <w:vAlign w:val="bottom"/>
          </w:tcPr>
          <w:p>
            <w:pPr>
              <w:spacing w:after="0"/>
              <w:rPr>
                <w:sz w:val="1"/>
                <w:szCs w:val="1"/>
                <w:color w:val="auto"/>
              </w:rPr>
            </w:pPr>
          </w:p>
        </w:tc>
      </w:tr>
      <w:tr>
        <w:trPr>
          <w:trHeight w:val="243"/>
        </w:trPr>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63,654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171,165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89,022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1,151,802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1,660,596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2,901,425</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28,341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1,013,523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336,230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1,378,094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4,783,547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653,917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5,610,568</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and Advances to Subsidiaries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3,029,553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7,441,605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90,049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844,245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(11,405,452)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1,919,795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187,365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2,136,844</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1,264,976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329,443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1,693,171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3,029,558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7,862,510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10,223,692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4,011,796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(11,407,454)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13,720,102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940"/>
              <w:spacing w:after="0"/>
              <w:rPr>
                <w:sz w:val="20"/>
                <w:szCs w:val="20"/>
                <w:color w:val="auto"/>
              </w:rPr>
            </w:pPr>
            <w:r>
              <w:rPr>
                <w:rFonts w:ascii="Times New Roman" w:cs="Times New Roman" w:eastAsia="Times New Roman" w:hAnsi="Times New Roman"/>
                <w:sz w:val="18"/>
                <w:szCs w:val="18"/>
                <w:b w:val="1"/>
                <w:bCs w:val="1"/>
                <w:color w:val="auto"/>
              </w:rPr>
              <w:t>LIABILITIES AND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maturities of long-term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26,564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4,343</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30,907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406,854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1,018,920</w:t>
            </w:r>
          </w:p>
        </w:tc>
        <w:tc>
          <w:tcPr>
            <w:tcW w:w="0" w:type="dxa"/>
            <w:vAlign w:val="bottom"/>
          </w:tcPr>
          <w:p>
            <w:pPr>
              <w:spacing w:after="0"/>
              <w:rPr>
                <w:sz w:val="1"/>
                <w:szCs w:val="1"/>
                <w:color w:val="auto"/>
              </w:rPr>
            </w:pPr>
          </w:p>
        </w:tc>
      </w:tr>
      <w:tr>
        <w:trPr>
          <w:trHeight w:val="225"/>
        </w:trPr>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205,807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926,794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307,643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1,440,332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334,267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1,436,964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718,840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2,490,159</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6,651,110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82,097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479,870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7,213,077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and Other Noncurrent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432,583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466,331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78,301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977,215</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Payable</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4,827,084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955,407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(5,782,491)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10,093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3,029,558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444,550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3,401,123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1,779,378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3,029,558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3,029,558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7,862,510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10,223,692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4,011,796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(11,407,454)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13,720,102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420"/>
          </w:cols>
          <w:pgMar w:left="240" w:top="175"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September 27, 2019</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Aramark</w:t>
            </w:r>
          </w:p>
        </w:tc>
        <w:tc>
          <w:tcPr>
            <w:tcW w:w="200" w:type="dxa"/>
            <w:vAlign w:val="bottom"/>
          </w:tcPr>
          <w:p>
            <w:pPr>
              <w:spacing w:after="0"/>
              <w:rPr>
                <w:sz w:val="13"/>
                <w:szCs w:val="13"/>
                <w:color w:val="auto"/>
              </w:rPr>
            </w:pPr>
          </w:p>
        </w:tc>
        <w:tc>
          <w:tcPr>
            <w:tcW w:w="9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0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1,062,655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10,653,013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4,511,673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16,227,341</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 of services provided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981,661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9,362,232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4,188,769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14,532,662</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473,833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592,573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and general 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162,963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367,256</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 on sale of Healthcare Technologies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334,987</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Expense allocations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274,501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40,931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1,161,689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10,134,502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4,374,978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15,671,169</w:t>
            </w:r>
          </w:p>
        </w:tc>
        <w:tc>
          <w:tcPr>
            <w:tcW w:w="0" w:type="dxa"/>
            <w:vAlign w:val="bottom"/>
          </w:tcPr>
          <w:p>
            <w:pPr>
              <w:spacing w:after="0"/>
              <w:rPr>
                <w:sz w:val="1"/>
                <w:szCs w:val="1"/>
                <w:color w:val="auto"/>
              </w:rPr>
            </w:pPr>
          </w:p>
        </w:tc>
      </w:tr>
      <w:tr>
        <w:trPr>
          <w:trHeight w:val="237"/>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518,511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136,695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556,172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107,706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Net Income of Subsidiaries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448,549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448,549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409,367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448,466</w:t>
            </w:r>
          </w:p>
        </w:tc>
        <w:tc>
          <w:tcPr>
            <w:tcW w:w="0" w:type="dxa"/>
            <w:vAlign w:val="bottom"/>
          </w:tcPr>
          <w:p>
            <w:pPr>
              <w:spacing w:after="0"/>
              <w:rPr>
                <w:sz w:val="1"/>
                <w:szCs w:val="1"/>
                <w:color w:val="auto"/>
              </w:rPr>
            </w:pPr>
          </w:p>
        </w:tc>
      </w:tr>
      <w:tr>
        <w:trPr>
          <w:trHeight w:val="225"/>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Less: Net loss attributable to noncontrolling</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46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Aramark</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448,549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409,450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99,745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448,549</w:t>
            </w:r>
          </w:p>
        </w:tc>
        <w:tc>
          <w:tcPr>
            <w:tcW w:w="0" w:type="dxa"/>
            <w:vAlign w:val="bottom"/>
          </w:tcPr>
          <w:p>
            <w:pPr>
              <w:spacing w:after="0"/>
              <w:rPr>
                <w:sz w:val="1"/>
                <w:szCs w:val="1"/>
                <w:color w:val="auto"/>
              </w:rPr>
            </w:pPr>
          </w:p>
        </w:tc>
      </w:tr>
      <w:tr>
        <w:trPr>
          <w:trHeight w:val="225"/>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 net of</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tax</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193,340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460"/>
              <w:spacing w:after="0" w:line="205" w:lineRule="exact"/>
              <w:rPr>
                <w:sz w:val="20"/>
                <w:szCs w:val="20"/>
                <w:color w:val="auto"/>
              </w:rPr>
            </w:pPr>
            <w:r>
              <w:rPr>
                <w:rFonts w:ascii="Times New Roman" w:cs="Times New Roman" w:eastAsia="Times New Roman" w:hAnsi="Times New Roman"/>
                <w:sz w:val="18"/>
                <w:szCs w:val="18"/>
                <w:color w:val="auto"/>
              </w:rPr>
              <w:t>Comprehensive income (loss) attributable to</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322,807</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(131,928)</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408,897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(255,209)</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322,807</w:t>
            </w: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Aramark stockholders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S-53</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5" w:right="2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September 28, 2018</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Aramark</w:t>
            </w:r>
          </w:p>
        </w:tc>
        <w:tc>
          <w:tcPr>
            <w:tcW w:w="200" w:type="dxa"/>
            <w:vAlign w:val="bottom"/>
          </w:tcPr>
          <w:p>
            <w:pPr>
              <w:spacing w:after="0"/>
              <w:rPr>
                <w:sz w:val="13"/>
                <w:szCs w:val="13"/>
                <w:color w:val="auto"/>
              </w:rPr>
            </w:pPr>
          </w:p>
        </w:tc>
        <w:tc>
          <w:tcPr>
            <w:tcW w:w="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0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1,027,573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10,432,088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4,329,972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15,789,633</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 of services provided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848,739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9,132,991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4,016,181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13,997,911</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93,610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596,182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and general 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195,093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23,972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377,129</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329,027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346,535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Expense allocations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353,628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21,342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1,017,355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10,128,055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4,172,347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15,317,757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471,876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Net Income of Subsidiaries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567,885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567,885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13,739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447,485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107,216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568,440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Net income attributable to</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5"/>
        </w:trPr>
        <w:tc>
          <w:tcPr>
            <w:tcW w:w="3780" w:type="dxa"/>
            <w:vAlign w:val="bottom"/>
          </w:tcPr>
          <w:p>
            <w:pPr>
              <w:ind w:left="460"/>
              <w:spacing w:after="0" w:line="205"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567,885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446,930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107,216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567,885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 net of</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tax</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32,537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43,686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32,537</w:t>
            </w:r>
          </w:p>
        </w:tc>
        <w:tc>
          <w:tcPr>
            <w:tcW w:w="0" w:type="dxa"/>
            <w:vAlign w:val="bottom"/>
          </w:tcPr>
          <w:p>
            <w:pPr>
              <w:spacing w:after="0"/>
              <w:rPr>
                <w:sz w:val="1"/>
                <w:szCs w:val="1"/>
                <w:color w:val="auto"/>
              </w:rPr>
            </w:pPr>
          </w:p>
        </w:tc>
      </w:tr>
      <w:tr>
        <w:trPr>
          <w:trHeight w:val="205"/>
        </w:trPr>
        <w:tc>
          <w:tcPr>
            <w:tcW w:w="3780" w:type="dxa"/>
            <w:vAlign w:val="bottom"/>
          </w:tcPr>
          <w:p>
            <w:pPr>
              <w:ind w:left="460"/>
              <w:spacing w:after="0" w:line="205" w:lineRule="exact"/>
              <w:rPr>
                <w:sz w:val="20"/>
                <w:szCs w:val="20"/>
                <w:color w:val="auto"/>
              </w:rPr>
            </w:pPr>
            <w:r>
              <w:rPr>
                <w:rFonts w:ascii="Times New Roman" w:cs="Times New Roman" w:eastAsia="Times New Roman" w:hAnsi="Times New Roman"/>
                <w:sz w:val="18"/>
                <w:szCs w:val="18"/>
                <w:color w:val="auto"/>
              </w:rPr>
              <w:t>Comprehensive income attributable to</w:t>
            </w: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600,422</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57,425</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450,108</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70,440</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(577,973)</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600,422</w:t>
            </w:r>
          </w:p>
        </w:tc>
        <w:tc>
          <w:tcPr>
            <w:tcW w:w="0" w:type="dxa"/>
            <w:vAlign w:val="bottom"/>
          </w:tcPr>
          <w:p>
            <w:pPr>
              <w:spacing w:after="0"/>
              <w:rPr>
                <w:sz w:val="1"/>
                <w:szCs w:val="1"/>
                <w:color w:val="auto"/>
              </w:rPr>
            </w:pPr>
          </w:p>
        </w:tc>
      </w:tr>
      <w:tr>
        <w:trPr>
          <w:trHeight w:val="246"/>
        </w:trPr>
        <w:tc>
          <w:tcPr>
            <w:tcW w:w="3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Aramark stockholders</w:t>
            </w:r>
          </w:p>
        </w:tc>
        <w:tc>
          <w:tcPr>
            <w:tcW w:w="20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S-54</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5" w:right="2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September 29, 2017</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Aramark</w:t>
            </w:r>
          </w:p>
        </w:tc>
        <w:tc>
          <w:tcPr>
            <w:tcW w:w="200" w:type="dxa"/>
            <w:vAlign w:val="bottom"/>
          </w:tcPr>
          <w:p>
            <w:pPr>
              <w:spacing w:after="0"/>
              <w:rPr>
                <w:sz w:val="13"/>
                <w:szCs w:val="13"/>
                <w:color w:val="auto"/>
              </w:rPr>
            </w:pPr>
          </w:p>
        </w:tc>
        <w:tc>
          <w:tcPr>
            <w:tcW w:w="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0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1,041,490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9,708,157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3,854,765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14,604,412</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 of services provided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941,031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8,507,705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3,546,667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12,995,403</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416,979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508,212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and general 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299,170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273,405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280,985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Expense allocations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318,199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1,024,201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9,377,991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3,681,578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14,083,770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173,187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520,642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146,455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Net Income of Subsidiaries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373,923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373,923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232,022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130,015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374,187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Net income attributable to</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05"/>
        </w:trPr>
        <w:tc>
          <w:tcPr>
            <w:tcW w:w="3780" w:type="dxa"/>
            <w:vAlign w:val="bottom"/>
          </w:tcPr>
          <w:p>
            <w:pPr>
              <w:ind w:left="460"/>
              <w:spacing w:after="0" w:line="205"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373,923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231,758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373,923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57,023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80,204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57,023</w:t>
            </w:r>
          </w:p>
        </w:tc>
        <w:tc>
          <w:tcPr>
            <w:tcW w:w="0" w:type="dxa"/>
            <w:vAlign w:val="bottom"/>
          </w:tcPr>
          <w:p>
            <w:pPr>
              <w:spacing w:after="0"/>
              <w:rPr>
                <w:sz w:val="1"/>
                <w:szCs w:val="1"/>
                <w:color w:val="auto"/>
              </w:rPr>
            </w:pPr>
          </w:p>
        </w:tc>
      </w:tr>
      <w:tr>
        <w:trPr>
          <w:trHeight w:val="205"/>
        </w:trPr>
        <w:tc>
          <w:tcPr>
            <w:tcW w:w="3780" w:type="dxa"/>
            <w:vAlign w:val="bottom"/>
          </w:tcPr>
          <w:p>
            <w:pPr>
              <w:ind w:left="460"/>
              <w:spacing w:after="0" w:line="205" w:lineRule="exact"/>
              <w:rPr>
                <w:sz w:val="20"/>
                <w:szCs w:val="20"/>
                <w:color w:val="auto"/>
              </w:rPr>
            </w:pPr>
            <w:r>
              <w:rPr>
                <w:rFonts w:ascii="Times New Roman" w:cs="Times New Roman" w:eastAsia="Times New Roman" w:hAnsi="Times New Roman"/>
                <w:sz w:val="18"/>
                <w:szCs w:val="18"/>
                <w:color w:val="auto"/>
              </w:rPr>
              <w:t>Comprehensive income attributable to</w:t>
            </w: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430,946</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47,817</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232,189</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210,219</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(490,225)</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430,946</w:t>
            </w:r>
          </w:p>
        </w:tc>
        <w:tc>
          <w:tcPr>
            <w:tcW w:w="0" w:type="dxa"/>
            <w:vAlign w:val="bottom"/>
          </w:tcPr>
          <w:p>
            <w:pPr>
              <w:spacing w:after="0"/>
              <w:rPr>
                <w:sz w:val="1"/>
                <w:szCs w:val="1"/>
                <w:color w:val="auto"/>
              </w:rPr>
            </w:pPr>
          </w:p>
        </w:tc>
      </w:tr>
      <w:tr>
        <w:trPr>
          <w:trHeight w:val="246"/>
        </w:trPr>
        <w:tc>
          <w:tcPr>
            <w:tcW w:w="3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Aramark stockholders</w:t>
            </w:r>
          </w:p>
        </w:tc>
        <w:tc>
          <w:tcPr>
            <w:tcW w:w="20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1420"/>
          </w:cols>
          <w:pgMar w:left="240" w:top="175"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September 27, 2019</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Aramark</w:t>
            </w:r>
          </w:p>
        </w:tc>
        <w:tc>
          <w:tcPr>
            <w:tcW w:w="240" w:type="dxa"/>
            <w:vAlign w:val="bottom"/>
          </w:tcPr>
          <w:p>
            <w:pPr>
              <w:spacing w:after="0"/>
              <w:rPr>
                <w:sz w:val="13"/>
                <w:szCs w:val="13"/>
                <w:color w:val="auto"/>
              </w:rPr>
            </w:pPr>
          </w:p>
        </w:tc>
        <w:tc>
          <w:tcPr>
            <w:tcW w:w="8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0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757,832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290,539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984,227</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property and equipment and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(503,090)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Disposals of property and equipment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17,871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divestiture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293,711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293,711</w:t>
            </w:r>
          </w:p>
        </w:tc>
        <w:tc>
          <w:tcPr>
            <w:tcW w:w="0" w:type="dxa"/>
            <w:vAlign w:val="bottom"/>
          </w:tcPr>
          <w:p>
            <w:pPr>
              <w:spacing w:after="0"/>
              <w:rPr>
                <w:sz w:val="1"/>
                <w:szCs w:val="1"/>
                <w:color w:val="auto"/>
              </w:rPr>
            </w:pPr>
          </w:p>
        </w:tc>
      </w:tr>
      <w:tr>
        <w:trPr>
          <w:trHeight w:val="225"/>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Acquisitions of businesses, net of cash</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acquired</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government agencies related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 property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23,025</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3,825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(209,521)</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77,630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Payments of long-term borrowings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Payments of dividends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(108,439)</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39,087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intercompany, net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737,363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35,897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(734,892)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foreign exchange rates on cash and cash</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10,700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38,124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31,618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50,716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134,460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215,025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33,510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40,544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172,584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246,643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S-56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5" w:right="2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September 28, 2018</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Aramark</w:t>
            </w:r>
          </w:p>
        </w:tc>
        <w:tc>
          <w:tcPr>
            <w:tcW w:w="180" w:type="dxa"/>
            <w:vAlign w:val="bottom"/>
          </w:tcPr>
          <w:p>
            <w:pPr>
              <w:spacing w:after="0"/>
              <w:rPr>
                <w:sz w:val="13"/>
                <w:szCs w:val="13"/>
                <w:color w:val="auto"/>
              </w:rPr>
            </w:pPr>
          </w:p>
        </w:tc>
        <w:tc>
          <w:tcPr>
            <w:tcW w:w="9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 Guarantors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111,541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690,218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315,703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1,051,875</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property and equipment other</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(628,604)</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Disposals of property and equipment</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10,491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Acquisitions of businesses, net of cash</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acquired</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(2,381,800)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244,581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(2,240,284)</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(2,395,776)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(2,865,276)</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3,012,072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3,177,313</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Payments of long-term borrowings</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(973,689)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change in funding under the Receivables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Facility</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(254,200)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Payments of dividends</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21,507</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(49,253)</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intercompany, net</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65,587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2,223,439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65,587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1,794,153</w:t>
            </w:r>
          </w:p>
        </w:tc>
        <w:tc>
          <w:tcPr>
            <w:tcW w:w="0" w:type="dxa"/>
            <w:vAlign w:val="bottom"/>
          </w:tcPr>
          <w:p>
            <w:pPr>
              <w:spacing w:after="0"/>
              <w:rPr>
                <w:sz w:val="1"/>
                <w:szCs w:val="1"/>
                <w:color w:val="auto"/>
              </w:rPr>
            </w:pPr>
          </w:p>
        </w:tc>
      </w:tr>
      <w:tr>
        <w:trPr>
          <w:trHeight w:val="205"/>
        </w:trPr>
        <w:tc>
          <w:tcPr>
            <w:tcW w:w="37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foreign exchange rates on cash and cash</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37,513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238,797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50,716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215,025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S-57</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5" w:right="2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September 29, 2017</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Aramark</w:t>
            </w:r>
          </w:p>
        </w:tc>
        <w:tc>
          <w:tcPr>
            <w:tcW w:w="240" w:type="dxa"/>
            <w:vAlign w:val="bottom"/>
          </w:tcPr>
          <w:p>
            <w:pPr>
              <w:spacing w:after="0"/>
              <w:rPr>
                <w:sz w:val="13"/>
                <w:szCs w:val="13"/>
                <w:color w:val="auto"/>
              </w:rPr>
            </w:pPr>
          </w:p>
        </w:tc>
        <w:tc>
          <w:tcPr>
            <w:tcW w:w="10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0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261,282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779,801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200,018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1,052,826</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property and equipment and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(552,729)</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Disposals of property and equipment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18,906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Acquisitions of businesses, net of cash</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acquired</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(142,122)</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(678,484)</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3,451,164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400,253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3,851,417</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Payments of long-term borrowings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(3,572,268)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(3,911,992)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change in funding under the Receivables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Facility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Payments of dividends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28,779</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(42,277)</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intercompany, net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254,536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188,275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(288,686)</w:t>
            </w:r>
          </w:p>
        </w:tc>
        <w:tc>
          <w:tcPr>
            <w:tcW w:w="0" w:type="dxa"/>
            <w:vAlign w:val="bottom"/>
          </w:tcPr>
          <w:p>
            <w:pPr>
              <w:spacing w:after="0"/>
              <w:rPr>
                <w:sz w:val="1"/>
                <w:szCs w:val="1"/>
                <w:color w:val="auto"/>
              </w:rPr>
            </w:pPr>
          </w:p>
        </w:tc>
      </w:tr>
      <w:tr>
        <w:trPr>
          <w:trHeight w:val="205"/>
        </w:trPr>
        <w:tc>
          <w:tcPr>
            <w:tcW w:w="37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foreign exchange rates on cash and cash</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equivalents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86,217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47,850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73,381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152,580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111,512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89,767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238,797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S-58</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5" w:right="2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 AND RESERVES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27, 2019, SEPTEMBER 28, 2018 AND SEPTEMBER 29, 2017</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Deductions from</w:t>
            </w:r>
          </w:p>
        </w:tc>
        <w:tc>
          <w:tcPr>
            <w:tcW w:w="120" w:type="dxa"/>
            <w:vAlign w:val="bottom"/>
          </w:tcPr>
          <w:p>
            <w:pPr>
              <w:spacing w:after="0"/>
              <w:rPr>
                <w:sz w:val="11"/>
                <w:szCs w:val="11"/>
                <w:color w:val="auto"/>
              </w:rPr>
            </w:pPr>
          </w:p>
        </w:tc>
        <w:tc>
          <w:tcPr>
            <w:tcW w:w="11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Balance, End of</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Charged to Income</w:t>
            </w: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Reserves</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6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2019</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doubtful accounts, advances &amp; current notes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52,682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21,821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20"/>
                <w:szCs w:val="20"/>
                <w:color w:val="auto"/>
              </w:rPr>
              <w:t>24,937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20"/>
                <w:szCs w:val="20"/>
                <w:color w:val="auto"/>
              </w:rPr>
              <w:t>49,566</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2018</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doubtful accounts, advances &amp; current notes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53,416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22,009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20"/>
                <w:szCs w:val="20"/>
                <w:color w:val="auto"/>
              </w:rPr>
              <w:t>22,743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20"/>
                <w:szCs w:val="20"/>
                <w:color w:val="auto"/>
              </w:rPr>
              <w:t>52,682</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2017</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doubtful accounts, advances &amp; current notes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48,058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18,141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0"/>
                <w:szCs w:val="20"/>
                <w:color w:val="auto"/>
              </w:rPr>
              <w:t>12,783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0"/>
                <w:szCs w:val="20"/>
                <w:color w:val="auto"/>
              </w:rPr>
              <w:t>53,416</w:t>
            </w:r>
          </w:p>
        </w:tc>
        <w:tc>
          <w:tcPr>
            <w:tcW w:w="0" w:type="dxa"/>
            <w:vAlign w:val="bottom"/>
          </w:tcPr>
          <w:p>
            <w:pPr>
              <w:spacing w:after="0"/>
              <w:rPr>
                <w:sz w:val="1"/>
                <w:szCs w:val="1"/>
                <w:color w:val="auto"/>
              </w:rPr>
            </w:pPr>
          </w:p>
        </w:tc>
      </w:tr>
      <w:tr>
        <w:trPr>
          <w:trHeight w:val="21"/>
        </w:trPr>
        <w:tc>
          <w:tcPr>
            <w:tcW w:w="6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420" w:hanging="351"/>
        <w:spacing w:after="0"/>
        <w:tabs>
          <w:tab w:leader="none" w:pos="420" w:val="left"/>
        </w:tabs>
        <w:numPr>
          <w:ilvl w:val="0"/>
          <w:numId w:val="6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Amounts determined not to be collectible and charged against the reserve and translation.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S-59</w:t>
      </w:r>
    </w:p>
    <w:p>
      <w:pPr>
        <w:sectPr>
          <w:pgSz w:w="11900" w:h="16838" w:orient="portrait"/>
          <w:cols w:equalWidth="0" w:num="1">
            <w:col w:w="11420"/>
          </w:cols>
          <w:pgMar w:left="240" w:top="175" w:right="2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Copies of any of the following exhibits are available to Stockholders for the cost of reproduction upon written request to the Secretary, Aramark, 2400 Market Street, Philadelphia, PA 19103.</w:t>
      </w:r>
    </w:p>
    <w:p>
      <w:pPr>
        <w:spacing w:after="0" w:line="295" w:lineRule="exact"/>
        <w:rPr>
          <w:sz w:val="20"/>
          <w:szCs w:val="20"/>
          <w:color w:val="auto"/>
        </w:rPr>
      </w:pPr>
    </w:p>
    <w:p>
      <w:pPr>
        <w:ind w:left="520"/>
        <w:spacing w:after="0"/>
        <w:tabs>
          <w:tab w:leader="none" w:pos="600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237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35" w:lineRule="exact"/>
        <w:rPr>
          <w:sz w:val="20"/>
          <w:szCs w:val="20"/>
          <w:color w:val="auto"/>
        </w:rPr>
      </w:pPr>
    </w:p>
    <w:p>
      <w:pPr>
        <w:ind w:left="1300" w:right="100" w:hanging="47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13">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u w:val="single" w:color="auto"/>
          <w:color w:val="0000FF"/>
        </w:rPr>
        <w:tab/>
      </w:r>
      <w:hyperlink r:id="rId13">
        <w:r>
          <w:rPr>
            <w:rFonts w:ascii="Times New Roman" w:cs="Times New Roman" w:eastAsia="Times New Roman" w:hAnsi="Times New Roman"/>
            <w:sz w:val="18"/>
            <w:szCs w:val="18"/>
            <w:u w:val="single" w:color="auto"/>
            <w:color w:val="0000FF"/>
          </w:rPr>
          <w:t>Agreement and Plan of Merger, dated October 13, 2017, by and among Avendra LLC, Aramark, Capital Merger Sub, LLC, and Marriott</w:t>
        </w:r>
      </w:hyperlink>
      <w:r>
        <w:rPr>
          <w:rFonts w:ascii="Times New Roman" w:cs="Times New Roman" w:eastAsia="Times New Roman" w:hAnsi="Times New Roman"/>
          <w:sz w:val="18"/>
          <w:szCs w:val="18"/>
          <w:u w:val="single" w:color="auto"/>
          <w:color w:val="0000FF"/>
        </w:rPr>
        <w:t xml:space="preserve"> </w:t>
      </w:r>
      <w:hyperlink r:id="rId13">
        <w:r>
          <w:rPr>
            <w:rFonts w:ascii="Times New Roman" w:cs="Times New Roman" w:eastAsia="Times New Roman" w:hAnsi="Times New Roman"/>
            <w:sz w:val="18"/>
            <w:szCs w:val="18"/>
            <w:u w:val="single" w:color="auto"/>
            <w:color w:val="0000FF"/>
          </w:rPr>
          <w:t>International, Inc., as Holder Representative (incorporated by reference to Exhibit 2.1 to Aramark's Current Report on Form 8-K filed with</w:t>
        </w:r>
      </w:hyperlink>
      <w:r>
        <w:rPr>
          <w:rFonts w:ascii="Times New Roman" w:cs="Times New Roman" w:eastAsia="Times New Roman" w:hAnsi="Times New Roman"/>
          <w:sz w:val="18"/>
          <w:szCs w:val="18"/>
          <w:u w:val="single" w:color="auto"/>
          <w:color w:val="0000FF"/>
        </w:rPr>
        <w:t xml:space="preserve"> </w:t>
      </w:r>
      <w:hyperlink r:id="rId13">
        <w:r>
          <w:rPr>
            <w:rFonts w:ascii="Times New Roman" w:cs="Times New Roman" w:eastAsia="Times New Roman" w:hAnsi="Times New Roman"/>
            <w:sz w:val="18"/>
            <w:szCs w:val="18"/>
            <w:u w:val="single" w:color="auto"/>
            <w:color w:val="0000FF"/>
          </w:rPr>
          <w:t>the SEC on October 16, 2017, pursuant to the Exchange Act (file number 001-36223)).</w:t>
        </w:r>
      </w:hyperlink>
    </w:p>
    <w:p>
      <w:pPr>
        <w:spacing w:after="0" w:line="14" w:lineRule="exact"/>
        <w:rPr>
          <w:rFonts w:ascii="Times New Roman" w:cs="Times New Roman" w:eastAsia="Times New Roman" w:hAnsi="Times New Roman"/>
          <w:sz w:val="18"/>
          <w:szCs w:val="18"/>
          <w:u w:val="single" w:color="auto"/>
          <w:color w:val="0000FF"/>
        </w:rPr>
      </w:pPr>
    </w:p>
    <w:p>
      <w:pPr>
        <w:ind w:left="1300" w:right="20" w:hanging="47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14">
        <w:r>
          <w:rPr>
            <w:rFonts w:ascii="Times New Roman" w:cs="Times New Roman" w:eastAsia="Times New Roman" w:hAnsi="Times New Roman"/>
            <w:sz w:val="18"/>
            <w:szCs w:val="18"/>
            <w:u w:val="single" w:color="auto"/>
            <w:color w:val="0000FF"/>
          </w:rPr>
          <w:t>2.2#</w:t>
        </w:r>
      </w:hyperlink>
      <w:r>
        <w:rPr>
          <w:rFonts w:ascii="Times New Roman" w:cs="Times New Roman" w:eastAsia="Times New Roman" w:hAnsi="Times New Roman"/>
          <w:sz w:val="18"/>
          <w:szCs w:val="18"/>
          <w:u w:val="single" w:color="auto"/>
          <w:color w:val="0000FF"/>
        </w:rPr>
        <w:tab/>
      </w:r>
      <w:hyperlink r:id="rId14">
        <w:r>
          <w:rPr>
            <w:rFonts w:ascii="Times New Roman" w:cs="Times New Roman" w:eastAsia="Times New Roman" w:hAnsi="Times New Roman"/>
            <w:sz w:val="18"/>
            <w:szCs w:val="18"/>
            <w:u w:val="single" w:color="auto"/>
            <w:color w:val="0000FF"/>
          </w:rPr>
          <w:t>Agreement and Plan of Merger, dated October 13, 2017, by and among AmeriPride Services Inc., Aramark, Timberwolf Acquisition</w:t>
        </w:r>
      </w:hyperlink>
      <w:r>
        <w:rPr>
          <w:rFonts w:ascii="Times New Roman" w:cs="Times New Roman" w:eastAsia="Times New Roman" w:hAnsi="Times New Roman"/>
          <w:sz w:val="18"/>
          <w:szCs w:val="18"/>
          <w:u w:val="single" w:color="auto"/>
          <w:color w:val="0000FF"/>
        </w:rPr>
        <w:t xml:space="preserve"> </w:t>
      </w:r>
      <w:hyperlink r:id="rId14">
        <w:r>
          <w:rPr>
            <w:rFonts w:ascii="Times New Roman" w:cs="Times New Roman" w:eastAsia="Times New Roman" w:hAnsi="Times New Roman"/>
            <w:sz w:val="18"/>
            <w:szCs w:val="18"/>
            <w:u w:val="single" w:color="auto"/>
            <w:color w:val="0000FF"/>
          </w:rPr>
          <w:t>Corporation, and Bruce M. Steiner, as Stockholder Representative (incorporated by reference to Exhibit 2.2 to Aramark's Current Report on</w:t>
        </w:r>
      </w:hyperlink>
      <w:r>
        <w:rPr>
          <w:rFonts w:ascii="Times New Roman" w:cs="Times New Roman" w:eastAsia="Times New Roman" w:hAnsi="Times New Roman"/>
          <w:sz w:val="18"/>
          <w:szCs w:val="18"/>
          <w:u w:val="single" w:color="auto"/>
          <w:color w:val="0000FF"/>
        </w:rPr>
        <w:t xml:space="preserve"> </w:t>
      </w:r>
      <w:hyperlink r:id="rId14">
        <w:r>
          <w:rPr>
            <w:rFonts w:ascii="Times New Roman" w:cs="Times New Roman" w:eastAsia="Times New Roman" w:hAnsi="Times New Roman"/>
            <w:sz w:val="18"/>
            <w:szCs w:val="18"/>
            <w:u w:val="single" w:color="auto"/>
            <w:color w:val="0000FF"/>
          </w:rPr>
          <w:t>Form 8-K filed with the SEC on October 16, 2017, pursuant to the Exchange Act (file number 001-36223)).</w:t>
        </w:r>
      </w:hyperlink>
    </w:p>
    <w:p>
      <w:pPr>
        <w:spacing w:after="0" w:line="14" w:lineRule="exact"/>
        <w:rPr>
          <w:rFonts w:ascii="Times New Roman" w:cs="Times New Roman" w:eastAsia="Times New Roman" w:hAnsi="Times New Roman"/>
          <w:sz w:val="18"/>
          <w:szCs w:val="18"/>
          <w:u w:val="single" w:color="auto"/>
          <w:color w:val="0000FF"/>
        </w:rPr>
      </w:pPr>
    </w:p>
    <w:p>
      <w:pPr>
        <w:ind w:left="1300" w:right="200" w:hanging="38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15">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15">
        <w:r>
          <w:rPr>
            <w:rFonts w:ascii="Times New Roman" w:cs="Times New Roman" w:eastAsia="Times New Roman" w:hAnsi="Times New Roman"/>
            <w:sz w:val="18"/>
            <w:szCs w:val="18"/>
            <w:u w:val="single" w:color="auto"/>
            <w:color w:val="0000FF"/>
          </w:rPr>
          <w:t>Amended and Restated Certificate of Incorporation of Aramark (incorporated by reference to Exhibit 3.1 to Aramark’s Current Report on</w:t>
        </w:r>
      </w:hyperlink>
      <w:r>
        <w:rPr>
          <w:rFonts w:ascii="Times New Roman" w:cs="Times New Roman" w:eastAsia="Times New Roman" w:hAnsi="Times New Roman"/>
          <w:sz w:val="18"/>
          <w:szCs w:val="18"/>
          <w:u w:val="single" w:color="auto"/>
          <w:color w:val="0000FF"/>
        </w:rPr>
        <w:t xml:space="preserve"> </w:t>
      </w:r>
      <w:hyperlink r:id="rId15">
        <w:r>
          <w:rPr>
            <w:rFonts w:ascii="Times New Roman" w:cs="Times New Roman" w:eastAsia="Times New Roman" w:hAnsi="Times New Roman"/>
            <w:sz w:val="18"/>
            <w:szCs w:val="18"/>
            <w:u w:val="single" w:color="auto"/>
            <w:color w:val="0000FF"/>
          </w:rPr>
          <w:t>Form 8-K filed with the SEC on December 16, 2013,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340" w:hanging="38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16">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16">
        <w:r>
          <w:rPr>
            <w:rFonts w:ascii="Times New Roman" w:cs="Times New Roman" w:eastAsia="Times New Roman" w:hAnsi="Times New Roman"/>
            <w:sz w:val="18"/>
            <w:szCs w:val="18"/>
            <w:u w:val="single" w:color="auto"/>
            <w:color w:val="0000FF"/>
          </w:rPr>
          <w:t>Certificate of Ownership and Merger (incorporated by reference to Exhibit 3.1 to Aramark’s Current Report on Form 8-K filed with the</w:t>
        </w:r>
      </w:hyperlink>
      <w:r>
        <w:rPr>
          <w:rFonts w:ascii="Times New Roman" w:cs="Times New Roman" w:eastAsia="Times New Roman" w:hAnsi="Times New Roman"/>
          <w:sz w:val="18"/>
          <w:szCs w:val="18"/>
          <w:u w:val="single" w:color="auto"/>
          <w:color w:val="0000FF"/>
        </w:rPr>
        <w:t xml:space="preserve"> </w:t>
      </w:r>
      <w:hyperlink r:id="rId16">
        <w:r>
          <w:rPr>
            <w:rFonts w:ascii="Times New Roman" w:cs="Times New Roman" w:eastAsia="Times New Roman" w:hAnsi="Times New Roman"/>
            <w:sz w:val="18"/>
            <w:szCs w:val="18"/>
            <w:u w:val="single" w:color="auto"/>
            <w:color w:val="0000FF"/>
          </w:rPr>
          <w:t>SEC on May 15, 2014,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240" w:hanging="38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17">
        <w:r>
          <w:rPr>
            <w:rFonts w:ascii="Times New Roman" w:cs="Times New Roman" w:eastAsia="Times New Roman" w:hAnsi="Times New Roman"/>
            <w:sz w:val="18"/>
            <w:szCs w:val="18"/>
            <w:u w:val="single" w:color="auto"/>
            <w:color w:val="0000FF"/>
          </w:rPr>
          <w:t>3.3</w:t>
        </w:r>
      </w:hyperlink>
      <w:r>
        <w:rPr>
          <w:rFonts w:ascii="Times New Roman" w:cs="Times New Roman" w:eastAsia="Times New Roman" w:hAnsi="Times New Roman"/>
          <w:sz w:val="18"/>
          <w:szCs w:val="18"/>
          <w:u w:val="single" w:color="auto"/>
          <w:color w:val="0000FF"/>
        </w:rPr>
        <w:tab/>
      </w:r>
      <w:hyperlink r:id="rId17">
        <w:r>
          <w:rPr>
            <w:rFonts w:ascii="Times New Roman" w:cs="Times New Roman" w:eastAsia="Times New Roman" w:hAnsi="Times New Roman"/>
            <w:sz w:val="18"/>
            <w:szCs w:val="18"/>
            <w:u w:val="single" w:color="auto"/>
            <w:color w:val="0000FF"/>
          </w:rPr>
          <w:t>Second Amended and Restated By-laws of Aramark (incorporated by reference to Exhibit 3.1 to Aramark’s Current Report on Form 8-K</w:t>
        </w:r>
      </w:hyperlink>
      <w:r>
        <w:rPr>
          <w:rFonts w:ascii="Times New Roman" w:cs="Times New Roman" w:eastAsia="Times New Roman" w:hAnsi="Times New Roman"/>
          <w:sz w:val="18"/>
          <w:szCs w:val="18"/>
          <w:u w:val="single" w:color="auto"/>
          <w:color w:val="0000FF"/>
        </w:rPr>
        <w:t xml:space="preserve"> </w:t>
      </w:r>
      <w:hyperlink r:id="rId17">
        <w:r>
          <w:rPr>
            <w:rFonts w:ascii="Times New Roman" w:cs="Times New Roman" w:eastAsia="Times New Roman" w:hAnsi="Times New Roman"/>
            <w:sz w:val="18"/>
            <w:szCs w:val="18"/>
            <w:u w:val="single" w:color="auto"/>
            <w:color w:val="0000FF"/>
          </w:rPr>
          <w:t>filed with the SEC on October 7, 2019,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340" w:hanging="38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18">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18">
        <w:r>
          <w:rPr>
            <w:rFonts w:ascii="Times New Roman" w:cs="Times New Roman" w:eastAsia="Times New Roman" w:hAnsi="Times New Roman"/>
            <w:sz w:val="18"/>
            <w:szCs w:val="18"/>
            <w:u w:val="single" w:color="auto"/>
            <w:color w:val="0000FF"/>
          </w:rPr>
          <w:t>Indenture, dated as of December 17, 2015, among Aramark Services, Inc., as issuer, Aramark, as parent guarantor, the subsidiary</w:t>
        </w:r>
      </w:hyperlink>
      <w:r>
        <w:rPr>
          <w:rFonts w:ascii="Times New Roman" w:cs="Times New Roman" w:eastAsia="Times New Roman" w:hAnsi="Times New Roman"/>
          <w:sz w:val="18"/>
          <w:szCs w:val="18"/>
          <w:u w:val="single" w:color="auto"/>
          <w:color w:val="0000FF"/>
        </w:rPr>
        <w:t xml:space="preserve"> </w:t>
      </w:r>
      <w:hyperlink r:id="rId18">
        <w:r>
          <w:rPr>
            <w:rFonts w:ascii="Times New Roman" w:cs="Times New Roman" w:eastAsia="Times New Roman" w:hAnsi="Times New Roman"/>
            <w:sz w:val="18"/>
            <w:szCs w:val="18"/>
            <w:u w:val="single" w:color="auto"/>
            <w:color w:val="0000FF"/>
          </w:rPr>
          <w:t>guarantors named therein and The Bank of New York Mellon, as trustee (incorporated by reference to Exhibit 4.1 of Aramark’s Current</w:t>
        </w:r>
      </w:hyperlink>
      <w:r>
        <w:rPr>
          <w:rFonts w:ascii="Times New Roman" w:cs="Times New Roman" w:eastAsia="Times New Roman" w:hAnsi="Times New Roman"/>
          <w:sz w:val="18"/>
          <w:szCs w:val="18"/>
          <w:u w:val="single" w:color="auto"/>
          <w:color w:val="0000FF"/>
        </w:rPr>
        <w:t xml:space="preserve"> </w:t>
      </w:r>
      <w:hyperlink r:id="rId18">
        <w:r>
          <w:rPr>
            <w:rFonts w:ascii="Times New Roman" w:cs="Times New Roman" w:eastAsia="Times New Roman" w:hAnsi="Times New Roman"/>
            <w:sz w:val="18"/>
            <w:szCs w:val="18"/>
            <w:u w:val="single" w:color="auto"/>
            <w:color w:val="0000FF"/>
          </w:rPr>
          <w:t>Report on Form 8-K filed with the SEC on December 17, 2015, pursuant to the Exchange Act (file number 001-36223)).</w:t>
        </w:r>
      </w:hyperlink>
    </w:p>
    <w:p>
      <w:pPr>
        <w:spacing w:after="0" w:line="14" w:lineRule="exact"/>
        <w:rPr>
          <w:rFonts w:ascii="Times New Roman" w:cs="Times New Roman" w:eastAsia="Times New Roman" w:hAnsi="Times New Roman"/>
          <w:sz w:val="18"/>
          <w:szCs w:val="18"/>
          <w:u w:val="single" w:color="auto"/>
          <w:color w:val="0000FF"/>
        </w:rPr>
      </w:pPr>
    </w:p>
    <w:p>
      <w:pPr>
        <w:ind w:left="1300" w:right="180" w:hanging="38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19">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u w:val="single" w:color="auto"/>
          <w:color w:val="0000FF"/>
        </w:rPr>
        <w:tab/>
      </w:r>
      <w:hyperlink r:id="rId19">
        <w:r>
          <w:rPr>
            <w:rFonts w:ascii="Times New Roman" w:cs="Times New Roman" w:eastAsia="Times New Roman" w:hAnsi="Times New Roman"/>
            <w:sz w:val="18"/>
            <w:szCs w:val="18"/>
            <w:u w:val="single" w:color="auto"/>
            <w:color w:val="0000FF"/>
          </w:rPr>
          <w:t>Supplemental Indenture, dated as of May 31, 2016, among Aramark Services, Inc., as issuer, Aramark, as parent guarantor, the subsidiary</w:t>
        </w:r>
      </w:hyperlink>
      <w:r>
        <w:rPr>
          <w:rFonts w:ascii="Times New Roman" w:cs="Times New Roman" w:eastAsia="Times New Roman" w:hAnsi="Times New Roman"/>
          <w:sz w:val="18"/>
          <w:szCs w:val="18"/>
          <w:u w:val="single" w:color="auto"/>
          <w:color w:val="0000FF"/>
        </w:rPr>
        <w:t xml:space="preserve"> </w:t>
      </w:r>
      <w:hyperlink r:id="rId19">
        <w:r>
          <w:rPr>
            <w:rFonts w:ascii="Times New Roman" w:cs="Times New Roman" w:eastAsia="Times New Roman" w:hAnsi="Times New Roman"/>
            <w:sz w:val="18"/>
            <w:szCs w:val="18"/>
            <w:u w:val="single" w:color="auto"/>
            <w:color w:val="0000FF"/>
          </w:rPr>
          <w:t>guarantors named therein and The Bank of New York Mellon, as trustee (incorporated by reference to Exhibit 4.2 of Aramark’s Current</w:t>
        </w:r>
      </w:hyperlink>
      <w:r>
        <w:rPr>
          <w:rFonts w:ascii="Times New Roman" w:cs="Times New Roman" w:eastAsia="Times New Roman" w:hAnsi="Times New Roman"/>
          <w:sz w:val="18"/>
          <w:szCs w:val="18"/>
          <w:u w:val="single" w:color="auto"/>
          <w:color w:val="0000FF"/>
        </w:rPr>
        <w:t xml:space="preserve"> </w:t>
      </w:r>
      <w:hyperlink r:id="rId19">
        <w:r>
          <w:rPr>
            <w:rFonts w:ascii="Times New Roman" w:cs="Times New Roman" w:eastAsia="Times New Roman" w:hAnsi="Times New Roman"/>
            <w:sz w:val="18"/>
            <w:szCs w:val="18"/>
            <w:u w:val="single" w:color="auto"/>
            <w:color w:val="0000FF"/>
          </w:rPr>
          <w:t>Report on Form 8-K filed with the SEC on June 6, 2016, pursuant to the Exchange Act (file number 001-36223)).</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300" w:right="380" w:hanging="38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20">
        <w:r>
          <w:rPr>
            <w:rFonts w:ascii="Times New Roman" w:cs="Times New Roman" w:eastAsia="Times New Roman" w:hAnsi="Times New Roman"/>
            <w:sz w:val="18"/>
            <w:szCs w:val="18"/>
            <w:u w:val="single" w:color="auto"/>
            <w:color w:val="0000FF"/>
          </w:rPr>
          <w:t>4.3</w:t>
        </w:r>
      </w:hyperlink>
      <w:r>
        <w:rPr>
          <w:rFonts w:ascii="Times New Roman" w:cs="Times New Roman" w:eastAsia="Times New Roman" w:hAnsi="Times New Roman"/>
          <w:sz w:val="18"/>
          <w:szCs w:val="18"/>
          <w:u w:val="single" w:color="auto"/>
          <w:color w:val="0000FF"/>
        </w:rPr>
        <w:tab/>
      </w:r>
      <w:hyperlink r:id="rId20">
        <w:r>
          <w:rPr>
            <w:rFonts w:ascii="Times New Roman" w:cs="Times New Roman" w:eastAsia="Times New Roman" w:hAnsi="Times New Roman"/>
            <w:sz w:val="18"/>
            <w:szCs w:val="18"/>
            <w:u w:val="single" w:color="auto"/>
            <w:color w:val="0000FF"/>
          </w:rPr>
          <w:t>Indenture, dated as of May 31, 2016, among Aramark Services, Inc., as issuer, Aramark, as parent guarantor, the subsidiary guarantors</w:t>
        </w:r>
      </w:hyperlink>
      <w:r>
        <w:rPr>
          <w:rFonts w:ascii="Times New Roman" w:cs="Times New Roman" w:eastAsia="Times New Roman" w:hAnsi="Times New Roman"/>
          <w:sz w:val="18"/>
          <w:szCs w:val="18"/>
          <w:u w:val="single" w:color="auto"/>
          <w:color w:val="0000FF"/>
        </w:rPr>
        <w:t xml:space="preserve"> </w:t>
      </w:r>
      <w:hyperlink r:id="rId20">
        <w:r>
          <w:rPr>
            <w:rFonts w:ascii="Times New Roman" w:cs="Times New Roman" w:eastAsia="Times New Roman" w:hAnsi="Times New Roman"/>
            <w:sz w:val="18"/>
            <w:szCs w:val="18"/>
            <w:u w:val="single" w:color="auto"/>
            <w:color w:val="0000FF"/>
          </w:rPr>
          <w:t>named therein and The Bank of New York Mellon, as trustee (incorporated by reference to Exhibit 4.3 of Aramark’s Current Report on</w:t>
        </w:r>
      </w:hyperlink>
      <w:r>
        <w:rPr>
          <w:rFonts w:ascii="Times New Roman" w:cs="Times New Roman" w:eastAsia="Times New Roman" w:hAnsi="Times New Roman"/>
          <w:sz w:val="18"/>
          <w:szCs w:val="18"/>
          <w:u w:val="single" w:color="auto"/>
          <w:color w:val="0000FF"/>
        </w:rPr>
        <w:t xml:space="preserve"> </w:t>
      </w:r>
      <w:hyperlink r:id="rId20">
        <w:r>
          <w:rPr>
            <w:rFonts w:ascii="Times New Roman" w:cs="Times New Roman" w:eastAsia="Times New Roman" w:hAnsi="Times New Roman"/>
            <w:sz w:val="18"/>
            <w:szCs w:val="18"/>
            <w:u w:val="single" w:color="auto"/>
            <w:color w:val="0000FF"/>
          </w:rPr>
          <w:t>Form 8-K filed with the SEC on June 6, 2016, pursuant to the Exchange Act (file number 001-36223)).</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300" w:right="320" w:hanging="38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21">
        <w:r>
          <w:rPr>
            <w:rFonts w:ascii="Times New Roman" w:cs="Times New Roman" w:eastAsia="Times New Roman" w:hAnsi="Times New Roman"/>
            <w:sz w:val="18"/>
            <w:szCs w:val="18"/>
            <w:u w:val="single" w:color="auto"/>
            <w:color w:val="0000FF"/>
          </w:rPr>
          <w:t>4.4</w:t>
        </w:r>
      </w:hyperlink>
      <w:r>
        <w:rPr>
          <w:rFonts w:ascii="Times New Roman" w:cs="Times New Roman" w:eastAsia="Times New Roman" w:hAnsi="Times New Roman"/>
          <w:sz w:val="18"/>
          <w:szCs w:val="18"/>
          <w:u w:val="single" w:color="auto"/>
          <w:color w:val="0000FF"/>
        </w:rPr>
        <w:tab/>
      </w:r>
      <w:hyperlink r:id="rId21">
        <w:r>
          <w:rPr>
            <w:rFonts w:ascii="Times New Roman" w:cs="Times New Roman" w:eastAsia="Times New Roman" w:hAnsi="Times New Roman"/>
            <w:sz w:val="18"/>
            <w:szCs w:val="18"/>
            <w:u w:val="single" w:color="auto"/>
            <w:color w:val="0000FF"/>
          </w:rPr>
          <w:t>Indenture dated as of March 22, 2017, among Aramark Services, Inc., as issuer, Aramark, as parent guarantor, the subsidiary guarantors</w:t>
        </w:r>
      </w:hyperlink>
      <w:r>
        <w:rPr>
          <w:rFonts w:ascii="Times New Roman" w:cs="Times New Roman" w:eastAsia="Times New Roman" w:hAnsi="Times New Roman"/>
          <w:sz w:val="18"/>
          <w:szCs w:val="18"/>
          <w:u w:val="single" w:color="auto"/>
          <w:color w:val="0000FF"/>
        </w:rPr>
        <w:t xml:space="preserve"> </w:t>
      </w:r>
      <w:hyperlink r:id="rId21">
        <w:r>
          <w:rPr>
            <w:rFonts w:ascii="Times New Roman" w:cs="Times New Roman" w:eastAsia="Times New Roman" w:hAnsi="Times New Roman"/>
            <w:sz w:val="18"/>
            <w:szCs w:val="18"/>
            <w:u w:val="single" w:color="auto"/>
            <w:color w:val="0000FF"/>
          </w:rPr>
          <w:t>named therein and The Bank of New York Mellon, as trustee (incorporated by reference to Exhibit 4.1 of Aramark's Current Report on</w:t>
        </w:r>
      </w:hyperlink>
      <w:r>
        <w:rPr>
          <w:rFonts w:ascii="Times New Roman" w:cs="Times New Roman" w:eastAsia="Times New Roman" w:hAnsi="Times New Roman"/>
          <w:sz w:val="18"/>
          <w:szCs w:val="18"/>
          <w:u w:val="single" w:color="auto"/>
          <w:color w:val="0000FF"/>
        </w:rPr>
        <w:t xml:space="preserve"> </w:t>
      </w:r>
      <w:hyperlink r:id="rId21">
        <w:r>
          <w:rPr>
            <w:rFonts w:ascii="Times New Roman" w:cs="Times New Roman" w:eastAsia="Times New Roman" w:hAnsi="Times New Roman"/>
            <w:sz w:val="18"/>
            <w:szCs w:val="18"/>
            <w:u w:val="single" w:color="auto"/>
            <w:color w:val="0000FF"/>
          </w:rPr>
          <w:t>Form 8-K filed with the SEC on March 28, 2017, pursuant to the Exchange Act (file number 001-36223)).</w:t>
        </w:r>
      </w:hyperlink>
    </w:p>
    <w:p>
      <w:pPr>
        <w:spacing w:after="0" w:line="14" w:lineRule="exact"/>
        <w:rPr>
          <w:rFonts w:ascii="Times New Roman" w:cs="Times New Roman" w:eastAsia="Times New Roman" w:hAnsi="Times New Roman"/>
          <w:sz w:val="18"/>
          <w:szCs w:val="18"/>
          <w:u w:val="single" w:color="auto"/>
          <w:color w:val="0000FF"/>
        </w:rPr>
      </w:pPr>
    </w:p>
    <w:p>
      <w:pPr>
        <w:ind w:left="1300" w:right="60" w:hanging="386"/>
        <w:spacing w:after="0" w:line="261" w:lineRule="auto"/>
        <w:tabs>
          <w:tab w:leader="none" w:pos="1280" w:val="left"/>
        </w:tabs>
        <w:rPr>
          <w:rFonts w:ascii="Times New Roman" w:cs="Times New Roman" w:eastAsia="Times New Roman" w:hAnsi="Times New Roman"/>
          <w:sz w:val="18"/>
          <w:szCs w:val="18"/>
          <w:u w:val="single" w:color="auto"/>
          <w:color w:val="0000FF"/>
        </w:rPr>
      </w:pPr>
      <w:hyperlink r:id="rId22">
        <w:r>
          <w:rPr>
            <w:rFonts w:ascii="Times New Roman" w:cs="Times New Roman" w:eastAsia="Times New Roman" w:hAnsi="Times New Roman"/>
            <w:sz w:val="18"/>
            <w:szCs w:val="18"/>
            <w:u w:val="single" w:color="auto"/>
            <w:color w:val="0000FF"/>
          </w:rPr>
          <w:t>4.5</w:t>
        </w:r>
      </w:hyperlink>
      <w:r>
        <w:rPr>
          <w:rFonts w:ascii="Times New Roman" w:cs="Times New Roman" w:eastAsia="Times New Roman" w:hAnsi="Times New Roman"/>
          <w:sz w:val="18"/>
          <w:szCs w:val="18"/>
          <w:u w:val="single" w:color="auto"/>
          <w:color w:val="0000FF"/>
        </w:rPr>
        <w:tab/>
      </w:r>
      <w:hyperlink r:id="rId22">
        <w:r>
          <w:rPr>
            <w:rFonts w:ascii="Times New Roman" w:cs="Times New Roman" w:eastAsia="Times New Roman" w:hAnsi="Times New Roman"/>
            <w:sz w:val="18"/>
            <w:szCs w:val="18"/>
            <w:u w:val="single" w:color="auto"/>
            <w:color w:val="0000FF"/>
          </w:rPr>
          <w:t>Indenture dated as of March 27, 2017, among Aramark International Finance S.a. r.l., as issuer, Aramark, as parent guarantor, Aramark</w:t>
        </w:r>
      </w:hyperlink>
      <w:r>
        <w:rPr>
          <w:rFonts w:ascii="Times New Roman" w:cs="Times New Roman" w:eastAsia="Times New Roman" w:hAnsi="Times New Roman"/>
          <w:sz w:val="18"/>
          <w:szCs w:val="18"/>
          <w:u w:val="single" w:color="auto"/>
          <w:color w:val="0000FF"/>
        </w:rPr>
        <w:t xml:space="preserve"> </w:t>
      </w:r>
      <w:hyperlink r:id="rId22">
        <w:r>
          <w:rPr>
            <w:rFonts w:ascii="Times New Roman" w:cs="Times New Roman" w:eastAsia="Times New Roman" w:hAnsi="Times New Roman"/>
            <w:sz w:val="18"/>
            <w:szCs w:val="18"/>
            <w:u w:val="single" w:color="auto"/>
            <w:color w:val="0000FF"/>
          </w:rPr>
          <w:t>Services, Inc., the other guarantors named therein and The Bank of New York Mellon, as trustee and registrar, and The Bank of New York</w:t>
        </w:r>
      </w:hyperlink>
      <w:r>
        <w:rPr>
          <w:rFonts w:ascii="Times New Roman" w:cs="Times New Roman" w:eastAsia="Times New Roman" w:hAnsi="Times New Roman"/>
          <w:sz w:val="18"/>
          <w:szCs w:val="18"/>
          <w:u w:val="single" w:color="auto"/>
          <w:color w:val="0000FF"/>
        </w:rPr>
        <w:t xml:space="preserve"> </w:t>
      </w:r>
      <w:hyperlink r:id="rId22">
        <w:r>
          <w:rPr>
            <w:rFonts w:ascii="Times New Roman" w:cs="Times New Roman" w:eastAsia="Times New Roman" w:hAnsi="Times New Roman"/>
            <w:sz w:val="18"/>
            <w:szCs w:val="18"/>
            <w:u w:val="single" w:color="auto"/>
            <w:color w:val="0000FF"/>
          </w:rPr>
          <w:t>Mellon, London Branch, as paying agent and transfer agent (incorporated by reference to Exhibit 4.2 of Aramark's Current Report on Form</w:t>
        </w:r>
      </w:hyperlink>
      <w:r>
        <w:rPr>
          <w:rFonts w:ascii="Times New Roman" w:cs="Times New Roman" w:eastAsia="Times New Roman" w:hAnsi="Times New Roman"/>
          <w:sz w:val="18"/>
          <w:szCs w:val="18"/>
          <w:u w:val="single" w:color="auto"/>
          <w:color w:val="0000FF"/>
        </w:rPr>
        <w:t xml:space="preserve"> </w:t>
      </w:r>
      <w:hyperlink r:id="rId22">
        <w:r>
          <w:rPr>
            <w:rFonts w:ascii="Times New Roman" w:cs="Times New Roman" w:eastAsia="Times New Roman" w:hAnsi="Times New Roman"/>
            <w:sz w:val="18"/>
            <w:szCs w:val="18"/>
            <w:u w:val="single" w:color="auto"/>
            <w:color w:val="0000FF"/>
          </w:rPr>
          <w:t>8-K filed with the SEC on March 28, 2017, pursuant to the Exchange Act (file number 001-36223)).</w:t>
        </w:r>
      </w:hyperlink>
    </w:p>
    <w:p>
      <w:pPr>
        <w:spacing w:after="0" w:line="18" w:lineRule="exact"/>
        <w:rPr>
          <w:rFonts w:ascii="Times New Roman" w:cs="Times New Roman" w:eastAsia="Times New Roman" w:hAnsi="Times New Roman"/>
          <w:sz w:val="18"/>
          <w:szCs w:val="18"/>
          <w:u w:val="single" w:color="auto"/>
          <w:color w:val="0000FF"/>
        </w:rPr>
      </w:pPr>
    </w:p>
    <w:p>
      <w:pPr>
        <w:ind w:left="1300" w:right="180" w:hanging="38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23">
        <w:r>
          <w:rPr>
            <w:rFonts w:ascii="Times New Roman" w:cs="Times New Roman" w:eastAsia="Times New Roman" w:hAnsi="Times New Roman"/>
            <w:sz w:val="18"/>
            <w:szCs w:val="18"/>
            <w:u w:val="single" w:color="auto"/>
            <w:color w:val="0000FF"/>
          </w:rPr>
          <w:t>4.6</w:t>
        </w:r>
      </w:hyperlink>
      <w:r>
        <w:rPr>
          <w:rFonts w:ascii="Times New Roman" w:cs="Times New Roman" w:eastAsia="Times New Roman" w:hAnsi="Times New Roman"/>
          <w:sz w:val="18"/>
          <w:szCs w:val="18"/>
          <w:u w:val="single" w:color="auto"/>
          <w:color w:val="0000FF"/>
        </w:rPr>
        <w:tab/>
      </w:r>
      <w:hyperlink r:id="rId23">
        <w:r>
          <w:rPr>
            <w:rFonts w:ascii="Times New Roman" w:cs="Times New Roman" w:eastAsia="Times New Roman" w:hAnsi="Times New Roman"/>
            <w:sz w:val="18"/>
            <w:szCs w:val="18"/>
            <w:u w:val="single" w:color="auto"/>
            <w:color w:val="0000FF"/>
          </w:rPr>
          <w:t>Indenture, dated as of January 18, 2018, among Aramark Services, Inc., as issuer, Aramark, as parent guarantor, the subsidiary guarantors</w:t>
        </w:r>
      </w:hyperlink>
      <w:r>
        <w:rPr>
          <w:rFonts w:ascii="Times New Roman" w:cs="Times New Roman" w:eastAsia="Times New Roman" w:hAnsi="Times New Roman"/>
          <w:sz w:val="18"/>
          <w:szCs w:val="18"/>
          <w:u w:val="single" w:color="auto"/>
          <w:color w:val="0000FF"/>
        </w:rPr>
        <w:t xml:space="preserve"> </w:t>
      </w:r>
      <w:hyperlink r:id="rId23">
        <w:r>
          <w:rPr>
            <w:rFonts w:ascii="Times New Roman" w:cs="Times New Roman" w:eastAsia="Times New Roman" w:hAnsi="Times New Roman"/>
            <w:sz w:val="18"/>
            <w:szCs w:val="18"/>
            <w:u w:val="single" w:color="auto"/>
            <w:color w:val="0000FF"/>
          </w:rPr>
          <w:t>named therein and U.S. Bank National Association, as trustee (incorporated by reference to Exhibit 4.1 to Aramark’s Current Report on</w:t>
        </w:r>
      </w:hyperlink>
      <w:r>
        <w:rPr>
          <w:rFonts w:ascii="Times New Roman" w:cs="Times New Roman" w:eastAsia="Times New Roman" w:hAnsi="Times New Roman"/>
          <w:sz w:val="18"/>
          <w:szCs w:val="18"/>
          <w:u w:val="single" w:color="auto"/>
          <w:color w:val="0000FF"/>
        </w:rPr>
        <w:t xml:space="preserve"> </w:t>
      </w:r>
      <w:hyperlink r:id="rId23">
        <w:r>
          <w:rPr>
            <w:rFonts w:ascii="Times New Roman" w:cs="Times New Roman" w:eastAsia="Times New Roman" w:hAnsi="Times New Roman"/>
            <w:sz w:val="18"/>
            <w:szCs w:val="18"/>
            <w:u w:val="single" w:color="auto"/>
            <w:color w:val="0000FF"/>
          </w:rPr>
          <w:t>Form 8-K filed with the SEC on January 24, 2018 pursuant to the Exchange Act (file number 001-36223)).</w:t>
        </w:r>
      </w:hyperlink>
    </w:p>
    <w:p>
      <w:pPr>
        <w:spacing w:after="0" w:line="14" w:lineRule="exact"/>
        <w:rPr>
          <w:rFonts w:ascii="Times New Roman" w:cs="Times New Roman" w:eastAsia="Times New Roman" w:hAnsi="Times New Roman"/>
          <w:sz w:val="18"/>
          <w:szCs w:val="18"/>
          <w:u w:val="single" w:color="auto"/>
          <w:color w:val="0000FF"/>
        </w:rPr>
      </w:pPr>
    </w:p>
    <w:p>
      <w:pPr>
        <w:ind w:left="820"/>
        <w:spacing w:after="0"/>
        <w:tabs>
          <w:tab w:leader="none" w:pos="1280" w:val="left"/>
        </w:tabs>
        <w:rPr>
          <w:rFonts w:ascii="Times New Roman" w:cs="Times New Roman" w:eastAsia="Times New Roman" w:hAnsi="Times New Roman"/>
          <w:sz w:val="17"/>
          <w:szCs w:val="17"/>
          <w:u w:val="single" w:color="auto"/>
          <w:color w:val="0000FF"/>
        </w:rPr>
      </w:pPr>
      <w:hyperlink w:anchor="page118">
        <w:r>
          <w:rPr>
            <w:rFonts w:ascii="Times New Roman" w:cs="Times New Roman" w:eastAsia="Times New Roman" w:hAnsi="Times New Roman"/>
            <w:sz w:val="18"/>
            <w:szCs w:val="18"/>
            <w:u w:val="single" w:color="auto"/>
            <w:color w:val="0000FF"/>
          </w:rPr>
          <w:t>4.7*</w:t>
        </w:r>
      </w:hyperlink>
      <w:r>
        <w:rPr>
          <w:rFonts w:ascii="Times New Roman" w:cs="Times New Roman" w:eastAsia="Times New Roman" w:hAnsi="Times New Roman"/>
          <w:sz w:val="18"/>
          <w:szCs w:val="18"/>
          <w:u w:val="single" w:color="auto"/>
          <w:color w:val="0000FF"/>
        </w:rPr>
        <w:tab/>
      </w:r>
      <w:hyperlink w:anchor="page118">
        <w:r>
          <w:rPr>
            <w:rFonts w:ascii="Times New Roman" w:cs="Times New Roman" w:eastAsia="Times New Roman" w:hAnsi="Times New Roman"/>
            <w:sz w:val="17"/>
            <w:szCs w:val="17"/>
            <w:u w:val="single" w:color="auto"/>
            <w:color w:val="0000FF"/>
          </w:rPr>
          <w:t>Description of the Company's Common Stock, par value $0.01 per share.</w:t>
        </w:r>
      </w:hyperlink>
    </w:p>
    <w:p>
      <w:pPr>
        <w:spacing w:after="0" w:line="63" w:lineRule="exact"/>
        <w:rPr>
          <w:sz w:val="20"/>
          <w:szCs w:val="20"/>
          <w:color w:val="auto"/>
        </w:rPr>
      </w:pPr>
    </w:p>
    <w:p>
      <w:pPr>
        <w:ind w:left="1300" w:right="40" w:hanging="476"/>
        <w:spacing w:after="0" w:line="255" w:lineRule="auto"/>
        <w:tabs>
          <w:tab w:leader="none" w:pos="1280" w:val="left"/>
        </w:tabs>
        <w:rPr>
          <w:rFonts w:ascii="Times New Roman" w:cs="Times New Roman" w:eastAsia="Times New Roman" w:hAnsi="Times New Roman"/>
          <w:sz w:val="18"/>
          <w:szCs w:val="18"/>
          <w:u w:val="single" w:color="auto"/>
          <w:color w:val="0000FF"/>
        </w:rPr>
      </w:pPr>
      <w:hyperlink r:id="rId24">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24">
        <w:r>
          <w:rPr>
            <w:rFonts w:ascii="Times New Roman" w:cs="Times New Roman" w:eastAsia="Times New Roman" w:hAnsi="Times New Roman"/>
            <w:sz w:val="18"/>
            <w:szCs w:val="18"/>
            <w:u w:val="single" w:color="auto"/>
            <w:color w:val="0000FF"/>
          </w:rPr>
          <w:t>Credit Agreement, dated as of March 28, 2017, among Aramark Services, Inc., Aramark Intermediate HoldCo Corporation, ARAMARK</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Canada Ltd., ARAMARK Investments Limited, ARAMARK Ireland Holdings Limited, ARAMARK Regional Treasury Europe,</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Designated Activity Company, ARAMARK Holdings GmbH &amp; Co. KG, Aramark International Finance S.à r.l., each subsidiary of the U.S.</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Borrower that from time to time becomes a party thereto, the financial institutions from time to time party thereto, the issuing banks named</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therein, JPMorgan Chase Bank, N.A., as administrative agent for the lenders and collateral agent for the secured parties thereunder</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(incorporated by reference to Exhibit 10.1 of Aramark’s Current Report on Form 8-K/A filed with the SEC on March 29, 2017, pursuant to</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the Exchange Act (file number 001-36223)).</w:t>
        </w:r>
      </w:hyperlink>
    </w:p>
    <w:p>
      <w:pPr>
        <w:spacing w:after="0" w:line="324"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S-60</w:t>
      </w:r>
    </w:p>
    <w:p>
      <w:pPr>
        <w:sectPr>
          <w:pgSz w:w="11900" w:h="16838" w:orient="portrait"/>
          <w:cols w:equalWidth="0" w:num="1">
            <w:col w:w="11400"/>
          </w:cols>
          <w:pgMar w:left="240" w:top="175" w:right="25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1300" w:right="20" w:hanging="476"/>
        <w:spacing w:after="0" w:line="253" w:lineRule="auto"/>
        <w:tabs>
          <w:tab w:leader="none" w:pos="1280" w:val="left"/>
        </w:tabs>
        <w:rPr>
          <w:rFonts w:ascii="Times New Roman" w:cs="Times New Roman" w:eastAsia="Times New Roman" w:hAnsi="Times New Roman"/>
          <w:sz w:val="18"/>
          <w:szCs w:val="18"/>
          <w:u w:val="single" w:color="auto"/>
          <w:color w:val="0000FF"/>
        </w:rPr>
      </w:pPr>
      <w:hyperlink r:id="rId25">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25">
        <w:r>
          <w:rPr>
            <w:rFonts w:ascii="Times New Roman" w:cs="Times New Roman" w:eastAsia="Times New Roman" w:hAnsi="Times New Roman"/>
            <w:sz w:val="18"/>
            <w:szCs w:val="18"/>
            <w:u w:val="single" w:color="auto"/>
            <w:color w:val="0000FF"/>
          </w:rPr>
          <w:t>Incremental Amendment No. 1, dated as of September 20, 2017, among Aramark Services, Inc. (the “Company”) Aramark Intermediate</w:t>
        </w:r>
      </w:hyperlink>
      <w:r>
        <w:rPr>
          <w:rFonts w:ascii="Times New Roman" w:cs="Times New Roman" w:eastAsia="Times New Roman" w:hAnsi="Times New Roman"/>
          <w:sz w:val="18"/>
          <w:szCs w:val="18"/>
          <w:u w:val="single" w:color="auto"/>
          <w:color w:val="0000FF"/>
        </w:rPr>
        <w:t xml:space="preserve"> </w:t>
      </w:r>
      <w:hyperlink r:id="rId25">
        <w:r>
          <w:rPr>
            <w:rFonts w:ascii="Times New Roman" w:cs="Times New Roman" w:eastAsia="Times New Roman" w:hAnsi="Times New Roman"/>
            <w:sz w:val="18"/>
            <w:szCs w:val="18"/>
            <w:u w:val="single" w:color="auto"/>
            <w:color w:val="0000FF"/>
          </w:rPr>
          <w:t>HoldCo Corporation, ARAMARK Canada Ltd. (“Aramark Canada”), ARAMARK Investments Limited (“Aramark UK”), and certain</w:t>
        </w:r>
      </w:hyperlink>
      <w:r>
        <w:rPr>
          <w:rFonts w:ascii="Times New Roman" w:cs="Times New Roman" w:eastAsia="Times New Roman" w:hAnsi="Times New Roman"/>
          <w:sz w:val="18"/>
          <w:szCs w:val="18"/>
          <w:u w:val="single" w:color="auto"/>
          <w:color w:val="0000FF"/>
        </w:rPr>
        <w:t xml:space="preserve"> </w:t>
      </w:r>
      <w:hyperlink r:id="rId25">
        <w:r>
          <w:rPr>
            <w:rFonts w:ascii="Times New Roman" w:cs="Times New Roman" w:eastAsia="Times New Roman" w:hAnsi="Times New Roman"/>
            <w:sz w:val="18"/>
            <w:szCs w:val="18"/>
            <w:u w:val="single" w:color="auto"/>
            <w:color w:val="0000FF"/>
          </w:rPr>
          <w:t>wholly-owned subsidiaries of the Company, the financial institutions party thereto and JPMorgan Chase Bank, N.A. as administrative agent</w:t>
        </w:r>
      </w:hyperlink>
      <w:r>
        <w:rPr>
          <w:rFonts w:ascii="Times New Roman" w:cs="Times New Roman" w:eastAsia="Times New Roman" w:hAnsi="Times New Roman"/>
          <w:sz w:val="18"/>
          <w:szCs w:val="18"/>
          <w:u w:val="single" w:color="auto"/>
          <w:color w:val="0000FF"/>
        </w:rPr>
        <w:t xml:space="preserve"> </w:t>
      </w:r>
      <w:hyperlink r:id="rId25">
        <w:r>
          <w:rPr>
            <w:rFonts w:ascii="Times New Roman" w:cs="Times New Roman" w:eastAsia="Times New Roman" w:hAnsi="Times New Roman"/>
            <w:sz w:val="18"/>
            <w:szCs w:val="18"/>
            <w:u w:val="single" w:color="auto"/>
            <w:color w:val="0000FF"/>
          </w:rPr>
          <w:t>for the Lenders (as defined below) and collateral agent for the secured parties thereunder to the credit agreement, dated March 28, 2017,</w:t>
        </w:r>
      </w:hyperlink>
      <w:r>
        <w:rPr>
          <w:rFonts w:ascii="Times New Roman" w:cs="Times New Roman" w:eastAsia="Times New Roman" w:hAnsi="Times New Roman"/>
          <w:sz w:val="18"/>
          <w:szCs w:val="18"/>
          <w:u w:val="single" w:color="auto"/>
          <w:color w:val="0000FF"/>
        </w:rPr>
        <w:t xml:space="preserve"> </w:t>
      </w:r>
      <w:hyperlink r:id="rId25">
        <w:r>
          <w:rPr>
            <w:rFonts w:ascii="Times New Roman" w:cs="Times New Roman" w:eastAsia="Times New Roman" w:hAnsi="Times New Roman"/>
            <w:sz w:val="18"/>
            <w:szCs w:val="18"/>
            <w:u w:val="single" w:color="auto"/>
            <w:color w:val="0000FF"/>
          </w:rPr>
          <w:t>among the Company, Aramark Intermediate HoldCo Corporation, Aramark Canada, Aramark UK, ARAMARK Ireland Holdings Limited,</w:t>
        </w:r>
      </w:hyperlink>
      <w:r>
        <w:rPr>
          <w:rFonts w:ascii="Times New Roman" w:cs="Times New Roman" w:eastAsia="Times New Roman" w:hAnsi="Times New Roman"/>
          <w:sz w:val="18"/>
          <w:szCs w:val="18"/>
          <w:u w:val="single" w:color="auto"/>
          <w:color w:val="0000FF"/>
        </w:rPr>
        <w:t xml:space="preserve"> </w:t>
      </w:r>
      <w:hyperlink r:id="rId25">
        <w:r>
          <w:rPr>
            <w:rFonts w:ascii="Times New Roman" w:cs="Times New Roman" w:eastAsia="Times New Roman" w:hAnsi="Times New Roman"/>
            <w:sz w:val="18"/>
            <w:szCs w:val="18"/>
            <w:u w:val="single" w:color="auto"/>
            <w:color w:val="0000FF"/>
          </w:rPr>
          <w:t>ARAMARK Regional Treasury Europe, Designated Activity Company, ARAMARK Holdings GmbH &amp; Co. KG, Aramark International</w:t>
        </w:r>
      </w:hyperlink>
      <w:r>
        <w:rPr>
          <w:rFonts w:ascii="Times New Roman" w:cs="Times New Roman" w:eastAsia="Times New Roman" w:hAnsi="Times New Roman"/>
          <w:sz w:val="18"/>
          <w:szCs w:val="18"/>
          <w:u w:val="single" w:color="auto"/>
          <w:color w:val="0000FF"/>
        </w:rPr>
        <w:t xml:space="preserve"> </w:t>
      </w:r>
      <w:hyperlink r:id="rId25">
        <w:r>
          <w:rPr>
            <w:rFonts w:ascii="Times New Roman" w:cs="Times New Roman" w:eastAsia="Times New Roman" w:hAnsi="Times New Roman"/>
            <w:sz w:val="18"/>
            <w:szCs w:val="18"/>
            <w:u w:val="single" w:color="auto"/>
            <w:color w:val="0000FF"/>
          </w:rPr>
          <w:t>Finance S.à r.l. and certain wholly-owned domestic subsidiaries of the Company, the financial institutions from time to time party thereto</w:t>
        </w:r>
      </w:hyperlink>
      <w:r>
        <w:rPr>
          <w:rFonts w:ascii="Times New Roman" w:cs="Times New Roman" w:eastAsia="Times New Roman" w:hAnsi="Times New Roman"/>
          <w:sz w:val="18"/>
          <w:szCs w:val="18"/>
          <w:u w:val="single" w:color="auto"/>
          <w:color w:val="0000FF"/>
        </w:rPr>
        <w:t xml:space="preserve"> </w:t>
      </w:r>
      <w:hyperlink r:id="rId25">
        <w:r>
          <w:rPr>
            <w:rFonts w:ascii="Times New Roman" w:cs="Times New Roman" w:eastAsia="Times New Roman" w:hAnsi="Times New Roman"/>
            <w:sz w:val="18"/>
            <w:szCs w:val="18"/>
            <w:u w:val="single" w:color="auto"/>
            <w:color w:val="0000FF"/>
          </w:rPr>
          <w:t>(including the financial institutions party to the Incremental Amendment, the “Lenders”), the issuing banks named therein and JPMorgan</w:t>
        </w:r>
      </w:hyperlink>
      <w:r>
        <w:rPr>
          <w:rFonts w:ascii="Times New Roman" w:cs="Times New Roman" w:eastAsia="Times New Roman" w:hAnsi="Times New Roman"/>
          <w:sz w:val="18"/>
          <w:szCs w:val="18"/>
          <w:u w:val="single" w:color="auto"/>
          <w:color w:val="0000FF"/>
        </w:rPr>
        <w:t xml:space="preserve"> </w:t>
      </w:r>
      <w:hyperlink r:id="rId25">
        <w:r>
          <w:rPr>
            <w:rFonts w:ascii="Times New Roman" w:cs="Times New Roman" w:eastAsia="Times New Roman" w:hAnsi="Times New Roman"/>
            <w:sz w:val="18"/>
            <w:szCs w:val="18"/>
            <w:u w:val="single" w:color="auto"/>
            <w:color w:val="0000FF"/>
          </w:rPr>
          <w:t>Chase Bank, N.A., as administrative agent for the Lenders and collateral agent for the secured parties thereunder (incorporated by reference</w:t>
        </w:r>
      </w:hyperlink>
      <w:r>
        <w:rPr>
          <w:rFonts w:ascii="Times New Roman" w:cs="Times New Roman" w:eastAsia="Times New Roman" w:hAnsi="Times New Roman"/>
          <w:sz w:val="18"/>
          <w:szCs w:val="18"/>
          <w:u w:val="single" w:color="auto"/>
          <w:color w:val="0000FF"/>
        </w:rPr>
        <w:t xml:space="preserve"> </w:t>
      </w:r>
      <w:hyperlink r:id="rId25">
        <w:r>
          <w:rPr>
            <w:rFonts w:ascii="Times New Roman" w:cs="Times New Roman" w:eastAsia="Times New Roman" w:hAnsi="Times New Roman"/>
            <w:sz w:val="18"/>
            <w:szCs w:val="18"/>
            <w:u w:val="single" w:color="auto"/>
            <w:color w:val="0000FF"/>
          </w:rPr>
          <w:t>to Exhibit 10.1 to Aramark's Current Report on Form 8-K filed with the SEC on September 26, 2017, pursuant to the Exchange Act (file</w:t>
        </w:r>
      </w:hyperlink>
      <w:r>
        <w:rPr>
          <w:rFonts w:ascii="Times New Roman" w:cs="Times New Roman" w:eastAsia="Times New Roman" w:hAnsi="Times New Roman"/>
          <w:sz w:val="18"/>
          <w:szCs w:val="18"/>
          <w:u w:val="single" w:color="auto"/>
          <w:color w:val="0000FF"/>
        </w:rPr>
        <w:t xml:space="preserve"> </w:t>
      </w:r>
      <w:hyperlink r:id="rId25">
        <w:r>
          <w:rPr>
            <w:rFonts w:ascii="Times New Roman" w:cs="Times New Roman" w:eastAsia="Times New Roman" w:hAnsi="Times New Roman"/>
            <w:sz w:val="18"/>
            <w:szCs w:val="18"/>
            <w:u w:val="single" w:color="auto"/>
            <w:color w:val="0000FF"/>
          </w:rPr>
          <w:t>number 001-36223)).</w:t>
        </w:r>
      </w:hyperlink>
    </w:p>
    <w:p>
      <w:pPr>
        <w:spacing w:after="0" w:line="31" w:lineRule="exact"/>
        <w:rPr>
          <w:rFonts w:ascii="Times New Roman" w:cs="Times New Roman" w:eastAsia="Times New Roman" w:hAnsi="Times New Roman"/>
          <w:sz w:val="18"/>
          <w:szCs w:val="18"/>
          <w:u w:val="single" w:color="auto"/>
          <w:color w:val="0000FF"/>
        </w:rPr>
      </w:pPr>
    </w:p>
    <w:p>
      <w:pPr>
        <w:ind w:left="1300" w:right="20" w:hanging="476"/>
        <w:spacing w:after="0" w:line="271" w:lineRule="auto"/>
        <w:tabs>
          <w:tab w:leader="none" w:pos="1280" w:val="left"/>
        </w:tabs>
        <w:rPr>
          <w:rFonts w:ascii="Times New Roman" w:cs="Times New Roman" w:eastAsia="Times New Roman" w:hAnsi="Times New Roman"/>
          <w:sz w:val="17"/>
          <w:szCs w:val="17"/>
          <w:u w:val="single" w:color="auto"/>
          <w:color w:val="0000FF"/>
        </w:rPr>
      </w:pPr>
      <w:hyperlink r:id="rId26">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r:id="rId26">
        <w:r>
          <w:rPr>
            <w:rFonts w:ascii="Times New Roman" w:cs="Times New Roman" w:eastAsia="Times New Roman" w:hAnsi="Times New Roman"/>
            <w:sz w:val="17"/>
            <w:szCs w:val="17"/>
            <w:u w:val="single" w:color="auto"/>
            <w:color w:val="0000FF"/>
          </w:rPr>
          <w:t>Incremental Amendment No. 2, dated as of December 11, 2017, among Aramark Services, Inc., Aramark Intermediate HoldCo Corporation</w:t>
        </w:r>
      </w:hyperlink>
      <w:r>
        <w:rPr>
          <w:rFonts w:ascii="Times New Roman" w:cs="Times New Roman" w:eastAsia="Times New Roman" w:hAnsi="Times New Roman"/>
          <w:sz w:val="17"/>
          <w:szCs w:val="17"/>
          <w:u w:val="single" w:color="auto"/>
          <w:color w:val="0000FF"/>
        </w:rPr>
        <w:t xml:space="preserve"> </w:t>
      </w:r>
      <w:hyperlink r:id="rId26">
        <w:r>
          <w:rPr>
            <w:rFonts w:ascii="Times New Roman" w:cs="Times New Roman" w:eastAsia="Times New Roman" w:hAnsi="Times New Roman"/>
            <w:sz w:val="17"/>
            <w:szCs w:val="17"/>
            <w:u w:val="single" w:color="auto"/>
            <w:color w:val="0000FF"/>
          </w:rPr>
          <w:t>(“Holdings”) and certain wholly-owned subsidiaries of Aramark Services, Inc., the financial institutions party thereto and JPMorgan Chase</w:t>
        </w:r>
      </w:hyperlink>
      <w:r>
        <w:rPr>
          <w:rFonts w:ascii="Times New Roman" w:cs="Times New Roman" w:eastAsia="Times New Roman" w:hAnsi="Times New Roman"/>
          <w:sz w:val="17"/>
          <w:szCs w:val="17"/>
          <w:u w:val="single" w:color="auto"/>
          <w:color w:val="0000FF"/>
        </w:rPr>
        <w:t xml:space="preserve"> </w:t>
      </w:r>
      <w:hyperlink r:id="rId26">
        <w:r>
          <w:rPr>
            <w:rFonts w:ascii="Times New Roman" w:cs="Times New Roman" w:eastAsia="Times New Roman" w:hAnsi="Times New Roman"/>
            <w:sz w:val="17"/>
            <w:szCs w:val="17"/>
            <w:u w:val="single" w:color="auto"/>
            <w:color w:val="0000FF"/>
          </w:rPr>
          <w:t>Bank, N.A. as administrative agent for the Lenders (as defined below) and collateral agent for the secured parties thereunder to the credit</w:t>
        </w:r>
      </w:hyperlink>
      <w:r>
        <w:rPr>
          <w:rFonts w:ascii="Times New Roman" w:cs="Times New Roman" w:eastAsia="Times New Roman" w:hAnsi="Times New Roman"/>
          <w:sz w:val="17"/>
          <w:szCs w:val="17"/>
          <w:u w:val="single" w:color="auto"/>
          <w:color w:val="0000FF"/>
        </w:rPr>
        <w:t xml:space="preserve"> </w:t>
      </w:r>
      <w:hyperlink r:id="rId26">
        <w:r>
          <w:rPr>
            <w:rFonts w:ascii="Times New Roman" w:cs="Times New Roman" w:eastAsia="Times New Roman" w:hAnsi="Times New Roman"/>
            <w:sz w:val="17"/>
            <w:szCs w:val="17"/>
            <w:u w:val="single" w:color="auto"/>
            <w:color w:val="0000FF"/>
          </w:rPr>
          <w:t>agreement, dated March 28, 2017, among Aramark Services, Inc., Holdings, ARAMARK Canada Ltd., ARAMARK Investments Limited,</w:t>
        </w:r>
      </w:hyperlink>
      <w:r>
        <w:rPr>
          <w:rFonts w:ascii="Times New Roman" w:cs="Times New Roman" w:eastAsia="Times New Roman" w:hAnsi="Times New Roman"/>
          <w:sz w:val="17"/>
          <w:szCs w:val="17"/>
          <w:u w:val="single" w:color="auto"/>
          <w:color w:val="0000FF"/>
        </w:rPr>
        <w:t xml:space="preserve"> </w:t>
      </w:r>
      <w:hyperlink r:id="rId26">
        <w:r>
          <w:rPr>
            <w:rFonts w:ascii="Times New Roman" w:cs="Times New Roman" w:eastAsia="Times New Roman" w:hAnsi="Times New Roman"/>
            <w:sz w:val="17"/>
            <w:szCs w:val="17"/>
            <w:u w:val="single" w:color="auto"/>
            <w:color w:val="0000FF"/>
          </w:rPr>
          <w:t>ARAMARK Ireland Holdings Limited, ARAMARK Regional Treasury Europe, Designated Activity Company, ARAMARK Holdings</w:t>
        </w:r>
      </w:hyperlink>
      <w:r>
        <w:rPr>
          <w:rFonts w:ascii="Times New Roman" w:cs="Times New Roman" w:eastAsia="Times New Roman" w:hAnsi="Times New Roman"/>
          <w:sz w:val="17"/>
          <w:szCs w:val="17"/>
          <w:u w:val="single" w:color="auto"/>
          <w:color w:val="0000FF"/>
        </w:rPr>
        <w:t xml:space="preserve"> </w:t>
      </w:r>
      <w:hyperlink r:id="rId26">
        <w:r>
          <w:rPr>
            <w:rFonts w:ascii="Times New Roman" w:cs="Times New Roman" w:eastAsia="Times New Roman" w:hAnsi="Times New Roman"/>
            <w:sz w:val="17"/>
            <w:szCs w:val="17"/>
            <w:u w:val="single" w:color="auto"/>
            <w:color w:val="0000FF"/>
          </w:rPr>
          <w:t>GmbH &amp; Co. KG, Aramark International Finance S.à r.l. and certain wholly-owned domestic subsidiaries of Aramark Services, Inc., the</w:t>
        </w:r>
      </w:hyperlink>
      <w:r>
        <w:rPr>
          <w:rFonts w:ascii="Times New Roman" w:cs="Times New Roman" w:eastAsia="Times New Roman" w:hAnsi="Times New Roman"/>
          <w:sz w:val="17"/>
          <w:szCs w:val="17"/>
          <w:u w:val="single" w:color="auto"/>
          <w:color w:val="0000FF"/>
        </w:rPr>
        <w:t xml:space="preserve"> </w:t>
      </w:r>
      <w:hyperlink r:id="rId26">
        <w:r>
          <w:rPr>
            <w:rFonts w:ascii="Times New Roman" w:cs="Times New Roman" w:eastAsia="Times New Roman" w:hAnsi="Times New Roman"/>
            <w:sz w:val="17"/>
            <w:szCs w:val="17"/>
            <w:u w:val="single" w:color="auto"/>
            <w:color w:val="0000FF"/>
          </w:rPr>
          <w:t>financial institutions from time to time party thereto (the “Lenders”), the issuing banks named therein and JPMorgan Chase Bank, N.A., as</w:t>
        </w:r>
      </w:hyperlink>
      <w:r>
        <w:rPr>
          <w:rFonts w:ascii="Times New Roman" w:cs="Times New Roman" w:eastAsia="Times New Roman" w:hAnsi="Times New Roman"/>
          <w:sz w:val="17"/>
          <w:szCs w:val="17"/>
          <w:u w:val="single" w:color="auto"/>
          <w:color w:val="0000FF"/>
        </w:rPr>
        <w:t xml:space="preserve"> </w:t>
      </w:r>
      <w:hyperlink r:id="rId26">
        <w:r>
          <w:rPr>
            <w:rFonts w:ascii="Times New Roman" w:cs="Times New Roman" w:eastAsia="Times New Roman" w:hAnsi="Times New Roman"/>
            <w:sz w:val="17"/>
            <w:szCs w:val="17"/>
            <w:u w:val="single" w:color="auto"/>
            <w:color w:val="0000FF"/>
          </w:rPr>
          <w:t>administrative agent for the Lenders and collateral agent for the secured parties thereunder (incorporated by reference to Exhibit 10.1 to</w:t>
        </w:r>
      </w:hyperlink>
      <w:r>
        <w:rPr>
          <w:rFonts w:ascii="Times New Roman" w:cs="Times New Roman" w:eastAsia="Times New Roman" w:hAnsi="Times New Roman"/>
          <w:sz w:val="17"/>
          <w:szCs w:val="17"/>
          <w:u w:val="single" w:color="auto"/>
          <w:color w:val="0000FF"/>
        </w:rPr>
        <w:t xml:space="preserve"> </w:t>
      </w:r>
      <w:hyperlink r:id="rId26">
        <w:r>
          <w:rPr>
            <w:rFonts w:ascii="Times New Roman" w:cs="Times New Roman" w:eastAsia="Times New Roman" w:hAnsi="Times New Roman"/>
            <w:sz w:val="17"/>
            <w:szCs w:val="17"/>
            <w:u w:val="single" w:color="auto"/>
            <w:color w:val="0000FF"/>
          </w:rPr>
          <w:t>Aramark’s Current Report on Form 8-K filed with the SEC on December 12, 2017 pursuant to the Exchange Act (file number 001-36223)).</w:t>
        </w:r>
      </w:hyperlink>
    </w:p>
    <w:p>
      <w:pPr>
        <w:spacing w:after="0" w:line="12" w:lineRule="exact"/>
        <w:rPr>
          <w:rFonts w:ascii="Times New Roman" w:cs="Times New Roman" w:eastAsia="Times New Roman" w:hAnsi="Times New Roman"/>
          <w:sz w:val="17"/>
          <w:szCs w:val="17"/>
          <w:u w:val="single" w:color="auto"/>
          <w:color w:val="0000FF"/>
        </w:rPr>
      </w:pPr>
    </w:p>
    <w:p>
      <w:pPr>
        <w:ind w:left="1300" w:right="100" w:hanging="476"/>
        <w:spacing w:after="0" w:line="254" w:lineRule="auto"/>
        <w:tabs>
          <w:tab w:leader="none" w:pos="1280" w:val="left"/>
        </w:tabs>
        <w:rPr>
          <w:rFonts w:ascii="Times New Roman" w:cs="Times New Roman" w:eastAsia="Times New Roman" w:hAnsi="Times New Roman"/>
          <w:sz w:val="18"/>
          <w:szCs w:val="18"/>
          <w:u w:val="single" w:color="auto"/>
          <w:color w:val="0000FF"/>
        </w:rPr>
      </w:pPr>
      <w:hyperlink r:id="rId27">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u w:val="single" w:color="auto"/>
          <w:color w:val="0000FF"/>
        </w:rPr>
        <w:tab/>
      </w:r>
      <w:hyperlink r:id="rId27">
        <w:r>
          <w:rPr>
            <w:rFonts w:ascii="Times New Roman" w:cs="Times New Roman" w:eastAsia="Times New Roman" w:hAnsi="Times New Roman"/>
            <w:sz w:val="18"/>
            <w:szCs w:val="18"/>
            <w:u w:val="single" w:color="auto"/>
            <w:color w:val="0000FF"/>
          </w:rPr>
          <w:t>Incremental Amendment No. 3, dated as of February 28, 2018, among Aramark Services, Inc., ARAMARK Canada Ltd., and Aramark</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Intermediate HoldCo Corporation (“Holdings”), the financial institutions party thereto and JPMorgan Chase Bank, N.A. as administrative</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agent for the Lenders (as defined below) and collateral agent for the secured parties thereunder to the credit agreement, dated March 28,</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2017, among Aramark Services, Inc., Holdings, ARAMARK Canada Ltd., ARAMARK Investments Limited, ARAMARK Ireland</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Holdings Limited, ARAMARK Regional Treasury Europe, Designated Activity Company, ARAMARK Holdings GmbH &amp; Co. KG,</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Aramark International Finance S.à r.l. and certain wholly-owned domestic subsidiaries of Aramark Services, Inc., the financial institutions</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from time to time party thereto (the “Lenders”), the issuing banks named therein and JPMorgan Chase Bank, N.A., as administrative agent</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for the Lenders and collateral agent for the secured parties thereunder (incorporated by reference to Exhibit 10.1 to Aramark's Quarterly</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Report on Form 10-Q filed with the SEC on May 8, 2018, pursuant to the Exchange Act (file number 001-36223)).</w:t>
        </w:r>
      </w:hyperlink>
    </w:p>
    <w:p>
      <w:pPr>
        <w:spacing w:after="0" w:line="27" w:lineRule="exact"/>
        <w:rPr>
          <w:rFonts w:ascii="Times New Roman" w:cs="Times New Roman" w:eastAsia="Times New Roman" w:hAnsi="Times New Roman"/>
          <w:sz w:val="18"/>
          <w:szCs w:val="18"/>
          <w:u w:val="single" w:color="auto"/>
          <w:color w:val="0000FF"/>
        </w:rPr>
      </w:pPr>
    </w:p>
    <w:p>
      <w:pPr>
        <w:ind w:left="1300" w:hanging="476"/>
        <w:spacing w:after="0" w:line="254" w:lineRule="auto"/>
        <w:tabs>
          <w:tab w:leader="none" w:pos="1280" w:val="left"/>
        </w:tabs>
        <w:rPr>
          <w:rFonts w:ascii="Times New Roman" w:cs="Times New Roman" w:eastAsia="Times New Roman" w:hAnsi="Times New Roman"/>
          <w:sz w:val="18"/>
          <w:szCs w:val="18"/>
          <w:u w:val="single" w:color="auto"/>
          <w:color w:val="0000FF"/>
        </w:rPr>
      </w:pPr>
      <w:hyperlink r:id="rId28">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28">
        <w:r>
          <w:rPr>
            <w:rFonts w:ascii="Times New Roman" w:cs="Times New Roman" w:eastAsia="Times New Roman" w:hAnsi="Times New Roman"/>
            <w:sz w:val="18"/>
            <w:szCs w:val="18"/>
            <w:u w:val="single" w:color="auto"/>
            <w:color w:val="0000FF"/>
          </w:rPr>
          <w:t>Amendment No. 4, dated as of May 11, 2018, among Aramark Services, Inc. (the “Company”), Sumitomo Mitsui Banking Corp. (the “Yen</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Term C Lender”) and JPMorgan Chase Bank, N.A. as administrative agent for the Lenders (as defined below) and collateral agent for the</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secured parties thereunder to the credit agreement, dated March 28, 2017, among the Company, Aramark Intermediate Holdco Corporation,</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ARAMARK Canada Ltd., ARAMARK Investments Limited, ARAMARK Ireland Holdings Limited, ARAMARK Regional Treasury</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Europe, Designated Activity Company, ARAMARK Holdings GmbH &amp; Co. KG, Aramark International Finance S.à r.l. and certain wholly-</w:t>
        </w:r>
      </w:hyperlink>
      <w:hyperlink r:id="rId28">
        <w:r>
          <w:rPr>
            <w:rFonts w:ascii="Times New Roman" w:cs="Times New Roman" w:eastAsia="Times New Roman" w:hAnsi="Times New Roman"/>
            <w:sz w:val="18"/>
            <w:szCs w:val="18"/>
            <w:u w:val="single" w:color="auto"/>
            <w:color w:val="0000FF"/>
          </w:rPr>
          <w:t>owned domestic subsidiaries of the Company, the financial institutions from time to time party thereto (the “Lenders”), the issuing banks</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named therein and JPMorgan Chase Bank, N.A., as administrative agent for the Lenders and collateral agent for the secured parties</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thereunder (incorporated by reference to Exhibit 10.1 to Aramark's Quarterly Report on Form 10-Q filed with the SEC on August 7, 2018,</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pursuant to the Exchange Act (file number 001-36223)).</w:t>
        </w:r>
      </w:hyperlink>
    </w:p>
    <w:p>
      <w:pPr>
        <w:spacing w:after="0" w:line="27" w:lineRule="exact"/>
        <w:rPr>
          <w:rFonts w:ascii="Times New Roman" w:cs="Times New Roman" w:eastAsia="Times New Roman" w:hAnsi="Times New Roman"/>
          <w:sz w:val="18"/>
          <w:szCs w:val="18"/>
          <w:u w:val="single" w:color="auto"/>
          <w:color w:val="0000FF"/>
        </w:rPr>
      </w:pPr>
    </w:p>
    <w:p>
      <w:pPr>
        <w:ind w:left="1300" w:hanging="476"/>
        <w:spacing w:after="0" w:line="254" w:lineRule="auto"/>
        <w:tabs>
          <w:tab w:leader="none" w:pos="1280" w:val="left"/>
        </w:tabs>
        <w:rPr>
          <w:rFonts w:ascii="Times New Roman" w:cs="Times New Roman" w:eastAsia="Times New Roman" w:hAnsi="Times New Roman"/>
          <w:sz w:val="18"/>
          <w:szCs w:val="18"/>
          <w:u w:val="single" w:color="auto"/>
          <w:color w:val="0000FF"/>
        </w:rPr>
      </w:pPr>
      <w:hyperlink r:id="rId29">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29">
        <w:r>
          <w:rPr>
            <w:rFonts w:ascii="Times New Roman" w:cs="Times New Roman" w:eastAsia="Times New Roman" w:hAnsi="Times New Roman"/>
            <w:sz w:val="18"/>
            <w:szCs w:val="18"/>
            <w:u w:val="single" w:color="auto"/>
            <w:color w:val="0000FF"/>
          </w:rPr>
          <w:t>Amendment No. 5, dated as of May 24, 2018, among Aramark Services, Inc. (the “Company”), Aramark Intermediate HoldCo Corporation</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(“Holdings”), certain wholly-owned subsidiaries of the Company, each Converting U.S. Term B-2 Lender (as defined therein), the</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Additional U.S. Term B-2 Lender (as defined therein), the financial institutions party thereto and JPMorgan Chase Bank, N.A. as</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administrative agent for the Lenders (as defined below) and collateral agent for the secured parties thereunder to the credit agreement, dated</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March 28, 2017, among the Company, Holdings, ARAMARK Canada Ltd., ARAMARK Investments Limited, ARAMARK Ireland</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Holdings Limited, ARAMARK Regional Treasury Europe, Designated Activity Company, ARAMARK Holdings GmbH &amp; Co. KG,</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Aramark International Finance S.à r.l. and certain wholly-owned domestic subsidiaries of the Company, the financial institutions from time</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to time party thereto (the “Lenders”), the issuing banks named therein and JPMorgan Chase Bank, N.A., as administrative agent for the</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Lenders and collateral agent for the secured parties thereunder (incorporated by reference to Exhibit 10.1 to Aramark’s Current Report on</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Form 8-K filed with the SEC on May 31, 2018 pursuant to the Exchange Act (file number 001-36223)).</w:t>
        </w:r>
      </w:hyperlink>
    </w:p>
    <w:p>
      <w:pPr>
        <w:spacing w:after="0" w:line="321"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S-61</w:t>
      </w:r>
    </w:p>
    <w:p>
      <w:pPr>
        <w:sectPr>
          <w:pgSz w:w="11900" w:h="16838" w:orient="portrait"/>
          <w:cols w:equalWidth="0" w:num="1">
            <w:col w:w="11380"/>
          </w:cols>
          <w:pgMar w:left="240" w:top="175" w:right="27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1300" w:hanging="476"/>
        <w:spacing w:after="0" w:line="254" w:lineRule="auto"/>
        <w:tabs>
          <w:tab w:leader="none" w:pos="1280" w:val="left"/>
        </w:tabs>
        <w:rPr>
          <w:rFonts w:ascii="Times New Roman" w:cs="Times New Roman" w:eastAsia="Times New Roman" w:hAnsi="Times New Roman"/>
          <w:sz w:val="18"/>
          <w:szCs w:val="18"/>
          <w:u w:val="single" w:color="auto"/>
          <w:color w:val="0000FF"/>
        </w:rPr>
      </w:pPr>
      <w:hyperlink r:id="rId30">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30">
        <w:r>
          <w:rPr>
            <w:rFonts w:ascii="Times New Roman" w:cs="Times New Roman" w:eastAsia="Times New Roman" w:hAnsi="Times New Roman"/>
            <w:sz w:val="18"/>
            <w:szCs w:val="18"/>
            <w:u w:val="single" w:color="auto"/>
            <w:color w:val="0000FF"/>
          </w:rPr>
          <w:t>Amendment No. 6, dated as of June 12, 2018, among Aramark Services, Inc. (the “Company”), Aramark Intermediate HoldCo Corporation</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(“Holdings”), certain wholly-owned subsidiaries of the Company, each Converting U.S. Term B-3 Lender (as defined therein), the</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Additional U.S. Term B-3 Lender (as defined therein), the financial institutions party thereto and JPMorgan Chase Bank, N.A. as</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administrative agent for the Lenders (as defined below) and collateral agent for the secured parties thereunder to the credit agreement, dated</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March 28, 2017, among the Company, Holdings, ARAMARK Canada Ltd., ARAMARK Investments Limited, ARAMARK Ireland</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Holdings Limited, ARAMARK Regional Treasury Europe, Designated Activity Company, ARAMARK Holdings GmbH &amp; Co. KG,</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Aramark International Finance S.à r.l. and certain wholly-owned domestic subsidiaries of the Company, the financial institutions from time</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to time party thereto (the “Lenders”), the issuing banks named therein and JPMorgan Chase Bank, N.A., as administrative agent for the</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Lenders and collateral agent for the secured parties thereunder (incorporated by reference to Exhibit 10.1 to Aramark’s Current Report on</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Form 8-K filed with the SEC on June 18, 2018 pursuant to the Exchange Act (file number 001-36223)).</w:t>
        </w:r>
      </w:hyperlink>
    </w:p>
    <w:p>
      <w:pPr>
        <w:spacing w:after="0" w:line="24" w:lineRule="exact"/>
        <w:rPr>
          <w:rFonts w:ascii="Times New Roman" w:cs="Times New Roman" w:eastAsia="Times New Roman" w:hAnsi="Times New Roman"/>
          <w:sz w:val="18"/>
          <w:szCs w:val="18"/>
          <w:u w:val="single" w:color="auto"/>
          <w:color w:val="0000FF"/>
        </w:rPr>
      </w:pPr>
    </w:p>
    <w:p>
      <w:pPr>
        <w:ind w:left="1300" w:hanging="476"/>
        <w:spacing w:after="0" w:line="253" w:lineRule="auto"/>
        <w:tabs>
          <w:tab w:leader="none" w:pos="1280" w:val="left"/>
        </w:tabs>
        <w:rPr>
          <w:rFonts w:ascii="Times New Roman" w:cs="Times New Roman" w:eastAsia="Times New Roman" w:hAnsi="Times New Roman"/>
          <w:sz w:val="18"/>
          <w:szCs w:val="18"/>
          <w:u w:val="single" w:color="auto"/>
          <w:color w:val="0000FF"/>
        </w:rPr>
      </w:pPr>
      <w:hyperlink r:id="rId31">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31">
        <w:r>
          <w:rPr>
            <w:rFonts w:ascii="Times New Roman" w:cs="Times New Roman" w:eastAsia="Times New Roman" w:hAnsi="Times New Roman"/>
            <w:sz w:val="18"/>
            <w:szCs w:val="18"/>
            <w:u w:val="single" w:color="auto"/>
            <w:color w:val="0000FF"/>
          </w:rPr>
          <w:t>Amendment No. 7 (the “Amendment”), dated as of October 1, 2018, among Aramark Services, Inc. (the “Company”), Aramark</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Intermediate HoldCo Corporation (“Holdings”), Aramark Intermediate HoldCo Corporation (“Holdings”), ARAMARK Canada Ltd. (the</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“Canadian Borrower”), ARAMARK Investments Limited, ARAMARK Limited (together with ARAMARK Investments Limited, the “UK</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Borrowers”), ARAMARK Ireland Holdings Limited, ARAMARK Regional Treasury Europe, Designated Activity Company (together with</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ARAMARK Ireland Holdings Limited, the “Irish Borrowers”), ARAMARK Holdings Deutschland GMBH (as successor by merger to</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ARAMARK Holdings GmbH &amp; Co. KG, the “German Borrower”), Aramark International Finance S.à r.l. (the “Luxembourg Borrower”),</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certain other wholly-owned subsidiaries of the Company, the financial institutions party thereto and JPMorgan Chase Bank, N.A. as</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administrative agent for the Lenders (as defined below) and collateral agent for the secured parties thereunder to the credit agreement, dated</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March 28, 2017, among the Company, Holdings, the Canadian Borrower, the UK Borrower, the Irish Borrowers, the German Borrower, the</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Luxembourg Borrower and certain other wholly-owned domestic subsidiaries of the Company, the financial institutions from time to time</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party thereto (the “Lenders”), the issuing banks named therein and JPMorgan Chase Bank, N.A., as administrative agent for the Lenders</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and collateral agent for the secured parties thereunder (incorporated by reference to Exhibit 10.1 to Aramark’s Current Report on Form 8-K</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filed with the SEC on October 4, 2018 pursuant to the Exchange Act (file number 001-36223)).</w:t>
        </w:r>
      </w:hyperlink>
    </w:p>
    <w:p>
      <w:pPr>
        <w:spacing w:after="0" w:line="27" w:lineRule="exact"/>
        <w:rPr>
          <w:rFonts w:ascii="Times New Roman" w:cs="Times New Roman" w:eastAsia="Times New Roman" w:hAnsi="Times New Roman"/>
          <w:sz w:val="18"/>
          <w:szCs w:val="18"/>
          <w:u w:val="single" w:color="auto"/>
          <w:color w:val="0000FF"/>
        </w:rPr>
      </w:pPr>
    </w:p>
    <w:p>
      <w:pPr>
        <w:ind w:left="1300" w:right="160" w:hanging="476"/>
        <w:spacing w:after="0" w:line="261" w:lineRule="auto"/>
        <w:tabs>
          <w:tab w:leader="none" w:pos="1280" w:val="left"/>
        </w:tabs>
        <w:rPr>
          <w:rFonts w:ascii="Times New Roman" w:cs="Times New Roman" w:eastAsia="Times New Roman" w:hAnsi="Times New Roman"/>
          <w:sz w:val="18"/>
          <w:szCs w:val="18"/>
          <w:u w:val="single" w:color="auto"/>
          <w:color w:val="0000FF"/>
        </w:rPr>
      </w:pPr>
      <w:hyperlink r:id="rId32">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u w:val="single" w:color="auto"/>
          <w:color w:val="0000FF"/>
        </w:rPr>
        <w:tab/>
      </w:r>
      <w:hyperlink r:id="rId32">
        <w:r>
          <w:rPr>
            <w:rFonts w:ascii="Times New Roman" w:cs="Times New Roman" w:eastAsia="Times New Roman" w:hAnsi="Times New Roman"/>
            <w:sz w:val="18"/>
            <w:szCs w:val="18"/>
            <w:u w:val="single" w:color="auto"/>
            <w:color w:val="0000FF"/>
          </w:rPr>
          <w:t>U.S. Pledge and Security Agreement, dated as of March 28, 2017 by and among Aramark Intermediate HoldCo Corporation, Aramark</w:t>
        </w:r>
      </w:hyperlink>
      <w:r>
        <w:rPr>
          <w:rFonts w:ascii="Times New Roman" w:cs="Times New Roman" w:eastAsia="Times New Roman" w:hAnsi="Times New Roman"/>
          <w:sz w:val="18"/>
          <w:szCs w:val="18"/>
          <w:u w:val="single" w:color="auto"/>
          <w:color w:val="0000FF"/>
        </w:rPr>
        <w:t xml:space="preserve"> </w:t>
      </w:r>
      <w:hyperlink r:id="rId32">
        <w:r>
          <w:rPr>
            <w:rFonts w:ascii="Times New Roman" w:cs="Times New Roman" w:eastAsia="Times New Roman" w:hAnsi="Times New Roman"/>
            <w:sz w:val="18"/>
            <w:szCs w:val="18"/>
            <w:u w:val="single" w:color="auto"/>
            <w:color w:val="0000FF"/>
          </w:rPr>
          <w:t>Services, Inc., the Subsidiary Parties from time to time party thereto and JPMorgan Chase Bank, N.A. as collateral agent (incorporated by</w:t>
        </w:r>
      </w:hyperlink>
      <w:r>
        <w:rPr>
          <w:rFonts w:ascii="Times New Roman" w:cs="Times New Roman" w:eastAsia="Times New Roman" w:hAnsi="Times New Roman"/>
          <w:sz w:val="18"/>
          <w:szCs w:val="18"/>
          <w:u w:val="single" w:color="auto"/>
          <w:color w:val="0000FF"/>
        </w:rPr>
        <w:t xml:space="preserve"> </w:t>
      </w:r>
      <w:hyperlink r:id="rId32">
        <w:r>
          <w:rPr>
            <w:rFonts w:ascii="Times New Roman" w:cs="Times New Roman" w:eastAsia="Times New Roman" w:hAnsi="Times New Roman"/>
            <w:sz w:val="18"/>
            <w:szCs w:val="18"/>
            <w:u w:val="single" w:color="auto"/>
            <w:color w:val="0000FF"/>
          </w:rPr>
          <w:t>reference to Exhibit 10.2 to Aramark's Quarterly Report on Form 10-Q filed with the SEC on May 9, 2017, pursuant to the Exchange Act</w:t>
        </w:r>
      </w:hyperlink>
      <w:r>
        <w:rPr>
          <w:rFonts w:ascii="Times New Roman" w:cs="Times New Roman" w:eastAsia="Times New Roman" w:hAnsi="Times New Roman"/>
          <w:sz w:val="18"/>
          <w:szCs w:val="18"/>
          <w:u w:val="single" w:color="auto"/>
          <w:color w:val="0000FF"/>
        </w:rPr>
        <w:t xml:space="preserve"> </w:t>
      </w:r>
      <w:hyperlink r:id="rId32">
        <w:r>
          <w:rPr>
            <w:rFonts w:ascii="Times New Roman" w:cs="Times New Roman" w:eastAsia="Times New Roman" w:hAnsi="Times New Roman"/>
            <w:sz w:val="18"/>
            <w:szCs w:val="18"/>
            <w:u w:val="single" w:color="auto"/>
            <w:color w:val="0000FF"/>
          </w:rPr>
          <w:t>(file number 001-36223)).</w:t>
        </w:r>
      </w:hyperlink>
    </w:p>
    <w:p>
      <w:pPr>
        <w:spacing w:after="0" w:line="18" w:lineRule="exact"/>
        <w:rPr>
          <w:rFonts w:ascii="Times New Roman" w:cs="Times New Roman" w:eastAsia="Times New Roman" w:hAnsi="Times New Roman"/>
          <w:sz w:val="18"/>
          <w:szCs w:val="18"/>
          <w:u w:val="single" w:color="auto"/>
          <w:color w:val="0000FF"/>
        </w:rPr>
      </w:pPr>
    </w:p>
    <w:p>
      <w:pPr>
        <w:ind w:left="1300" w:right="80" w:hanging="56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33">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u w:val="single" w:color="auto"/>
          <w:color w:val="0000FF"/>
        </w:rPr>
        <w:tab/>
      </w:r>
      <w:hyperlink r:id="rId33">
        <w:r>
          <w:rPr>
            <w:rFonts w:ascii="Times New Roman" w:cs="Times New Roman" w:eastAsia="Times New Roman" w:hAnsi="Times New Roman"/>
            <w:sz w:val="18"/>
            <w:szCs w:val="18"/>
            <w:u w:val="single" w:color="auto"/>
            <w:color w:val="0000FF"/>
          </w:rPr>
          <w:t>Amended and Restated Registration Rights and Coordination Committee Agreement, dated as of December 10, 2013, among Aramark and</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the other parties thereto (incorporated by reference to Exhibit 10.2 to Aramark’s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December 16, 2013, pursuant to the Exchange Act (file number 001-36223)).</w:t>
        </w:r>
      </w:hyperlink>
    </w:p>
    <w:p>
      <w:pPr>
        <w:spacing w:after="0" w:line="14" w:lineRule="exact"/>
        <w:rPr>
          <w:rFonts w:ascii="Times New Roman" w:cs="Times New Roman" w:eastAsia="Times New Roman" w:hAnsi="Times New Roman"/>
          <w:sz w:val="18"/>
          <w:szCs w:val="18"/>
          <w:u w:val="single" w:color="auto"/>
          <w:color w:val="0000FF"/>
        </w:rPr>
      </w:pPr>
    </w:p>
    <w:p>
      <w:pPr>
        <w:ind w:left="1300" w:right="100" w:hanging="649"/>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34">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u w:val="single" w:color="auto"/>
          <w:color w:val="0000FF"/>
        </w:rPr>
        <w:tab/>
      </w:r>
      <w:hyperlink r:id="rId34">
        <w:r>
          <w:rPr>
            <w:rFonts w:ascii="Times New Roman" w:cs="Times New Roman" w:eastAsia="Times New Roman" w:hAnsi="Times New Roman"/>
            <w:sz w:val="18"/>
            <w:szCs w:val="18"/>
            <w:u w:val="single" w:color="auto"/>
            <w:color w:val="0000FF"/>
          </w:rPr>
          <w:t>Letter Agreement dated May 7, 2012 between Aramark Services, Inc. and Eric Foss (incorporated by reference to Exhibit 10.4 to Aramark</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Services, Inc.’s Quarterly Report on Form 10-Q filed with the SEC on May 9, 2012, pursuant to the Exchange Act (file number 001-</w:t>
        </w:r>
      </w:hyperlink>
      <w:hyperlink r:id="rId34">
        <w:r>
          <w:rPr>
            <w:rFonts w:ascii="Times New Roman" w:cs="Times New Roman" w:eastAsia="Times New Roman" w:hAnsi="Times New Roman"/>
            <w:sz w:val="18"/>
            <w:szCs w:val="18"/>
            <w:u w:val="single" w:color="auto"/>
            <w:color w:val="0000FF"/>
          </w:rPr>
          <w:t>04762)).</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300" w:right="8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35">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u w:val="single" w:color="auto"/>
          <w:color w:val="0000FF"/>
        </w:rPr>
        <w:tab/>
      </w:r>
      <w:hyperlink r:id="rId35">
        <w:r>
          <w:rPr>
            <w:rFonts w:ascii="Times New Roman" w:cs="Times New Roman" w:eastAsia="Times New Roman" w:hAnsi="Times New Roman"/>
            <w:sz w:val="18"/>
            <w:szCs w:val="18"/>
            <w:u w:val="single" w:color="auto"/>
            <w:color w:val="0000FF"/>
          </w:rPr>
          <w:t>Agreement Relating to Employment and Post-Employment Competition dated May 7, 2012 between Aramark Services, Inc. and Eric Foss</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(incorporated by reference to Exhibit 10.5 to Aramark Services, Inc.’s Quarterly Report on Form 10-Q filed with the SEC on May 9, 2012,</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pursuant to the Exchange Act (file number 001-04762)).</w:t>
        </w:r>
      </w:hyperlink>
    </w:p>
    <w:p>
      <w:pPr>
        <w:spacing w:after="0" w:line="14" w:lineRule="exact"/>
        <w:rPr>
          <w:rFonts w:ascii="Times New Roman" w:cs="Times New Roman" w:eastAsia="Times New Roman" w:hAnsi="Times New Roman"/>
          <w:sz w:val="18"/>
          <w:szCs w:val="18"/>
          <w:u w:val="single" w:color="auto"/>
          <w:color w:val="0000FF"/>
        </w:rPr>
      </w:pPr>
    </w:p>
    <w:p>
      <w:pPr>
        <w:ind w:left="1300" w:right="22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36">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u w:val="single" w:color="auto"/>
          <w:color w:val="0000FF"/>
        </w:rPr>
        <w:tab/>
      </w:r>
      <w:hyperlink r:id="rId36">
        <w:r>
          <w:rPr>
            <w:rFonts w:ascii="Times New Roman" w:cs="Times New Roman" w:eastAsia="Times New Roman" w:hAnsi="Times New Roman"/>
            <w:sz w:val="18"/>
            <w:szCs w:val="18"/>
            <w:u w:val="single" w:color="auto"/>
            <w:color w:val="0000FF"/>
          </w:rPr>
          <w:t>Amendment, effective as of June 25, 2013, to the Letter Agreement dated May 7, 2012 between Aramark Services, Inc. and Eric Foss</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(incorporated by reference to Exhibit 10.6 to Aramark Services, Inc.’s Current Report on Form 8-K filed with the SEC on June 26, 2013,</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pursuant to the Exchange Act (file number 001-04762)).</w:t>
        </w:r>
      </w:hyperlink>
    </w:p>
    <w:p>
      <w:pPr>
        <w:spacing w:after="0" w:line="14" w:lineRule="exact"/>
        <w:rPr>
          <w:rFonts w:ascii="Times New Roman" w:cs="Times New Roman" w:eastAsia="Times New Roman" w:hAnsi="Times New Roman"/>
          <w:sz w:val="18"/>
          <w:szCs w:val="18"/>
          <w:u w:val="single" w:color="auto"/>
          <w:color w:val="0000FF"/>
        </w:rPr>
      </w:pPr>
    </w:p>
    <w:p>
      <w:pPr>
        <w:ind w:left="1300" w:right="220" w:hanging="656"/>
        <w:spacing w:after="0" w:line="298" w:lineRule="auto"/>
        <w:tabs>
          <w:tab w:leader="none" w:pos="1280" w:val="left"/>
        </w:tabs>
        <w:rPr>
          <w:rFonts w:ascii="Times New Roman" w:cs="Times New Roman" w:eastAsia="Times New Roman" w:hAnsi="Times New Roman"/>
          <w:sz w:val="17"/>
          <w:szCs w:val="17"/>
          <w:u w:val="single" w:color="auto"/>
          <w:color w:val="0000FF"/>
        </w:rPr>
      </w:pPr>
      <w:hyperlink r:id="rId37">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u w:val="single" w:color="auto"/>
          <w:color w:val="0000FF"/>
        </w:rPr>
        <w:tab/>
      </w:r>
      <w:hyperlink r:id="rId37">
        <w:r>
          <w:rPr>
            <w:rFonts w:ascii="Times New Roman" w:cs="Times New Roman" w:eastAsia="Times New Roman" w:hAnsi="Times New Roman"/>
            <w:sz w:val="17"/>
            <w:szCs w:val="17"/>
            <w:u w:val="single" w:color="auto"/>
            <w:color w:val="0000FF"/>
          </w:rPr>
          <w:t>Letter Agreement, dated as of August 25, 2019, by and between Eric J. Foss and Aramark (incorporated by reference to Exhibit 10.1 to</w:t>
        </w:r>
      </w:hyperlink>
      <w:r>
        <w:rPr>
          <w:rFonts w:ascii="Times New Roman" w:cs="Times New Roman" w:eastAsia="Times New Roman" w:hAnsi="Times New Roman"/>
          <w:sz w:val="17"/>
          <w:szCs w:val="17"/>
          <w:u w:val="single" w:color="auto"/>
          <w:color w:val="0000FF"/>
        </w:rPr>
        <w:t xml:space="preserve"> </w:t>
      </w:r>
      <w:hyperlink r:id="rId37">
        <w:r>
          <w:rPr>
            <w:rFonts w:ascii="Times New Roman" w:cs="Times New Roman" w:eastAsia="Times New Roman" w:hAnsi="Times New Roman"/>
            <w:sz w:val="17"/>
            <w:szCs w:val="17"/>
            <w:u w:val="single" w:color="auto"/>
            <w:color w:val="0000FF"/>
          </w:rPr>
          <w:t>Aramark’s Current Report on Form 8-K filed with the SEC on August 26, 2019,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1300" w:right="10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38">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u w:val="single" w:color="auto"/>
          <w:color w:val="0000FF"/>
        </w:rPr>
        <w:tab/>
      </w:r>
      <w:hyperlink r:id="rId38">
        <w:r>
          <w:rPr>
            <w:rFonts w:ascii="Times New Roman" w:cs="Times New Roman" w:eastAsia="Times New Roman" w:hAnsi="Times New Roman"/>
            <w:sz w:val="18"/>
            <w:szCs w:val="18"/>
            <w:u w:val="single" w:color="auto"/>
            <w:color w:val="0000FF"/>
          </w:rPr>
          <w:t>Form of Agreement Relating to Employment and Post-Employment Competition and Schedule 1 listing each Executive Officer who is a</w:t>
        </w:r>
      </w:hyperlink>
      <w:r>
        <w:rPr>
          <w:rFonts w:ascii="Times New Roman" w:cs="Times New Roman" w:eastAsia="Times New Roman" w:hAnsi="Times New Roman"/>
          <w:sz w:val="18"/>
          <w:szCs w:val="18"/>
          <w:u w:val="single" w:color="auto"/>
          <w:color w:val="0000FF"/>
        </w:rPr>
        <w:t xml:space="preserve"> </w:t>
      </w:r>
      <w:hyperlink r:id="rId38">
        <w:r>
          <w:rPr>
            <w:rFonts w:ascii="Times New Roman" w:cs="Times New Roman" w:eastAsia="Times New Roman" w:hAnsi="Times New Roman"/>
            <w:sz w:val="18"/>
            <w:szCs w:val="18"/>
            <w:u w:val="single" w:color="auto"/>
            <w:color w:val="0000FF"/>
          </w:rPr>
          <w:t>party to such Agreement (incorporated by reference to Exhibit 10.1 to Aramark Services, Inc.’s Current Report on Form 8-K filed with the</w:t>
        </w:r>
      </w:hyperlink>
      <w:r>
        <w:rPr>
          <w:rFonts w:ascii="Times New Roman" w:cs="Times New Roman" w:eastAsia="Times New Roman" w:hAnsi="Times New Roman"/>
          <w:sz w:val="18"/>
          <w:szCs w:val="18"/>
          <w:u w:val="single" w:color="auto"/>
          <w:color w:val="0000FF"/>
        </w:rPr>
        <w:t xml:space="preserve"> </w:t>
      </w:r>
      <w:hyperlink r:id="rId38">
        <w:r>
          <w:rPr>
            <w:rFonts w:ascii="Times New Roman" w:cs="Times New Roman" w:eastAsia="Times New Roman" w:hAnsi="Times New Roman"/>
            <w:sz w:val="18"/>
            <w:szCs w:val="18"/>
            <w:u w:val="single" w:color="auto"/>
            <w:color w:val="0000FF"/>
          </w:rPr>
          <w:t>SEC on July 19, 2007, pursuant to the Exchange Act (file number 001-04762)).</w:t>
        </w:r>
      </w:hyperlink>
    </w:p>
    <w:p>
      <w:pPr>
        <w:spacing w:after="0" w:line="14" w:lineRule="exact"/>
        <w:rPr>
          <w:rFonts w:ascii="Times New Roman" w:cs="Times New Roman" w:eastAsia="Times New Roman" w:hAnsi="Times New Roman"/>
          <w:sz w:val="18"/>
          <w:szCs w:val="18"/>
          <w:u w:val="single" w:color="auto"/>
          <w:color w:val="0000FF"/>
        </w:rPr>
      </w:pPr>
    </w:p>
    <w:p>
      <w:pPr>
        <w:ind w:left="1300" w:right="4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39">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u w:val="single" w:color="auto"/>
          <w:color w:val="0000FF"/>
        </w:rPr>
        <w:tab/>
      </w:r>
      <w:hyperlink r:id="rId39">
        <w:r>
          <w:rPr>
            <w:rFonts w:ascii="Times New Roman" w:cs="Times New Roman" w:eastAsia="Times New Roman" w:hAnsi="Times New Roman"/>
            <w:sz w:val="18"/>
            <w:szCs w:val="18"/>
            <w:u w:val="single" w:color="auto"/>
            <w:color w:val="0000FF"/>
          </w:rPr>
          <w:t>Form of Amendment to Agreement Relating to Employment and Post-Employment Competition (incorporated by reference to Exhibit 10.8</w:t>
        </w:r>
      </w:hyperlink>
      <w:r>
        <w:rPr>
          <w:rFonts w:ascii="Times New Roman" w:cs="Times New Roman" w:eastAsia="Times New Roman" w:hAnsi="Times New Roman"/>
          <w:sz w:val="18"/>
          <w:szCs w:val="18"/>
          <w:u w:val="single" w:color="auto"/>
          <w:color w:val="0000FF"/>
        </w:rPr>
        <w:t xml:space="preserve"> </w:t>
      </w:r>
      <w:hyperlink r:id="rId39">
        <w:r>
          <w:rPr>
            <w:rFonts w:ascii="Times New Roman" w:cs="Times New Roman" w:eastAsia="Times New Roman" w:hAnsi="Times New Roman"/>
            <w:sz w:val="18"/>
            <w:szCs w:val="18"/>
            <w:u w:val="single" w:color="auto"/>
            <w:color w:val="0000FF"/>
          </w:rPr>
          <w:t>to Aramark Services, Inc.’s Annual Report on Form 10-K filed with the SEC on December 15, 2008, pursuant to the Exchange Act (file</w:t>
        </w:r>
      </w:hyperlink>
      <w:r>
        <w:rPr>
          <w:rFonts w:ascii="Times New Roman" w:cs="Times New Roman" w:eastAsia="Times New Roman" w:hAnsi="Times New Roman"/>
          <w:sz w:val="18"/>
          <w:szCs w:val="18"/>
          <w:u w:val="single" w:color="auto"/>
          <w:color w:val="0000FF"/>
        </w:rPr>
        <w:t xml:space="preserve"> </w:t>
      </w:r>
      <w:hyperlink r:id="rId39">
        <w:r>
          <w:rPr>
            <w:rFonts w:ascii="Times New Roman" w:cs="Times New Roman" w:eastAsia="Times New Roman" w:hAnsi="Times New Roman"/>
            <w:sz w:val="18"/>
            <w:szCs w:val="18"/>
            <w:u w:val="single" w:color="auto"/>
            <w:color w:val="0000FF"/>
          </w:rPr>
          <w:t>number 001-04762)).</w:t>
        </w:r>
      </w:hyperlink>
    </w:p>
    <w:p>
      <w:pPr>
        <w:spacing w:after="0" w:line="14" w:lineRule="exact"/>
        <w:rPr>
          <w:rFonts w:ascii="Times New Roman" w:cs="Times New Roman" w:eastAsia="Times New Roman" w:hAnsi="Times New Roman"/>
          <w:sz w:val="18"/>
          <w:szCs w:val="18"/>
          <w:u w:val="single" w:color="auto"/>
          <w:color w:val="0000FF"/>
        </w:rPr>
      </w:pPr>
    </w:p>
    <w:p>
      <w:pPr>
        <w:jc w:val="center"/>
        <w:ind w:left="400"/>
        <w:spacing w:after="0"/>
        <w:tabs>
          <w:tab w:leader="none" w:pos="140" w:val="left"/>
        </w:tabs>
        <w:rPr>
          <w:rFonts w:ascii="Times New Roman" w:cs="Times New Roman" w:eastAsia="Times New Roman" w:hAnsi="Times New Roman"/>
          <w:sz w:val="17"/>
          <w:szCs w:val="17"/>
          <w:u w:val="single" w:color="auto"/>
          <w:color w:val="0000FF"/>
        </w:rPr>
      </w:pPr>
      <w:hyperlink r:id="rId40">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u w:val="single" w:color="auto"/>
          <w:color w:val="0000FF"/>
        </w:rPr>
        <w:tab/>
      </w:r>
      <w:hyperlink r:id="rId40">
        <w:r>
          <w:rPr>
            <w:rFonts w:ascii="Times New Roman" w:cs="Times New Roman" w:eastAsia="Times New Roman" w:hAnsi="Times New Roman"/>
            <w:sz w:val="17"/>
            <w:szCs w:val="17"/>
            <w:u w:val="single" w:color="auto"/>
            <w:color w:val="0000FF"/>
          </w:rPr>
          <w:t>Offer Letter dated July 20, 2012 between Aramark Services, Inc. and Stephen R. Reynolds (incorporated by reference to Exhibit 10.12 to</w:t>
        </w:r>
      </w:hyperlink>
    </w:p>
    <w:p>
      <w:pPr>
        <w:spacing w:after="0" w:line="27" w:lineRule="exact"/>
        <w:rPr>
          <w:sz w:val="20"/>
          <w:szCs w:val="20"/>
          <w:color w:val="auto"/>
        </w:rPr>
      </w:pPr>
    </w:p>
    <w:p>
      <w:pPr>
        <w:ind w:left="1300" w:right="840"/>
        <w:spacing w:after="0" w:line="261" w:lineRule="auto"/>
        <w:rPr>
          <w:rFonts w:ascii="Times New Roman" w:cs="Times New Roman" w:eastAsia="Times New Roman" w:hAnsi="Times New Roman"/>
          <w:sz w:val="18"/>
          <w:szCs w:val="18"/>
          <w:u w:val="single" w:color="auto"/>
          <w:color w:val="0000FF"/>
        </w:rPr>
      </w:pPr>
      <w:hyperlink r:id="rId40">
        <w:r>
          <w:rPr>
            <w:rFonts w:ascii="Times New Roman" w:cs="Times New Roman" w:eastAsia="Times New Roman" w:hAnsi="Times New Roman"/>
            <w:sz w:val="18"/>
            <w:szCs w:val="18"/>
            <w:u w:val="single" w:color="auto"/>
            <w:color w:val="0000FF"/>
          </w:rPr>
          <w:t>Aramark Services, Inc.’s Annual Report on Form 10-K filed with the SEC on December 20, 2012, pursuant to the Exchange Act</w:t>
        </w:r>
      </w:hyperlink>
      <w:r>
        <w:rPr>
          <w:rFonts w:ascii="Times New Roman" w:cs="Times New Roman" w:eastAsia="Times New Roman" w:hAnsi="Times New Roman"/>
          <w:sz w:val="18"/>
          <w:szCs w:val="18"/>
          <w:u w:val="single" w:color="auto"/>
          <w:color w:val="0000FF"/>
        </w:rPr>
        <w:t xml:space="preserve"> </w:t>
      </w:r>
      <w:hyperlink r:id="rId40">
        <w:r>
          <w:rPr>
            <w:rFonts w:ascii="Times New Roman" w:cs="Times New Roman" w:eastAsia="Times New Roman" w:hAnsi="Times New Roman"/>
            <w:sz w:val="18"/>
            <w:szCs w:val="18"/>
            <w:u w:val="single" w:color="auto"/>
            <w:color w:val="0000FF"/>
          </w:rPr>
          <w:t>(file number 001-04762)).</w:t>
        </w:r>
      </w:hyperlink>
    </w:p>
    <w:p>
      <w:pPr>
        <w:spacing w:after="0" w:line="18" w:lineRule="exact"/>
        <w:rPr>
          <w:sz w:val="20"/>
          <w:szCs w:val="20"/>
          <w:color w:val="auto"/>
        </w:rPr>
      </w:pPr>
    </w:p>
    <w:p>
      <w:pPr>
        <w:ind w:left="1300" w:right="20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41">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u w:val="single" w:color="auto"/>
          <w:color w:val="0000FF"/>
        </w:rPr>
        <w:tab/>
      </w:r>
      <w:hyperlink r:id="rId41">
        <w:r>
          <w:rPr>
            <w:rFonts w:ascii="Times New Roman" w:cs="Times New Roman" w:eastAsia="Times New Roman" w:hAnsi="Times New Roman"/>
            <w:sz w:val="18"/>
            <w:szCs w:val="18"/>
            <w:u w:val="single" w:color="auto"/>
            <w:color w:val="0000FF"/>
          </w:rPr>
          <w:t>Agreement Relating to Employment and Post-Employment Competition dated December 6, 2012 between Aramark Services, Inc. and</w:t>
        </w:r>
      </w:hyperlink>
      <w:r>
        <w:rPr>
          <w:rFonts w:ascii="Times New Roman" w:cs="Times New Roman" w:eastAsia="Times New Roman" w:hAnsi="Times New Roman"/>
          <w:sz w:val="18"/>
          <w:szCs w:val="18"/>
          <w:u w:val="single" w:color="auto"/>
          <w:color w:val="0000FF"/>
        </w:rPr>
        <w:t xml:space="preserve"> </w:t>
      </w:r>
      <w:hyperlink r:id="rId41">
        <w:r>
          <w:rPr>
            <w:rFonts w:ascii="Times New Roman" w:cs="Times New Roman" w:eastAsia="Times New Roman" w:hAnsi="Times New Roman"/>
            <w:sz w:val="18"/>
            <w:szCs w:val="18"/>
            <w:u w:val="single" w:color="auto"/>
            <w:color w:val="0000FF"/>
          </w:rPr>
          <w:t>Stephen R. Reynolds (incorporated by reference to Exhibit 10.13 to Aramark Services, Inc.’s Annual Report on Form 10-K filed with the</w:t>
        </w:r>
      </w:hyperlink>
      <w:r>
        <w:rPr>
          <w:rFonts w:ascii="Times New Roman" w:cs="Times New Roman" w:eastAsia="Times New Roman" w:hAnsi="Times New Roman"/>
          <w:sz w:val="18"/>
          <w:szCs w:val="18"/>
          <w:u w:val="single" w:color="auto"/>
          <w:color w:val="0000FF"/>
        </w:rPr>
        <w:t xml:space="preserve"> </w:t>
      </w:r>
      <w:hyperlink r:id="rId41">
        <w:r>
          <w:rPr>
            <w:rFonts w:ascii="Times New Roman" w:cs="Times New Roman" w:eastAsia="Times New Roman" w:hAnsi="Times New Roman"/>
            <w:sz w:val="18"/>
            <w:szCs w:val="18"/>
            <w:u w:val="single" w:color="auto"/>
            <w:color w:val="0000FF"/>
          </w:rPr>
          <w:t>SEC on December 20, 2012, pursuant to the Exchange Act (file number 001-04762)).</w:t>
        </w:r>
      </w:hyperlink>
    </w:p>
    <w:p>
      <w:pPr>
        <w:spacing w:after="0" w:line="311"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S-62</w:t>
      </w:r>
    </w:p>
    <w:p>
      <w:pPr>
        <w:sectPr>
          <w:pgSz w:w="11900" w:h="16838" w:orient="portrait"/>
          <w:cols w:equalWidth="0" w:num="1">
            <w:col w:w="11380"/>
          </w:cols>
          <w:pgMar w:left="240" w:top="175" w:right="27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560"/>
        <w:spacing w:after="0"/>
        <w:tabs>
          <w:tab w:leader="none" w:pos="1280" w:val="left"/>
        </w:tabs>
        <w:rPr>
          <w:rFonts w:ascii="Times New Roman" w:cs="Times New Roman" w:eastAsia="Times New Roman" w:hAnsi="Times New Roman"/>
          <w:sz w:val="18"/>
          <w:szCs w:val="18"/>
          <w:u w:val="single" w:color="auto"/>
          <w:color w:val="0000FF"/>
        </w:rPr>
      </w:pPr>
      <w:hyperlink w:anchor="page126">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u w:val="single" w:color="auto"/>
          <w:color w:val="0000FF"/>
        </w:rPr>
        <w:tab/>
      </w:r>
      <w:hyperlink w:anchor="page126">
        <w:r>
          <w:rPr>
            <w:rFonts w:ascii="Times New Roman" w:cs="Times New Roman" w:eastAsia="Times New Roman" w:hAnsi="Times New Roman"/>
            <w:sz w:val="18"/>
            <w:szCs w:val="18"/>
            <w:u w:val="single" w:color="auto"/>
            <w:color w:val="0000FF"/>
          </w:rPr>
          <w:t>Offer Letter dated September 6, 2016 between Aramark and Keith Bethel.</w:t>
        </w:r>
      </w:hyperlink>
    </w:p>
    <w:p>
      <w:pPr>
        <w:spacing w:after="0" w:line="63" w:lineRule="exact"/>
        <w:rPr>
          <w:sz w:val="20"/>
          <w:szCs w:val="20"/>
          <w:color w:val="auto"/>
        </w:rPr>
      </w:pPr>
    </w:p>
    <w:p>
      <w:pPr>
        <w:ind w:left="1300" w:right="400" w:hanging="746"/>
        <w:spacing w:after="0" w:line="281" w:lineRule="auto"/>
        <w:tabs>
          <w:tab w:leader="none" w:pos="1280" w:val="left"/>
        </w:tabs>
        <w:rPr>
          <w:rFonts w:ascii="Times New Roman" w:cs="Times New Roman" w:eastAsia="Times New Roman" w:hAnsi="Times New Roman"/>
          <w:sz w:val="18"/>
          <w:szCs w:val="18"/>
          <w:u w:val="single" w:color="auto"/>
          <w:color w:val="0000FF"/>
        </w:rPr>
      </w:pPr>
      <w:hyperlink w:anchor="page129">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u w:val="single" w:color="auto"/>
          <w:color w:val="0000FF"/>
        </w:rPr>
        <w:tab/>
      </w:r>
      <w:hyperlink w:anchor="page129">
        <w:r>
          <w:rPr>
            <w:rFonts w:ascii="Times New Roman" w:cs="Times New Roman" w:eastAsia="Times New Roman" w:hAnsi="Times New Roman"/>
            <w:sz w:val="18"/>
            <w:szCs w:val="18"/>
            <w:u w:val="single" w:color="auto"/>
            <w:color w:val="0000FF"/>
          </w:rPr>
          <w:t>Agreement Relating to Employment and Post-Employment Competition dated November 26, 2013 between Aramark Corporation and</w:t>
        </w:r>
      </w:hyperlink>
      <w:r>
        <w:rPr>
          <w:rFonts w:ascii="Times New Roman" w:cs="Times New Roman" w:eastAsia="Times New Roman" w:hAnsi="Times New Roman"/>
          <w:sz w:val="18"/>
          <w:szCs w:val="18"/>
          <w:u w:val="single" w:color="auto"/>
          <w:color w:val="0000FF"/>
        </w:rPr>
        <w:t xml:space="preserve"> </w:t>
      </w:r>
      <w:hyperlink w:anchor="page129">
        <w:r>
          <w:rPr>
            <w:rFonts w:ascii="Times New Roman" w:cs="Times New Roman" w:eastAsia="Times New Roman" w:hAnsi="Times New Roman"/>
            <w:sz w:val="18"/>
            <w:szCs w:val="18"/>
            <w:u w:val="single" w:color="auto"/>
            <w:color w:val="0000FF"/>
          </w:rPr>
          <w:t>Keith Bethel.</w:t>
        </w:r>
      </w:hyperlink>
    </w:p>
    <w:p>
      <w:pPr>
        <w:spacing w:after="0" w:line="2" w:lineRule="exact"/>
        <w:rPr>
          <w:rFonts w:ascii="Times New Roman" w:cs="Times New Roman" w:eastAsia="Times New Roman" w:hAnsi="Times New Roman"/>
          <w:sz w:val="18"/>
          <w:szCs w:val="18"/>
          <w:u w:val="single" w:color="auto"/>
          <w:color w:val="0000FF"/>
        </w:rPr>
      </w:pPr>
    </w:p>
    <w:p>
      <w:pPr>
        <w:ind w:left="560"/>
        <w:spacing w:after="0"/>
        <w:tabs>
          <w:tab w:leader="none" w:pos="1280" w:val="left"/>
        </w:tabs>
        <w:rPr>
          <w:rFonts w:ascii="Times New Roman" w:cs="Times New Roman" w:eastAsia="Times New Roman" w:hAnsi="Times New Roman"/>
          <w:sz w:val="17"/>
          <w:szCs w:val="17"/>
          <w:u w:val="single" w:color="auto"/>
          <w:color w:val="0000FF"/>
        </w:rPr>
      </w:pPr>
      <w:hyperlink w:anchor="page145">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u w:val="single" w:color="auto"/>
          <w:color w:val="0000FF"/>
        </w:rPr>
        <w:tab/>
      </w:r>
      <w:hyperlink w:anchor="page145">
        <w:r>
          <w:rPr>
            <w:rFonts w:ascii="Times New Roman" w:cs="Times New Roman" w:eastAsia="Times New Roman" w:hAnsi="Times New Roman"/>
            <w:sz w:val="17"/>
            <w:szCs w:val="17"/>
            <w:u w:val="single" w:color="auto"/>
            <w:color w:val="0000FF"/>
          </w:rPr>
          <w:t>Offer Letter dated February 4, 2019 between Aramark and Lauren A. Harrington.</w:t>
        </w:r>
      </w:hyperlink>
    </w:p>
    <w:p>
      <w:pPr>
        <w:spacing w:after="0" w:line="63" w:lineRule="exact"/>
        <w:rPr>
          <w:sz w:val="20"/>
          <w:szCs w:val="20"/>
          <w:color w:val="auto"/>
        </w:rPr>
      </w:pPr>
    </w:p>
    <w:p>
      <w:pPr>
        <w:ind w:left="560"/>
        <w:spacing w:after="0"/>
        <w:tabs>
          <w:tab w:leader="none" w:pos="1280" w:val="left"/>
        </w:tabs>
        <w:rPr>
          <w:rFonts w:ascii="Times New Roman" w:cs="Times New Roman" w:eastAsia="Times New Roman" w:hAnsi="Times New Roman"/>
          <w:sz w:val="18"/>
          <w:szCs w:val="18"/>
          <w:u w:val="single" w:color="auto"/>
          <w:color w:val="0000FF"/>
        </w:rPr>
      </w:pPr>
      <w:hyperlink w:anchor="page148">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u w:val="single" w:color="auto"/>
          <w:color w:val="0000FF"/>
        </w:rPr>
        <w:tab/>
      </w:r>
      <w:hyperlink w:anchor="page148">
        <w:r>
          <w:rPr>
            <w:rFonts w:ascii="Times New Roman" w:cs="Times New Roman" w:eastAsia="Times New Roman" w:hAnsi="Times New Roman"/>
            <w:sz w:val="18"/>
            <w:szCs w:val="18"/>
            <w:u w:val="single" w:color="auto"/>
            <w:color w:val="0000FF"/>
          </w:rPr>
          <w:t>Agreement Relating to Employment and Post-Employment Competition dated August 25, 2019 between Aramark and Lauren A.</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u w:val="single" w:color="auto"/>
          <w:color w:val="0000FF"/>
        </w:rPr>
      </w:pPr>
      <w:hyperlink w:anchor="page148">
        <w:r>
          <w:rPr>
            <w:rFonts w:ascii="Times New Roman" w:cs="Times New Roman" w:eastAsia="Times New Roman" w:hAnsi="Times New Roman"/>
            <w:sz w:val="18"/>
            <w:szCs w:val="18"/>
            <w:u w:val="single" w:color="auto"/>
            <w:color w:val="0000FF"/>
          </w:rPr>
          <w:t>Harrington.</w:t>
        </w:r>
      </w:hyperlink>
    </w:p>
    <w:p>
      <w:pPr>
        <w:spacing w:after="0" w:line="45" w:lineRule="exact"/>
        <w:rPr>
          <w:sz w:val="20"/>
          <w:szCs w:val="20"/>
          <w:color w:val="auto"/>
        </w:rPr>
      </w:pPr>
    </w:p>
    <w:p>
      <w:pPr>
        <w:ind w:left="1300" w:right="6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42">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u w:val="single" w:color="auto"/>
          <w:color w:val="0000FF"/>
        </w:rPr>
        <w:tab/>
      </w:r>
      <w:hyperlink r:id="rId42">
        <w:r>
          <w:rPr>
            <w:rFonts w:ascii="Times New Roman" w:cs="Times New Roman" w:eastAsia="Times New Roman" w:hAnsi="Times New Roman"/>
            <w:sz w:val="18"/>
            <w:szCs w:val="18"/>
            <w:u w:val="single" w:color="auto"/>
            <w:color w:val="0000FF"/>
          </w:rPr>
          <w:t>Offer Letter dated March 12, 2015, between Aramark and Stephen P. Bramlage, Jr. (incorporated by reference to Exhibit 10.1 to Aramark’s</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Quarterly Report on Form 10-Q filed with the SEC on May 13, 2015,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2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u w:val="single" w:color="auto"/>
          <w:color w:val="0000FF"/>
        </w:rPr>
        <w:tab/>
      </w:r>
      <w:hyperlink r:id="rId43">
        <w:r>
          <w:rPr>
            <w:rFonts w:ascii="Times New Roman" w:cs="Times New Roman" w:eastAsia="Times New Roman" w:hAnsi="Times New Roman"/>
            <w:sz w:val="18"/>
            <w:szCs w:val="18"/>
            <w:u w:val="single" w:color="auto"/>
            <w:color w:val="0000FF"/>
          </w:rPr>
          <w:t>Agreement Relating to Employment and Post-Employment Competition dated March 12, 2015 between Aramark and Stephen P. Bramlage,</w:t>
        </w:r>
      </w:hyperlink>
      <w:r>
        <w:rPr>
          <w:rFonts w:ascii="Times New Roman" w:cs="Times New Roman" w:eastAsia="Times New Roman" w:hAnsi="Times New Roman"/>
          <w:sz w:val="18"/>
          <w:szCs w:val="18"/>
          <w:u w:val="single" w:color="auto"/>
          <w:color w:val="0000FF"/>
        </w:rPr>
        <w:t xml:space="preserve"> </w:t>
      </w:r>
      <w:hyperlink r:id="rId43">
        <w:r>
          <w:rPr>
            <w:rFonts w:ascii="Times New Roman" w:cs="Times New Roman" w:eastAsia="Times New Roman" w:hAnsi="Times New Roman"/>
            <w:sz w:val="18"/>
            <w:szCs w:val="18"/>
            <w:u w:val="single" w:color="auto"/>
            <w:color w:val="0000FF"/>
          </w:rPr>
          <w:t>Jr. (incorporated by reference to Exhibit 10.2 to Aramark’s Quarterly Report on Form 10-Q filed with the SEC on May 13, 2015, pursuant</w:t>
        </w:r>
      </w:hyperlink>
      <w:r>
        <w:rPr>
          <w:rFonts w:ascii="Times New Roman" w:cs="Times New Roman" w:eastAsia="Times New Roman" w:hAnsi="Times New Roman"/>
          <w:sz w:val="18"/>
          <w:szCs w:val="18"/>
          <w:u w:val="single" w:color="auto"/>
          <w:color w:val="0000FF"/>
        </w:rPr>
        <w:t xml:space="preserve"> </w:t>
      </w:r>
      <w:hyperlink r:id="rId43">
        <w:r>
          <w:rPr>
            <w:rFonts w:ascii="Times New Roman" w:cs="Times New Roman" w:eastAsia="Times New Roman" w:hAnsi="Times New Roman"/>
            <w:sz w:val="18"/>
            <w:szCs w:val="18"/>
            <w:u w:val="single" w:color="auto"/>
            <w:color w:val="0000FF"/>
          </w:rPr>
          <w:t>to the Exchange Act (file number 001-36223)).</w:t>
        </w:r>
      </w:hyperlink>
    </w:p>
    <w:p>
      <w:pPr>
        <w:spacing w:after="0" w:line="14" w:lineRule="exact"/>
        <w:rPr>
          <w:rFonts w:ascii="Times New Roman" w:cs="Times New Roman" w:eastAsia="Times New Roman" w:hAnsi="Times New Roman"/>
          <w:sz w:val="18"/>
          <w:szCs w:val="18"/>
          <w:u w:val="single" w:color="auto"/>
          <w:color w:val="0000FF"/>
        </w:rPr>
      </w:pPr>
    </w:p>
    <w:p>
      <w:pPr>
        <w:ind w:left="1300" w:right="240" w:hanging="656"/>
        <w:spacing w:after="0" w:line="298" w:lineRule="auto"/>
        <w:tabs>
          <w:tab w:leader="none" w:pos="1280" w:val="left"/>
        </w:tabs>
        <w:rPr>
          <w:rFonts w:ascii="Times New Roman" w:cs="Times New Roman" w:eastAsia="Times New Roman" w:hAnsi="Times New Roman"/>
          <w:sz w:val="17"/>
          <w:szCs w:val="17"/>
          <w:u w:val="single" w:color="auto"/>
          <w:color w:val="0000FF"/>
        </w:rPr>
      </w:pPr>
      <w:hyperlink r:id="rId44">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u w:val="single" w:color="auto"/>
          <w:color w:val="0000FF"/>
        </w:rPr>
        <w:tab/>
      </w:r>
      <w:hyperlink r:id="rId44">
        <w:r>
          <w:rPr>
            <w:rFonts w:ascii="Times New Roman" w:cs="Times New Roman" w:eastAsia="Times New Roman" w:hAnsi="Times New Roman"/>
            <w:sz w:val="17"/>
            <w:szCs w:val="17"/>
            <w:u w:val="single" w:color="auto"/>
            <w:color w:val="0000FF"/>
          </w:rPr>
          <w:t>Offer Letter by and between Aramark and Mr. John J. Zillmer, dated October 6, 2019 (incorporated by reference to Exhibit 10.2 to</w:t>
        </w:r>
      </w:hyperlink>
      <w:r>
        <w:rPr>
          <w:rFonts w:ascii="Times New Roman" w:cs="Times New Roman" w:eastAsia="Times New Roman" w:hAnsi="Times New Roman"/>
          <w:sz w:val="17"/>
          <w:szCs w:val="17"/>
          <w:u w:val="single" w:color="auto"/>
          <w:color w:val="0000FF"/>
        </w:rPr>
        <w:t xml:space="preserve"> </w:t>
      </w:r>
      <w:hyperlink r:id="rId44">
        <w:r>
          <w:rPr>
            <w:rFonts w:ascii="Times New Roman" w:cs="Times New Roman" w:eastAsia="Times New Roman" w:hAnsi="Times New Roman"/>
            <w:sz w:val="17"/>
            <w:szCs w:val="17"/>
            <w:u w:val="single" w:color="auto"/>
            <w:color w:val="0000FF"/>
          </w:rPr>
          <w:t>Aramark’s Current Report on Form 8-K filed with the SEC on October 7, 2019,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30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u w:val="single" w:color="auto"/>
          <w:color w:val="0000FF"/>
        </w:rPr>
        <w:tab/>
      </w:r>
      <w:hyperlink r:id="rId45">
        <w:r>
          <w:rPr>
            <w:rFonts w:ascii="Times New Roman" w:cs="Times New Roman" w:eastAsia="Times New Roman" w:hAnsi="Times New Roman"/>
            <w:sz w:val="18"/>
            <w:szCs w:val="18"/>
            <w:u w:val="single" w:color="auto"/>
            <w:color w:val="0000FF"/>
          </w:rPr>
          <w:t>Agreement Relating to Employment and Post-Employment Competition by and between Aramark and Mr. John J. Zillmer, dated October 6,</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2019 (incorporated by reference to Exhibit 10.2 to Aramark’s Current Report on Form 8-K filed with the SEC on October 7, 2019, pursuant</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to the Exchange Act (file number 001-36223)).</w:t>
        </w:r>
      </w:hyperlink>
    </w:p>
    <w:p>
      <w:pPr>
        <w:spacing w:after="0" w:line="14" w:lineRule="exact"/>
        <w:rPr>
          <w:rFonts w:ascii="Times New Roman" w:cs="Times New Roman" w:eastAsia="Times New Roman" w:hAnsi="Times New Roman"/>
          <w:sz w:val="18"/>
          <w:szCs w:val="18"/>
          <w:u w:val="single" w:color="auto"/>
          <w:color w:val="0000FF"/>
        </w:rPr>
      </w:pPr>
    </w:p>
    <w:p>
      <w:pPr>
        <w:ind w:left="1300" w:right="16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u w:val="single" w:color="auto"/>
          <w:color w:val="0000FF"/>
        </w:rPr>
        <w:tab/>
      </w:r>
      <w:hyperlink r:id="rId46">
        <w:r>
          <w:rPr>
            <w:rFonts w:ascii="Times New Roman" w:cs="Times New Roman" w:eastAsia="Times New Roman" w:hAnsi="Times New Roman"/>
            <w:sz w:val="18"/>
            <w:szCs w:val="18"/>
            <w:u w:val="single" w:color="auto"/>
            <w:color w:val="0000FF"/>
          </w:rPr>
          <w:t>Form of Indemnification Agreement and attached schedule (incorporated by reference to Exhibit 10.4 to Aramark Services, Inc.’s Current</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Report on Form 8-K filed with the SEC on August 10, 2005, pursuant to the Exchange Act (file number 001-16807)).</w:t>
        </w:r>
      </w:hyperlink>
    </w:p>
    <w:p>
      <w:pPr>
        <w:spacing w:after="0" w:line="2" w:lineRule="exact"/>
        <w:rPr>
          <w:rFonts w:ascii="Times New Roman" w:cs="Times New Roman" w:eastAsia="Times New Roman" w:hAnsi="Times New Roman"/>
          <w:sz w:val="18"/>
          <w:szCs w:val="18"/>
          <w:u w:val="single" w:color="auto"/>
          <w:color w:val="0000FF"/>
        </w:rPr>
      </w:pPr>
    </w:p>
    <w:p>
      <w:pPr>
        <w:ind w:left="1300" w:right="3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u w:val="single" w:color="auto"/>
          <w:color w:val="0000FF"/>
        </w:rPr>
        <w:tab/>
      </w:r>
      <w:hyperlink r:id="rId47">
        <w:r>
          <w:rPr>
            <w:rFonts w:ascii="Times New Roman" w:cs="Times New Roman" w:eastAsia="Times New Roman" w:hAnsi="Times New Roman"/>
            <w:sz w:val="18"/>
            <w:szCs w:val="18"/>
            <w:u w:val="single" w:color="auto"/>
            <w:color w:val="0000FF"/>
          </w:rPr>
          <w:t>Form of Indemnification Agreement (Directors) (incorporated by reference to Exhibit 10.17 to Aramark's Annual Report on Form 10-K</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filed with the SEC on November 22, 2017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560"/>
        <w:spacing w:after="0"/>
        <w:tabs>
          <w:tab w:leader="none" w:pos="1280" w:val="left"/>
        </w:tabs>
        <w:rPr>
          <w:rFonts w:ascii="Times New Roman" w:cs="Times New Roman" w:eastAsia="Times New Roman" w:hAnsi="Times New Roman"/>
          <w:sz w:val="17"/>
          <w:szCs w:val="17"/>
          <w:u w:val="single" w:color="auto"/>
          <w:color w:val="0000FF"/>
        </w:rPr>
      </w:pPr>
      <w:hyperlink w:anchor="page169">
        <w:r>
          <w:rPr>
            <w:rFonts w:ascii="Times New Roman" w:cs="Times New Roman" w:eastAsia="Times New Roman" w:hAnsi="Times New Roman"/>
            <w:sz w:val="18"/>
            <w:szCs w:val="18"/>
            <w:u w:val="single" w:color="auto"/>
            <w:color w:val="0000FF"/>
          </w:rPr>
          <w:t>10.29*†</w:t>
        </w:r>
      </w:hyperlink>
      <w:r>
        <w:rPr>
          <w:rFonts w:ascii="Times New Roman" w:cs="Times New Roman" w:eastAsia="Times New Roman" w:hAnsi="Times New Roman"/>
          <w:sz w:val="18"/>
          <w:szCs w:val="18"/>
          <w:u w:val="single" w:color="auto"/>
          <w:color w:val="0000FF"/>
        </w:rPr>
        <w:tab/>
      </w:r>
      <w:hyperlink w:anchor="page169">
        <w:r>
          <w:rPr>
            <w:rFonts w:ascii="Times New Roman" w:cs="Times New Roman" w:eastAsia="Times New Roman" w:hAnsi="Times New Roman"/>
            <w:sz w:val="17"/>
            <w:szCs w:val="17"/>
            <w:u w:val="single" w:color="auto"/>
            <w:color w:val="0000FF"/>
          </w:rPr>
          <w:t>Form of Indemnification Agreement (Executive Officers)</w:t>
        </w:r>
      </w:hyperlink>
    </w:p>
    <w:p>
      <w:pPr>
        <w:spacing w:after="0" w:line="63" w:lineRule="exact"/>
        <w:rPr>
          <w:sz w:val="20"/>
          <w:szCs w:val="20"/>
          <w:color w:val="auto"/>
        </w:rPr>
      </w:pPr>
    </w:p>
    <w:p>
      <w:pPr>
        <w:ind w:left="1300" w:right="60" w:hanging="656"/>
        <w:spacing w:after="0" w:line="261" w:lineRule="auto"/>
        <w:tabs>
          <w:tab w:leader="none" w:pos="1280" w:val="left"/>
        </w:tabs>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10.30†</w:t>
        </w:r>
      </w:hyperlink>
      <w:r>
        <w:rPr>
          <w:rFonts w:ascii="Times New Roman" w:cs="Times New Roman" w:eastAsia="Times New Roman" w:hAnsi="Times New Roman"/>
          <w:sz w:val="18"/>
          <w:szCs w:val="18"/>
          <w:u w:val="single" w:color="auto"/>
          <w:color w:val="0000FF"/>
        </w:rPr>
        <w:tab/>
      </w:r>
      <w:hyperlink r:id="rId48">
        <w:r>
          <w:rPr>
            <w:rFonts w:ascii="Times New Roman" w:cs="Times New Roman" w:eastAsia="Times New Roman" w:hAnsi="Times New Roman"/>
            <w:sz w:val="18"/>
            <w:szCs w:val="18"/>
            <w:u w:val="single" w:color="auto"/>
            <w:color w:val="0000FF"/>
          </w:rPr>
          <w:t>Indemnification Agreement dated May 7, 2012 between Eric Foss and Aramark Services, Inc. (incorporated by reference to Exhibit 10.6 to</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Aramark Services, Inc.’s Quarterly Report on Form 10-Q filed with the SEC on May 9, 2012, pursuant to the Exchange Act</w:t>
        </w:r>
      </w:hyperlink>
    </w:p>
    <w:p>
      <w:pPr>
        <w:ind w:left="1300"/>
        <w:spacing w:after="0"/>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(file number 001-04762)).</w:t>
        </w:r>
      </w:hyperlink>
    </w:p>
    <w:p>
      <w:pPr>
        <w:spacing w:after="0" w:line="45" w:lineRule="exact"/>
        <w:rPr>
          <w:rFonts w:ascii="Times New Roman" w:cs="Times New Roman" w:eastAsia="Times New Roman" w:hAnsi="Times New Roman"/>
          <w:sz w:val="18"/>
          <w:szCs w:val="18"/>
          <w:u w:val="single" w:color="auto"/>
          <w:color w:val="0000FF"/>
        </w:rPr>
      </w:pPr>
    </w:p>
    <w:p>
      <w:pPr>
        <w:ind w:left="1300" w:right="2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10.31†</w:t>
        </w:r>
      </w:hyperlink>
      <w:r>
        <w:rPr>
          <w:rFonts w:ascii="Times New Roman" w:cs="Times New Roman" w:eastAsia="Times New Roman" w:hAnsi="Times New Roman"/>
          <w:sz w:val="18"/>
          <w:szCs w:val="18"/>
          <w:u w:val="single" w:color="auto"/>
          <w:color w:val="0000FF"/>
        </w:rPr>
        <w:tab/>
      </w:r>
      <w:hyperlink r:id="rId49">
        <w:r>
          <w:rPr>
            <w:rFonts w:ascii="Times New Roman" w:cs="Times New Roman" w:eastAsia="Times New Roman" w:hAnsi="Times New Roman"/>
            <w:sz w:val="18"/>
            <w:szCs w:val="18"/>
            <w:u w:val="single" w:color="auto"/>
            <w:color w:val="0000FF"/>
          </w:rPr>
          <w:t>Indemnification Agreement dated December 12, 2012 between Stephen R. Reynolds and Aramark Services, Inc. (incorporated by reference</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to Exhibit 10.22 to Aramark Services, Inc.’s Annual Report on Form 10-K filed with the SEC on December 20, 2012, pursuant to the</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Exchange Act (file number 001-04762)).</w:t>
        </w:r>
      </w:hyperlink>
    </w:p>
    <w:p>
      <w:pPr>
        <w:spacing w:after="0" w:line="14" w:lineRule="exact"/>
        <w:rPr>
          <w:rFonts w:ascii="Times New Roman" w:cs="Times New Roman" w:eastAsia="Times New Roman" w:hAnsi="Times New Roman"/>
          <w:sz w:val="18"/>
          <w:szCs w:val="18"/>
          <w:u w:val="single" w:color="auto"/>
          <w:color w:val="0000FF"/>
        </w:rPr>
      </w:pPr>
    </w:p>
    <w:p>
      <w:pPr>
        <w:ind w:left="1300" w:right="12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10.32†</w:t>
        </w:r>
      </w:hyperlink>
      <w:r>
        <w:rPr>
          <w:rFonts w:ascii="Times New Roman" w:cs="Times New Roman" w:eastAsia="Times New Roman" w:hAnsi="Times New Roman"/>
          <w:sz w:val="18"/>
          <w:szCs w:val="18"/>
          <w:u w:val="single" w:color="auto"/>
          <w:color w:val="0000FF"/>
        </w:rPr>
        <w:tab/>
      </w:r>
      <w:hyperlink r:id="rId50">
        <w:r>
          <w:rPr>
            <w:rFonts w:ascii="Times New Roman" w:cs="Times New Roman" w:eastAsia="Times New Roman" w:hAnsi="Times New Roman"/>
            <w:sz w:val="18"/>
            <w:szCs w:val="18"/>
            <w:u w:val="single" w:color="auto"/>
            <w:color w:val="0000FF"/>
          </w:rPr>
          <w:t>Indemnification Agreement dated February 4, 2014 between Daniel J. Heinrich and Aramark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Aramark’s Quarterly Report on Form 10-Q filed with the SEC on February 5, 2014, pursuant to the Exchange Act (file number 001-</w:t>
        </w:r>
      </w:hyperlink>
      <w:hyperlink r:id="rId50">
        <w:r>
          <w:rPr>
            <w:rFonts w:ascii="Times New Roman" w:cs="Times New Roman" w:eastAsia="Times New Roman" w:hAnsi="Times New Roman"/>
            <w:sz w:val="18"/>
            <w:szCs w:val="18"/>
            <w:u w:val="single" w:color="auto"/>
            <w:color w:val="0000FF"/>
          </w:rPr>
          <w:t>36223)).</w:t>
        </w:r>
      </w:hyperlink>
    </w:p>
    <w:p>
      <w:pPr>
        <w:spacing w:after="0" w:line="14" w:lineRule="exact"/>
        <w:rPr>
          <w:rFonts w:ascii="Times New Roman" w:cs="Times New Roman" w:eastAsia="Times New Roman" w:hAnsi="Times New Roman"/>
          <w:sz w:val="18"/>
          <w:szCs w:val="18"/>
          <w:u w:val="single" w:color="auto"/>
          <w:color w:val="0000FF"/>
        </w:rPr>
      </w:pPr>
    </w:p>
    <w:p>
      <w:pPr>
        <w:ind w:left="1300" w:right="28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10.33†</w:t>
        </w:r>
      </w:hyperlink>
      <w:r>
        <w:rPr>
          <w:rFonts w:ascii="Times New Roman" w:cs="Times New Roman" w:eastAsia="Times New Roman" w:hAnsi="Times New Roman"/>
          <w:sz w:val="18"/>
          <w:szCs w:val="18"/>
          <w:u w:val="single" w:color="auto"/>
          <w:color w:val="0000FF"/>
        </w:rPr>
        <w:tab/>
      </w:r>
      <w:hyperlink r:id="rId51">
        <w:r>
          <w:rPr>
            <w:rFonts w:ascii="Times New Roman" w:cs="Times New Roman" w:eastAsia="Times New Roman" w:hAnsi="Times New Roman"/>
            <w:sz w:val="18"/>
            <w:szCs w:val="18"/>
            <w:u w:val="single" w:color="auto"/>
            <w:color w:val="0000FF"/>
          </w:rPr>
          <w:t>Indemnification Agreement dated February 4, 2014 between Stephen Sadove and Aramark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Aramark’s Quarterly Report on Form 10-Q filed with the SEC on February 5, 2014, pursuant to the Exchange Act (file number 001-</w:t>
        </w:r>
      </w:hyperlink>
      <w:hyperlink r:id="rId51">
        <w:r>
          <w:rPr>
            <w:rFonts w:ascii="Times New Roman" w:cs="Times New Roman" w:eastAsia="Times New Roman" w:hAnsi="Times New Roman"/>
            <w:sz w:val="18"/>
            <w:szCs w:val="18"/>
            <w:u w:val="single" w:color="auto"/>
            <w:color w:val="0000FF"/>
          </w:rPr>
          <w:t>36223)).</w:t>
        </w:r>
      </w:hyperlink>
    </w:p>
    <w:p>
      <w:pPr>
        <w:spacing w:after="0" w:line="14" w:lineRule="exact"/>
        <w:rPr>
          <w:rFonts w:ascii="Times New Roman" w:cs="Times New Roman" w:eastAsia="Times New Roman" w:hAnsi="Times New Roman"/>
          <w:sz w:val="18"/>
          <w:szCs w:val="18"/>
          <w:u w:val="single" w:color="auto"/>
          <w:color w:val="0000FF"/>
        </w:rPr>
      </w:pPr>
    </w:p>
    <w:p>
      <w:pPr>
        <w:ind w:left="1300" w:right="10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10.34†</w:t>
        </w:r>
      </w:hyperlink>
      <w:r>
        <w:rPr>
          <w:rFonts w:ascii="Times New Roman" w:cs="Times New Roman" w:eastAsia="Times New Roman" w:hAnsi="Times New Roman"/>
          <w:sz w:val="18"/>
          <w:szCs w:val="18"/>
          <w:u w:val="single" w:color="auto"/>
          <w:color w:val="0000FF"/>
        </w:rPr>
        <w:tab/>
      </w:r>
      <w:hyperlink r:id="rId52">
        <w:r>
          <w:rPr>
            <w:rFonts w:ascii="Times New Roman" w:cs="Times New Roman" w:eastAsia="Times New Roman" w:hAnsi="Times New Roman"/>
            <w:sz w:val="18"/>
            <w:szCs w:val="18"/>
            <w:u w:val="single" w:color="auto"/>
            <w:color w:val="0000FF"/>
          </w:rPr>
          <w:t>Indemnification Agreement dated April 6, 2015, between Stephen P. Bramlage, Jr. and Aramark (incorporated by reference to Exhibit 10.3</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to Aramark’s Quarterly Report on Form 10-Q filed with the SEC on May 13, 2015, pursuant to the Exchange Act (file number 001-</w:t>
        </w:r>
      </w:hyperlink>
      <w:hyperlink r:id="rId52">
        <w:r>
          <w:rPr>
            <w:rFonts w:ascii="Times New Roman" w:cs="Times New Roman" w:eastAsia="Times New Roman" w:hAnsi="Times New Roman"/>
            <w:sz w:val="18"/>
            <w:szCs w:val="18"/>
            <w:u w:val="single" w:color="auto"/>
            <w:color w:val="0000FF"/>
          </w:rPr>
          <w:t>36223)).</w:t>
        </w:r>
      </w:hyperlink>
    </w:p>
    <w:p>
      <w:pPr>
        <w:spacing w:after="0" w:line="14" w:lineRule="exact"/>
        <w:rPr>
          <w:rFonts w:ascii="Times New Roman" w:cs="Times New Roman" w:eastAsia="Times New Roman" w:hAnsi="Times New Roman"/>
          <w:sz w:val="18"/>
          <w:szCs w:val="18"/>
          <w:u w:val="single" w:color="auto"/>
          <w:color w:val="0000FF"/>
        </w:rPr>
      </w:pPr>
    </w:p>
    <w:p>
      <w:pPr>
        <w:ind w:left="1300" w:right="14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10.35†</w:t>
        </w:r>
      </w:hyperlink>
      <w:r>
        <w:rPr>
          <w:rFonts w:ascii="Times New Roman" w:cs="Times New Roman" w:eastAsia="Times New Roman" w:hAnsi="Times New Roman"/>
          <w:sz w:val="18"/>
          <w:szCs w:val="18"/>
          <w:u w:val="single" w:color="auto"/>
          <w:color w:val="0000FF"/>
        </w:rPr>
        <w:tab/>
      </w:r>
      <w:hyperlink r:id="rId53">
        <w:r>
          <w:rPr>
            <w:rFonts w:ascii="Times New Roman" w:cs="Times New Roman" w:eastAsia="Times New Roman" w:hAnsi="Times New Roman"/>
            <w:sz w:val="18"/>
            <w:szCs w:val="18"/>
            <w:u w:val="single" w:color="auto"/>
            <w:color w:val="0000FF"/>
          </w:rPr>
          <w:t>Aramark 2001 Deferred Compensation Plan (incorporated by reference to Exhibit 10.1 to Aramark Services, Inc.’s Registration Statement</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on Form S-8 filed with the SEC on May 24, 2002 (file number 333-89120)).</w:t>
        </w:r>
      </w:hyperlink>
    </w:p>
    <w:p>
      <w:pPr>
        <w:spacing w:after="0" w:line="2" w:lineRule="exact"/>
        <w:rPr>
          <w:rFonts w:ascii="Times New Roman" w:cs="Times New Roman" w:eastAsia="Times New Roman" w:hAnsi="Times New Roman"/>
          <w:sz w:val="18"/>
          <w:szCs w:val="18"/>
          <w:u w:val="single" w:color="auto"/>
          <w:color w:val="0000FF"/>
        </w:rPr>
      </w:pPr>
    </w:p>
    <w:p>
      <w:pPr>
        <w:jc w:val="center"/>
        <w:ind w:left="760" w:right="120"/>
        <w:spacing w:after="0" w:line="281" w:lineRule="auto"/>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10.36†  Amended and Restated Aramark 2001 Stock Unit Retirement Plan (incorporated by reference to Exhibit 10.22 to Aramark Services, Inc.’s</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Annual Report on Form 10-K filed with the SEC on December 19, 2003, pursuant to the Exchange Act (file number 001-16807)).</w:t>
        </w:r>
      </w:hyperlink>
    </w:p>
    <w:p>
      <w:pPr>
        <w:spacing w:after="0" w:line="2" w:lineRule="exact"/>
        <w:rPr>
          <w:sz w:val="20"/>
          <w:szCs w:val="20"/>
          <w:color w:val="auto"/>
        </w:rPr>
      </w:pPr>
    </w:p>
    <w:p>
      <w:pPr>
        <w:ind w:left="1300" w:right="2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10.37†</w:t>
        </w:r>
      </w:hyperlink>
      <w:r>
        <w:rPr>
          <w:rFonts w:ascii="Times New Roman" w:cs="Times New Roman" w:eastAsia="Times New Roman" w:hAnsi="Times New Roman"/>
          <w:sz w:val="18"/>
          <w:szCs w:val="18"/>
          <w:u w:val="single" w:color="auto"/>
          <w:color w:val="0000FF"/>
        </w:rPr>
        <w:tab/>
      </w:r>
      <w:hyperlink r:id="rId55">
        <w:r>
          <w:rPr>
            <w:rFonts w:ascii="Times New Roman" w:cs="Times New Roman" w:eastAsia="Times New Roman" w:hAnsi="Times New Roman"/>
            <w:sz w:val="18"/>
            <w:szCs w:val="18"/>
            <w:u w:val="single" w:color="auto"/>
            <w:color w:val="0000FF"/>
          </w:rPr>
          <w:t>Second Amended and Restated Aramark Savings Incentive Retirement Plan (incorporated by reference to Exhibit 10.45 to Aramark’s Form</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S-1/A filed with the SEC on November 19, 2013, (file number 333-191057)).</w:t>
        </w:r>
      </w:hyperlink>
    </w:p>
    <w:p>
      <w:pPr>
        <w:spacing w:after="0" w:line="2" w:lineRule="exact"/>
        <w:rPr>
          <w:rFonts w:ascii="Times New Roman" w:cs="Times New Roman" w:eastAsia="Times New Roman" w:hAnsi="Times New Roman"/>
          <w:sz w:val="18"/>
          <w:szCs w:val="18"/>
          <w:u w:val="single" w:color="auto"/>
          <w:color w:val="0000FF"/>
        </w:rPr>
      </w:pPr>
    </w:p>
    <w:p>
      <w:pPr>
        <w:ind w:left="1300" w:right="4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10.38†</w:t>
        </w:r>
      </w:hyperlink>
      <w:r>
        <w:rPr>
          <w:rFonts w:ascii="Times New Roman" w:cs="Times New Roman" w:eastAsia="Times New Roman" w:hAnsi="Times New Roman"/>
          <w:sz w:val="18"/>
          <w:szCs w:val="18"/>
          <w:u w:val="single" w:color="auto"/>
          <w:color w:val="0000FF"/>
        </w:rPr>
        <w:tab/>
      </w:r>
      <w:hyperlink r:id="rId56">
        <w:r>
          <w:rPr>
            <w:rFonts w:ascii="Times New Roman" w:cs="Times New Roman" w:eastAsia="Times New Roman" w:hAnsi="Times New Roman"/>
            <w:sz w:val="18"/>
            <w:szCs w:val="18"/>
            <w:u w:val="single" w:color="auto"/>
            <w:color w:val="0000FF"/>
          </w:rPr>
          <w:t>Amended Survivor Income Protection Plan (incorporated by reference to Exhibit 10.5 to Aramark Services, Inc.’s Quarterly Report on</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Form 10-Q filed with the SEC on August 8, 2007, pursuant to the Exchange Act (file number 001-04762)).</w:t>
        </w:r>
      </w:hyperlink>
    </w:p>
    <w:p>
      <w:pPr>
        <w:spacing w:after="0" w:line="1" w:lineRule="exact"/>
        <w:rPr>
          <w:rFonts w:ascii="Times New Roman" w:cs="Times New Roman" w:eastAsia="Times New Roman" w:hAnsi="Times New Roman"/>
          <w:sz w:val="18"/>
          <w:szCs w:val="18"/>
          <w:u w:val="single" w:color="auto"/>
          <w:color w:val="0000FF"/>
        </w:rPr>
      </w:pPr>
    </w:p>
    <w:p>
      <w:pPr>
        <w:ind w:left="1300" w:right="2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10.39†</w:t>
        </w:r>
      </w:hyperlink>
      <w:r>
        <w:rPr>
          <w:rFonts w:ascii="Times New Roman" w:cs="Times New Roman" w:eastAsia="Times New Roman" w:hAnsi="Times New Roman"/>
          <w:sz w:val="18"/>
          <w:szCs w:val="18"/>
          <w:u w:val="single" w:color="auto"/>
          <w:color w:val="0000FF"/>
        </w:rPr>
        <w:tab/>
      </w:r>
      <w:hyperlink r:id="rId57">
        <w:r>
          <w:rPr>
            <w:rFonts w:ascii="Times New Roman" w:cs="Times New Roman" w:eastAsia="Times New Roman" w:hAnsi="Times New Roman"/>
            <w:sz w:val="18"/>
            <w:szCs w:val="18"/>
            <w:u w:val="single" w:color="auto"/>
            <w:color w:val="0000FF"/>
          </w:rPr>
          <w:t>Second Amended and Restated Aramark 2005 Deferred Compensation Plan (incorporated by reference to Exhibit 10.48 to Aramark’s Form</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S-1/A filed with the SEC on November 19, 2013 (file number 333-191057)).</w:t>
        </w:r>
      </w:hyperlink>
    </w:p>
    <w:p>
      <w:pPr>
        <w:spacing w:after="0" w:line="2" w:lineRule="exact"/>
        <w:rPr>
          <w:rFonts w:ascii="Times New Roman" w:cs="Times New Roman" w:eastAsia="Times New Roman" w:hAnsi="Times New Roman"/>
          <w:sz w:val="18"/>
          <w:szCs w:val="18"/>
          <w:u w:val="single" w:color="auto"/>
          <w:color w:val="0000FF"/>
        </w:rPr>
      </w:pPr>
    </w:p>
    <w:p>
      <w:pPr>
        <w:ind w:left="1300" w:right="1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10.40†</w:t>
        </w:r>
      </w:hyperlink>
      <w:r>
        <w:rPr>
          <w:rFonts w:ascii="Times New Roman" w:cs="Times New Roman" w:eastAsia="Times New Roman" w:hAnsi="Times New Roman"/>
          <w:sz w:val="18"/>
          <w:szCs w:val="18"/>
          <w:u w:val="single" w:color="auto"/>
          <w:color w:val="0000FF"/>
        </w:rPr>
        <w:tab/>
      </w:r>
      <w:hyperlink r:id="rId58">
        <w:r>
          <w:rPr>
            <w:rFonts w:ascii="Times New Roman" w:cs="Times New Roman" w:eastAsia="Times New Roman" w:hAnsi="Times New Roman"/>
            <w:sz w:val="18"/>
            <w:szCs w:val="18"/>
            <w:u w:val="single" w:color="auto"/>
            <w:color w:val="0000FF"/>
          </w:rPr>
          <w:t>Third Amended and Restated 2005 Deferred Compensation Plan (incorporated by reference to Exhibit 10.2 to Aramark’s Quarterly Report</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on Form 10-Q filed with the SEC on February 10, 2016, pursuant to the Exchange Act (file number 001-36233)).</w:t>
        </w:r>
      </w:hyperlink>
    </w:p>
    <w:p>
      <w:pPr>
        <w:spacing w:after="0" w:line="2" w:lineRule="exact"/>
        <w:rPr>
          <w:rFonts w:ascii="Times New Roman" w:cs="Times New Roman" w:eastAsia="Times New Roman" w:hAnsi="Times New Roman"/>
          <w:sz w:val="18"/>
          <w:szCs w:val="18"/>
          <w:u w:val="single" w:color="auto"/>
          <w:color w:val="0000FF"/>
        </w:rPr>
      </w:pPr>
    </w:p>
    <w:p>
      <w:pPr>
        <w:ind w:left="640"/>
        <w:spacing w:after="0"/>
        <w:tabs>
          <w:tab w:leader="none" w:pos="1280" w:val="left"/>
        </w:tabs>
        <w:rPr>
          <w:rFonts w:ascii="Times New Roman" w:cs="Times New Roman" w:eastAsia="Times New Roman" w:hAnsi="Times New Roman"/>
          <w:sz w:val="17"/>
          <w:szCs w:val="17"/>
          <w:u w:val="single" w:color="auto"/>
          <w:color w:val="0000FF"/>
        </w:rPr>
      </w:pPr>
      <w:hyperlink r:id="rId59">
        <w:r>
          <w:rPr>
            <w:rFonts w:ascii="Times New Roman" w:cs="Times New Roman" w:eastAsia="Times New Roman" w:hAnsi="Times New Roman"/>
            <w:sz w:val="18"/>
            <w:szCs w:val="18"/>
            <w:u w:val="single" w:color="auto"/>
            <w:color w:val="0000FF"/>
          </w:rPr>
          <w:t>10.41†</w:t>
        </w:r>
      </w:hyperlink>
      <w:r>
        <w:rPr>
          <w:rFonts w:ascii="Times New Roman" w:cs="Times New Roman" w:eastAsia="Times New Roman" w:hAnsi="Times New Roman"/>
          <w:sz w:val="18"/>
          <w:szCs w:val="18"/>
          <w:u w:val="single" w:color="auto"/>
          <w:color w:val="0000FF"/>
        </w:rPr>
        <w:tab/>
      </w:r>
      <w:hyperlink r:id="rId59">
        <w:r>
          <w:rPr>
            <w:rFonts w:ascii="Times New Roman" w:cs="Times New Roman" w:eastAsia="Times New Roman" w:hAnsi="Times New Roman"/>
            <w:sz w:val="17"/>
            <w:szCs w:val="17"/>
            <w:u w:val="single" w:color="auto"/>
            <w:color w:val="0000FF"/>
          </w:rPr>
          <w:t>Amended and Restated Aramark Executive Leadership Council Management Incentive Bonus Plan (incorporated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10.40 to Aramark's Annual Report on Form 10-K filed with the SEC on November 21, 2018 pursuant to the Exchange Act (file number</w:t>
        </w:r>
      </w:hyperlink>
    </w:p>
    <w:p>
      <w:pPr>
        <w:spacing w:after="0" w:line="9" w:lineRule="exact"/>
        <w:rPr>
          <w:sz w:val="20"/>
          <w:szCs w:val="20"/>
          <w:color w:val="auto"/>
        </w:rPr>
      </w:pPr>
    </w:p>
    <w:p>
      <w:pPr>
        <w:ind w:left="1300"/>
        <w:spacing w:after="0"/>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001-36223).</w:t>
        </w:r>
      </w:hyperlink>
    </w:p>
    <w:p>
      <w:pPr>
        <w:sectPr>
          <w:pgSz w:w="11900" w:h="16838" w:orient="portrait"/>
          <w:cols w:equalWidth="0" w:num="1">
            <w:col w:w="11380"/>
          </w:cols>
          <w:pgMar w:left="240" w:top="175" w:right="279" w:bottom="1440" w:gutter="0" w:footer="0" w:header="0"/>
        </w:sect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S-63</w:t>
      </w:r>
    </w:p>
    <w:p>
      <w:pPr>
        <w:sectPr>
          <w:pgSz w:w="11900" w:h="16838" w:orient="portrait"/>
          <w:cols w:equalWidth="0" w:num="1">
            <w:col w:w="11380"/>
          </w:cols>
          <w:pgMar w:left="240" w:top="175" w:right="279" w:bottom="1440" w:gutter="0" w:footer="0" w:header="0"/>
          <w:type w:val="continuous"/>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560"/>
        <w:spacing w:after="0"/>
        <w:tabs>
          <w:tab w:leader="none" w:pos="1280" w:val="left"/>
        </w:tabs>
        <w:rPr>
          <w:rFonts w:ascii="Times New Roman" w:cs="Times New Roman" w:eastAsia="Times New Roman" w:hAnsi="Times New Roman"/>
          <w:sz w:val="17"/>
          <w:szCs w:val="17"/>
          <w:u w:val="single" w:color="auto"/>
          <w:color w:val="0000FF"/>
        </w:rPr>
      </w:pPr>
      <w:hyperlink w:anchor="page182">
        <w:r>
          <w:rPr>
            <w:rFonts w:ascii="Times New Roman" w:cs="Times New Roman" w:eastAsia="Times New Roman" w:hAnsi="Times New Roman"/>
            <w:sz w:val="18"/>
            <w:szCs w:val="18"/>
            <w:u w:val="single" w:color="auto"/>
            <w:color w:val="0000FF"/>
          </w:rPr>
          <w:t>10.42*†</w:t>
        </w:r>
      </w:hyperlink>
      <w:r>
        <w:rPr>
          <w:rFonts w:ascii="Times New Roman" w:cs="Times New Roman" w:eastAsia="Times New Roman" w:hAnsi="Times New Roman"/>
          <w:sz w:val="18"/>
          <w:szCs w:val="18"/>
          <w:u w:val="single" w:color="auto"/>
          <w:color w:val="0000FF"/>
        </w:rPr>
        <w:tab/>
      </w:r>
      <w:hyperlink w:anchor="page182">
        <w:r>
          <w:rPr>
            <w:rFonts w:ascii="Times New Roman" w:cs="Times New Roman" w:eastAsia="Times New Roman" w:hAnsi="Times New Roman"/>
            <w:sz w:val="17"/>
            <w:szCs w:val="17"/>
            <w:u w:val="single" w:color="auto"/>
            <w:color w:val="0000FF"/>
          </w:rPr>
          <w:t>Amended and Restated Aramark Management Incentive Bonus Plan.</w:t>
        </w:r>
      </w:hyperlink>
    </w:p>
    <w:p>
      <w:pPr>
        <w:spacing w:after="0" w:line="63" w:lineRule="exact"/>
        <w:rPr>
          <w:sz w:val="20"/>
          <w:szCs w:val="20"/>
          <w:color w:val="auto"/>
        </w:rPr>
      </w:pPr>
    </w:p>
    <w:p>
      <w:pPr>
        <w:ind w:left="1300" w:right="1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10.43†</w:t>
        </w:r>
      </w:hyperlink>
      <w:r>
        <w:rPr>
          <w:rFonts w:ascii="Times New Roman" w:cs="Times New Roman" w:eastAsia="Times New Roman" w:hAnsi="Times New Roman"/>
          <w:sz w:val="18"/>
          <w:szCs w:val="18"/>
          <w:u w:val="single" w:color="auto"/>
          <w:color w:val="0000FF"/>
        </w:rPr>
        <w:tab/>
      </w:r>
      <w:hyperlink r:id="rId60">
        <w:r>
          <w:rPr>
            <w:rFonts w:ascii="Times New Roman" w:cs="Times New Roman" w:eastAsia="Times New Roman" w:hAnsi="Times New Roman"/>
            <w:sz w:val="18"/>
            <w:szCs w:val="18"/>
            <w:u w:val="single" w:color="auto"/>
            <w:color w:val="0000FF"/>
          </w:rPr>
          <w:t>Aramark 2005 Deferred Compensation Plan for Directors (incorporated by reference to Exhibit 10.67 to Aramark’s Form S-1/A filed with</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the SEC on November 19, 2013 (file number 333-191057)).</w:t>
        </w:r>
      </w:hyperlink>
    </w:p>
    <w:p>
      <w:pPr>
        <w:spacing w:after="0" w:line="2" w:lineRule="exact"/>
        <w:rPr>
          <w:rFonts w:ascii="Times New Roman" w:cs="Times New Roman" w:eastAsia="Times New Roman" w:hAnsi="Times New Roman"/>
          <w:sz w:val="18"/>
          <w:szCs w:val="18"/>
          <w:u w:val="single" w:color="auto"/>
          <w:color w:val="0000FF"/>
        </w:rPr>
      </w:pPr>
    </w:p>
    <w:p>
      <w:pPr>
        <w:ind w:left="1300" w:right="24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10.44†</w:t>
        </w:r>
      </w:hyperlink>
      <w:r>
        <w:rPr>
          <w:rFonts w:ascii="Times New Roman" w:cs="Times New Roman" w:eastAsia="Times New Roman" w:hAnsi="Times New Roman"/>
          <w:sz w:val="18"/>
          <w:szCs w:val="18"/>
          <w:u w:val="single" w:color="auto"/>
          <w:color w:val="0000FF"/>
        </w:rPr>
        <w:tab/>
      </w:r>
      <w:hyperlink r:id="rId61">
        <w:r>
          <w:rPr>
            <w:rFonts w:ascii="Times New Roman" w:cs="Times New Roman" w:eastAsia="Times New Roman" w:hAnsi="Times New Roman"/>
            <w:sz w:val="18"/>
            <w:szCs w:val="18"/>
            <w:u w:val="single" w:color="auto"/>
            <w:color w:val="0000FF"/>
          </w:rPr>
          <w:t>Fifth Amended and Restated Aramark 2007 Management Stock Incentive Plan (incorporated by reference to Exhibit 10.22 to Aramark’s</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Form S-1/A filed with the SEC on November 19, 2013 (file number 333-191057)).</w:t>
        </w:r>
      </w:hyperlink>
    </w:p>
    <w:p>
      <w:pPr>
        <w:spacing w:after="0" w:line="2" w:lineRule="exact"/>
        <w:rPr>
          <w:rFonts w:ascii="Times New Roman" w:cs="Times New Roman" w:eastAsia="Times New Roman" w:hAnsi="Times New Roman"/>
          <w:sz w:val="18"/>
          <w:szCs w:val="18"/>
          <w:u w:val="single" w:color="auto"/>
          <w:color w:val="0000FF"/>
        </w:rPr>
      </w:pPr>
    </w:p>
    <w:p>
      <w:pPr>
        <w:ind w:left="1300" w:right="12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10.45†</w:t>
        </w:r>
      </w:hyperlink>
      <w:r>
        <w:rPr>
          <w:rFonts w:ascii="Times New Roman" w:cs="Times New Roman" w:eastAsia="Times New Roman" w:hAnsi="Times New Roman"/>
          <w:sz w:val="18"/>
          <w:szCs w:val="18"/>
          <w:u w:val="single" w:color="auto"/>
          <w:color w:val="0000FF"/>
        </w:rPr>
        <w:tab/>
      </w:r>
      <w:hyperlink r:id="rId62">
        <w:r>
          <w:rPr>
            <w:rFonts w:ascii="Times New Roman" w:cs="Times New Roman" w:eastAsia="Times New Roman" w:hAnsi="Times New Roman"/>
            <w:sz w:val="18"/>
            <w:szCs w:val="18"/>
            <w:u w:val="single" w:color="auto"/>
            <w:color w:val="0000FF"/>
          </w:rPr>
          <w:t>Aramark's Amended and Restated 2013 Stock Incentive Plan (incorporated by reference to Exhibit 10.1 to Aramark's Quarterly Report on</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Form 10-Q filed with the SEC on February 7, 2017, pursuant to the Exchange Act (file number 001-36233)).</w:t>
        </w:r>
      </w:hyperlink>
    </w:p>
    <w:p>
      <w:pPr>
        <w:spacing w:after="0" w:line="2" w:lineRule="exact"/>
        <w:rPr>
          <w:rFonts w:ascii="Times New Roman" w:cs="Times New Roman" w:eastAsia="Times New Roman" w:hAnsi="Times New Roman"/>
          <w:sz w:val="18"/>
          <w:szCs w:val="18"/>
          <w:u w:val="single" w:color="auto"/>
          <w:color w:val="0000FF"/>
        </w:rPr>
      </w:pPr>
    </w:p>
    <w:p>
      <w:pPr>
        <w:ind w:left="1300" w:right="1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10.46†</w:t>
        </w:r>
      </w:hyperlink>
      <w:r>
        <w:rPr>
          <w:rFonts w:ascii="Times New Roman" w:cs="Times New Roman" w:eastAsia="Times New Roman" w:hAnsi="Times New Roman"/>
          <w:sz w:val="18"/>
          <w:szCs w:val="18"/>
          <w:u w:val="single" w:color="auto"/>
          <w:color w:val="0000FF"/>
        </w:rPr>
        <w:tab/>
      </w:r>
      <w:hyperlink r:id="rId63">
        <w:r>
          <w:rPr>
            <w:rFonts w:ascii="Times New Roman" w:cs="Times New Roman" w:eastAsia="Times New Roman" w:hAnsi="Times New Roman"/>
            <w:sz w:val="18"/>
            <w:szCs w:val="18"/>
            <w:u w:val="single" w:color="auto"/>
            <w:color w:val="0000FF"/>
          </w:rPr>
          <w:t>Form of Non-Qualified Stock Option Agreement (incorporated by reference to Exhibit 10.5 to Aramark Services, Inc.’s Current Report on</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Form 8-K filed with the SEC on February 1, 2007, pursuant to the Exchange Act (file number 001-16807)).</w:t>
        </w:r>
      </w:hyperlink>
    </w:p>
    <w:p>
      <w:pPr>
        <w:spacing w:after="0" w:line="2" w:lineRule="exact"/>
        <w:rPr>
          <w:rFonts w:ascii="Times New Roman" w:cs="Times New Roman" w:eastAsia="Times New Roman" w:hAnsi="Times New Roman"/>
          <w:sz w:val="18"/>
          <w:szCs w:val="18"/>
          <w:u w:val="single" w:color="auto"/>
          <w:color w:val="0000FF"/>
        </w:rPr>
      </w:pPr>
    </w:p>
    <w:p>
      <w:pPr>
        <w:ind w:left="1300" w:right="18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10.47†</w:t>
        </w:r>
      </w:hyperlink>
      <w:r>
        <w:rPr>
          <w:rFonts w:ascii="Times New Roman" w:cs="Times New Roman" w:eastAsia="Times New Roman" w:hAnsi="Times New Roman"/>
          <w:sz w:val="18"/>
          <w:szCs w:val="18"/>
          <w:u w:val="single" w:color="auto"/>
          <w:color w:val="0000FF"/>
        </w:rPr>
        <w:tab/>
      </w:r>
      <w:hyperlink r:id="rId64">
        <w:r>
          <w:rPr>
            <w:rFonts w:ascii="Times New Roman" w:cs="Times New Roman" w:eastAsia="Times New Roman" w:hAnsi="Times New Roman"/>
            <w:sz w:val="18"/>
            <w:szCs w:val="18"/>
            <w:u w:val="single" w:color="auto"/>
            <w:color w:val="0000FF"/>
          </w:rPr>
          <w:t>Form of Non-Qualified Stock Option Agreement (incorporated by reference to Exhibit 10.1 to Aramark Services, Inc.’s Quarterly Report</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on Form 10-Q filed with the SEC on August 8, 2007, pursuant to the Exchange Act (file number 001-04762)).</w:t>
        </w:r>
      </w:hyperlink>
    </w:p>
    <w:p>
      <w:pPr>
        <w:spacing w:after="0" w:line="2" w:lineRule="exact"/>
        <w:rPr>
          <w:rFonts w:ascii="Times New Roman" w:cs="Times New Roman" w:eastAsia="Times New Roman" w:hAnsi="Times New Roman"/>
          <w:sz w:val="18"/>
          <w:szCs w:val="18"/>
          <w:u w:val="single" w:color="auto"/>
          <w:color w:val="0000FF"/>
        </w:rPr>
      </w:pPr>
    </w:p>
    <w:p>
      <w:pPr>
        <w:ind w:left="1300" w:right="1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10.48†</w:t>
        </w:r>
      </w:hyperlink>
      <w:r>
        <w:rPr>
          <w:rFonts w:ascii="Times New Roman" w:cs="Times New Roman" w:eastAsia="Times New Roman" w:hAnsi="Times New Roman"/>
          <w:sz w:val="18"/>
          <w:szCs w:val="18"/>
          <w:u w:val="single" w:color="auto"/>
          <w:color w:val="0000FF"/>
        </w:rPr>
        <w:tab/>
      </w:r>
      <w:hyperlink r:id="rId65">
        <w:r>
          <w:rPr>
            <w:rFonts w:ascii="Times New Roman" w:cs="Times New Roman" w:eastAsia="Times New Roman" w:hAnsi="Times New Roman"/>
            <w:sz w:val="18"/>
            <w:szCs w:val="18"/>
            <w:u w:val="single" w:color="auto"/>
            <w:color w:val="0000FF"/>
          </w:rPr>
          <w:t>Form of Non-Qualified Stock Option Agreement (incorporated by reference to Exhibit 10.3 to Aramark Services, Inc.’s Current Report on</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Form 8-K filed with the SEC on November 16, 2007, pursuant to the Exchange Act (file number 001-04762)).</w:t>
        </w:r>
      </w:hyperlink>
    </w:p>
    <w:p>
      <w:pPr>
        <w:spacing w:after="0" w:line="2" w:lineRule="exact"/>
        <w:rPr>
          <w:rFonts w:ascii="Times New Roman" w:cs="Times New Roman" w:eastAsia="Times New Roman" w:hAnsi="Times New Roman"/>
          <w:sz w:val="18"/>
          <w:szCs w:val="18"/>
          <w:u w:val="single" w:color="auto"/>
          <w:color w:val="0000FF"/>
        </w:rPr>
      </w:pPr>
    </w:p>
    <w:p>
      <w:pPr>
        <w:ind w:left="1300" w:right="1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10.49†</w:t>
        </w:r>
      </w:hyperlink>
      <w:r>
        <w:rPr>
          <w:rFonts w:ascii="Times New Roman" w:cs="Times New Roman" w:eastAsia="Times New Roman" w:hAnsi="Times New Roman"/>
          <w:sz w:val="18"/>
          <w:szCs w:val="18"/>
          <w:u w:val="single" w:color="auto"/>
          <w:color w:val="0000FF"/>
        </w:rPr>
        <w:tab/>
      </w:r>
      <w:hyperlink r:id="rId66">
        <w:r>
          <w:rPr>
            <w:rFonts w:ascii="Times New Roman" w:cs="Times New Roman" w:eastAsia="Times New Roman" w:hAnsi="Times New Roman"/>
            <w:sz w:val="18"/>
            <w:szCs w:val="18"/>
            <w:u w:val="single" w:color="auto"/>
            <w:color w:val="0000FF"/>
          </w:rPr>
          <w:t>Form of Non-Qualified Stock Option Agreement (incorporated by reference to Exhibit 10.3 to Aramark Services, Inc.’s Current Report on</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Form 8-K filed with the SEC on March 1, 2010, pursuant to the Exchange Act (file number 001-04762)).</w:t>
        </w:r>
      </w:hyperlink>
    </w:p>
    <w:p>
      <w:pPr>
        <w:spacing w:after="0" w:line="2" w:lineRule="exact"/>
        <w:rPr>
          <w:rFonts w:ascii="Times New Roman" w:cs="Times New Roman" w:eastAsia="Times New Roman" w:hAnsi="Times New Roman"/>
          <w:sz w:val="18"/>
          <w:szCs w:val="18"/>
          <w:u w:val="single" w:color="auto"/>
          <w:color w:val="0000FF"/>
        </w:rPr>
      </w:pPr>
    </w:p>
    <w:p>
      <w:pPr>
        <w:ind w:left="1300" w:right="1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10.50†</w:t>
        </w:r>
      </w:hyperlink>
      <w:r>
        <w:rPr>
          <w:rFonts w:ascii="Times New Roman" w:cs="Times New Roman" w:eastAsia="Times New Roman" w:hAnsi="Times New Roman"/>
          <w:sz w:val="18"/>
          <w:szCs w:val="18"/>
          <w:u w:val="single" w:color="auto"/>
          <w:color w:val="0000FF"/>
        </w:rPr>
        <w:tab/>
      </w:r>
      <w:hyperlink r:id="rId67">
        <w:r>
          <w:rPr>
            <w:rFonts w:ascii="Times New Roman" w:cs="Times New Roman" w:eastAsia="Times New Roman" w:hAnsi="Times New Roman"/>
            <w:sz w:val="18"/>
            <w:szCs w:val="18"/>
            <w:u w:val="single" w:color="auto"/>
            <w:color w:val="0000FF"/>
          </w:rPr>
          <w:t>Form of Non-Qualified Stock Option Agreement (incorporated by reference to Exhibit 10.3 to Aramark Services, Inc.’s Current Report on</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Form 8-K filed with the SEC on June 22, 2011, pursuant to the Exchange Act (file number 001-04762)).</w:t>
        </w:r>
      </w:hyperlink>
    </w:p>
    <w:p>
      <w:pPr>
        <w:spacing w:after="0" w:line="2" w:lineRule="exact"/>
        <w:rPr>
          <w:rFonts w:ascii="Times New Roman" w:cs="Times New Roman" w:eastAsia="Times New Roman" w:hAnsi="Times New Roman"/>
          <w:sz w:val="18"/>
          <w:szCs w:val="18"/>
          <w:u w:val="single" w:color="auto"/>
          <w:color w:val="0000FF"/>
        </w:rPr>
      </w:pPr>
    </w:p>
    <w:p>
      <w:pPr>
        <w:jc w:val="center"/>
        <w:ind w:left="320"/>
        <w:spacing w:after="0"/>
        <w:tabs>
          <w:tab w:leader="none" w:pos="140" w:val="left"/>
        </w:tabs>
        <w:rPr>
          <w:rFonts w:ascii="Times New Roman" w:cs="Times New Roman" w:eastAsia="Times New Roman" w:hAnsi="Times New Roman"/>
          <w:sz w:val="17"/>
          <w:szCs w:val="17"/>
          <w:u w:val="single" w:color="auto"/>
          <w:color w:val="0000FF"/>
        </w:rPr>
      </w:pPr>
      <w:hyperlink r:id="rId68">
        <w:r>
          <w:rPr>
            <w:rFonts w:ascii="Times New Roman" w:cs="Times New Roman" w:eastAsia="Times New Roman" w:hAnsi="Times New Roman"/>
            <w:sz w:val="18"/>
            <w:szCs w:val="18"/>
            <w:u w:val="single" w:color="auto"/>
            <w:color w:val="0000FF"/>
          </w:rPr>
          <w:t>10.51†</w:t>
        </w:r>
      </w:hyperlink>
      <w:r>
        <w:rPr>
          <w:rFonts w:ascii="Times New Roman" w:cs="Times New Roman" w:eastAsia="Times New Roman" w:hAnsi="Times New Roman"/>
          <w:sz w:val="18"/>
          <w:szCs w:val="18"/>
          <w:u w:val="single" w:color="auto"/>
          <w:color w:val="0000FF"/>
        </w:rPr>
        <w:tab/>
      </w:r>
      <w:hyperlink r:id="rId68">
        <w:r>
          <w:rPr>
            <w:rFonts w:ascii="Times New Roman" w:cs="Times New Roman" w:eastAsia="Times New Roman" w:hAnsi="Times New Roman"/>
            <w:sz w:val="17"/>
            <w:szCs w:val="17"/>
            <w:u w:val="single" w:color="auto"/>
            <w:color w:val="0000FF"/>
          </w:rPr>
          <w:t>Amendment to Outstanding Non-Qualified Stock Option Agreements dated March 1, 2010 (incorporated by reference to Exhibit 10.1 to</w:t>
        </w:r>
      </w:hyperlink>
    </w:p>
    <w:p>
      <w:pPr>
        <w:spacing w:after="0" w:line="27" w:lineRule="exact"/>
        <w:rPr>
          <w:sz w:val="20"/>
          <w:szCs w:val="20"/>
          <w:color w:val="auto"/>
        </w:rPr>
      </w:pPr>
    </w:p>
    <w:p>
      <w:pPr>
        <w:ind w:left="1300" w:right="900"/>
        <w:spacing w:after="0" w:line="261" w:lineRule="auto"/>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Aramark Services, Inc.’s Current Report on Form 8-K filed with the SEC on March 1, 2010, pursuant to the Exchange Act (file</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number 001-04762)).</w:t>
        </w:r>
      </w:hyperlink>
    </w:p>
    <w:p>
      <w:pPr>
        <w:spacing w:after="0" w:line="18" w:lineRule="exact"/>
        <w:rPr>
          <w:sz w:val="20"/>
          <w:szCs w:val="20"/>
          <w:color w:val="auto"/>
        </w:rPr>
      </w:pPr>
    </w:p>
    <w:p>
      <w:pPr>
        <w:ind w:left="1300" w:right="60" w:hanging="656"/>
        <w:spacing w:after="0" w:line="298" w:lineRule="auto"/>
        <w:tabs>
          <w:tab w:leader="none" w:pos="1280" w:val="left"/>
        </w:tabs>
        <w:rPr>
          <w:rFonts w:ascii="Times New Roman" w:cs="Times New Roman" w:eastAsia="Times New Roman" w:hAnsi="Times New Roman"/>
          <w:sz w:val="17"/>
          <w:szCs w:val="17"/>
          <w:u w:val="single" w:color="auto"/>
          <w:color w:val="0000FF"/>
        </w:rPr>
      </w:pPr>
      <w:hyperlink r:id="rId69">
        <w:r>
          <w:rPr>
            <w:rFonts w:ascii="Times New Roman" w:cs="Times New Roman" w:eastAsia="Times New Roman" w:hAnsi="Times New Roman"/>
            <w:sz w:val="18"/>
            <w:szCs w:val="18"/>
            <w:u w:val="single" w:color="auto"/>
            <w:color w:val="0000FF"/>
          </w:rPr>
          <w:t>10.52†</w:t>
        </w:r>
      </w:hyperlink>
      <w:r>
        <w:rPr>
          <w:rFonts w:ascii="Times New Roman" w:cs="Times New Roman" w:eastAsia="Times New Roman" w:hAnsi="Times New Roman"/>
          <w:sz w:val="18"/>
          <w:szCs w:val="18"/>
          <w:u w:val="single" w:color="auto"/>
          <w:color w:val="0000FF"/>
        </w:rPr>
        <w:tab/>
      </w:r>
      <w:hyperlink r:id="rId69">
        <w:r>
          <w:rPr>
            <w:rFonts w:ascii="Times New Roman" w:cs="Times New Roman" w:eastAsia="Times New Roman" w:hAnsi="Times New Roman"/>
            <w:sz w:val="17"/>
            <w:szCs w:val="17"/>
            <w:u w:val="single" w:color="auto"/>
            <w:color w:val="0000FF"/>
          </w:rPr>
          <w:t>Form of Amendment to Outstanding Non-Qualified Stock Option Agreements (incorporated by reference to Exhibit 10.4 to Aramark</w:t>
        </w:r>
      </w:hyperlink>
      <w:r>
        <w:rPr>
          <w:rFonts w:ascii="Times New Roman" w:cs="Times New Roman" w:eastAsia="Times New Roman" w:hAnsi="Times New Roman"/>
          <w:sz w:val="17"/>
          <w:szCs w:val="17"/>
          <w:u w:val="single" w:color="auto"/>
          <w:color w:val="0000FF"/>
        </w:rPr>
        <w:t xml:space="preserve"> </w:t>
      </w:r>
      <w:hyperlink r:id="rId69">
        <w:r>
          <w:rPr>
            <w:rFonts w:ascii="Times New Roman" w:cs="Times New Roman" w:eastAsia="Times New Roman" w:hAnsi="Times New Roman"/>
            <w:sz w:val="17"/>
            <w:szCs w:val="17"/>
            <w:u w:val="single" w:color="auto"/>
            <w:color w:val="0000FF"/>
          </w:rPr>
          <w:t>Services, Inc.’s Current Report on Form 8-K filed with the SEC on June 22, 2011, pursuant to the Exchange Act (file number 001-04762)).</w:t>
        </w:r>
      </w:hyperlink>
    </w:p>
    <w:p>
      <w:pPr>
        <w:spacing w:after="0" w:line="1" w:lineRule="exact"/>
        <w:rPr>
          <w:rFonts w:ascii="Times New Roman" w:cs="Times New Roman" w:eastAsia="Times New Roman" w:hAnsi="Times New Roman"/>
          <w:sz w:val="18"/>
          <w:szCs w:val="18"/>
          <w:u w:val="single" w:color="auto"/>
          <w:color w:val="0000FF"/>
        </w:rPr>
      </w:pPr>
    </w:p>
    <w:p>
      <w:pPr>
        <w:ind w:left="1300" w:right="18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10.53†</w:t>
        </w:r>
      </w:hyperlink>
      <w:r>
        <w:rPr>
          <w:rFonts w:ascii="Times New Roman" w:cs="Times New Roman" w:eastAsia="Times New Roman" w:hAnsi="Times New Roman"/>
          <w:sz w:val="18"/>
          <w:szCs w:val="18"/>
          <w:u w:val="single" w:color="auto"/>
          <w:color w:val="0000FF"/>
        </w:rPr>
        <w:tab/>
      </w:r>
      <w:hyperlink r:id="rId70">
        <w:r>
          <w:rPr>
            <w:rFonts w:ascii="Times New Roman" w:cs="Times New Roman" w:eastAsia="Times New Roman" w:hAnsi="Times New Roman"/>
            <w:sz w:val="18"/>
            <w:szCs w:val="18"/>
            <w:u w:val="single" w:color="auto"/>
            <w:color w:val="0000FF"/>
          </w:rPr>
          <w:t>Form of Non-Qualified Stock Option Agreement (incorporated by reference to Exhibit 10.2 to Aramark Services, Inc.’s Quarterly Report</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on Form 10-Q filed with the SEC on May 9, 2012, pursuant to the Exchange Act (file number 001-04762)).</w:t>
        </w:r>
      </w:hyperlink>
    </w:p>
    <w:p>
      <w:pPr>
        <w:spacing w:after="0" w:line="2" w:lineRule="exact"/>
        <w:rPr>
          <w:rFonts w:ascii="Times New Roman" w:cs="Times New Roman" w:eastAsia="Times New Roman" w:hAnsi="Times New Roman"/>
          <w:sz w:val="18"/>
          <w:szCs w:val="18"/>
          <w:u w:val="single" w:color="auto"/>
          <w:color w:val="0000FF"/>
        </w:rPr>
      </w:pPr>
    </w:p>
    <w:p>
      <w:pPr>
        <w:ind w:left="1300" w:right="34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10.54†</w:t>
        </w:r>
      </w:hyperlink>
      <w:r>
        <w:rPr>
          <w:rFonts w:ascii="Times New Roman" w:cs="Times New Roman" w:eastAsia="Times New Roman" w:hAnsi="Times New Roman"/>
          <w:sz w:val="18"/>
          <w:szCs w:val="18"/>
          <w:u w:val="single" w:color="auto"/>
          <w:color w:val="0000FF"/>
        </w:rPr>
        <w:tab/>
      </w:r>
      <w:hyperlink r:id="rId71">
        <w:r>
          <w:rPr>
            <w:rFonts w:ascii="Times New Roman" w:cs="Times New Roman" w:eastAsia="Times New Roman" w:hAnsi="Times New Roman"/>
            <w:sz w:val="18"/>
            <w:szCs w:val="18"/>
            <w:u w:val="single" w:color="auto"/>
            <w:color w:val="0000FF"/>
          </w:rPr>
          <w:t>Form of Non-Qualified Stock Option Award Agreement (incorporated by reference to Exhibit 10.2 to Aramark Services, Inc.’s Current</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Report on Form 8-K filed with the SEC on June 26, 2013, pursuant to the Exchange Act (file number 001-04762)).</w:t>
        </w:r>
      </w:hyperlink>
    </w:p>
    <w:p>
      <w:pPr>
        <w:spacing w:after="0" w:line="2" w:lineRule="exact"/>
        <w:rPr>
          <w:rFonts w:ascii="Times New Roman" w:cs="Times New Roman" w:eastAsia="Times New Roman" w:hAnsi="Times New Roman"/>
          <w:sz w:val="18"/>
          <w:szCs w:val="18"/>
          <w:u w:val="single" w:color="auto"/>
          <w:color w:val="0000FF"/>
        </w:rPr>
      </w:pPr>
    </w:p>
    <w:p>
      <w:pPr>
        <w:ind w:left="1300" w:right="40" w:hanging="656"/>
        <w:spacing w:after="0" w:line="298" w:lineRule="auto"/>
        <w:tabs>
          <w:tab w:leader="none" w:pos="1280" w:val="left"/>
        </w:tabs>
        <w:rPr>
          <w:rFonts w:ascii="Times New Roman" w:cs="Times New Roman" w:eastAsia="Times New Roman" w:hAnsi="Times New Roman"/>
          <w:sz w:val="17"/>
          <w:szCs w:val="17"/>
          <w:u w:val="single" w:color="auto"/>
          <w:color w:val="0000FF"/>
        </w:rPr>
      </w:pPr>
      <w:hyperlink r:id="rId72">
        <w:r>
          <w:rPr>
            <w:rFonts w:ascii="Times New Roman" w:cs="Times New Roman" w:eastAsia="Times New Roman" w:hAnsi="Times New Roman"/>
            <w:sz w:val="18"/>
            <w:szCs w:val="18"/>
            <w:u w:val="single" w:color="auto"/>
            <w:color w:val="0000FF"/>
          </w:rPr>
          <w:t>10.55†</w:t>
        </w:r>
      </w:hyperlink>
      <w:r>
        <w:rPr>
          <w:rFonts w:ascii="Times New Roman" w:cs="Times New Roman" w:eastAsia="Times New Roman" w:hAnsi="Times New Roman"/>
          <w:sz w:val="18"/>
          <w:szCs w:val="18"/>
          <w:u w:val="single" w:color="auto"/>
          <w:color w:val="0000FF"/>
        </w:rPr>
        <w:tab/>
      </w:r>
      <w:hyperlink r:id="rId72">
        <w:r>
          <w:rPr>
            <w:rFonts w:ascii="Times New Roman" w:cs="Times New Roman" w:eastAsia="Times New Roman" w:hAnsi="Times New Roman"/>
            <w:sz w:val="17"/>
            <w:szCs w:val="17"/>
            <w:u w:val="single" w:color="auto"/>
            <w:color w:val="0000FF"/>
          </w:rPr>
          <w:t>Form of Time-Based Restricted Stock Unit Award Agreement with Aramark (incorporated by reference to Exhibit 10.3 to Aramark</w:t>
        </w:r>
      </w:hyperlink>
      <w:r>
        <w:rPr>
          <w:rFonts w:ascii="Times New Roman" w:cs="Times New Roman" w:eastAsia="Times New Roman" w:hAnsi="Times New Roman"/>
          <w:sz w:val="17"/>
          <w:szCs w:val="17"/>
          <w:u w:val="single" w:color="auto"/>
          <w:color w:val="0000FF"/>
        </w:rPr>
        <w:t xml:space="preserve"> </w:t>
      </w:r>
      <w:hyperlink r:id="rId72">
        <w:r>
          <w:rPr>
            <w:rFonts w:ascii="Times New Roman" w:cs="Times New Roman" w:eastAsia="Times New Roman" w:hAnsi="Times New Roman"/>
            <w:sz w:val="17"/>
            <w:szCs w:val="17"/>
            <w:u w:val="single" w:color="auto"/>
            <w:color w:val="0000FF"/>
          </w:rPr>
          <w:t>Services, Inc.’s Current Report on Form 8-K filed with the SEC on June 26, 2013, pursuant to the Exchange Act (file number 001-04762)).</w:t>
        </w:r>
      </w:hyperlink>
    </w:p>
    <w:p>
      <w:pPr>
        <w:spacing w:after="0" w:line="1" w:lineRule="exact"/>
        <w:rPr>
          <w:rFonts w:ascii="Times New Roman" w:cs="Times New Roman" w:eastAsia="Times New Roman" w:hAnsi="Times New Roman"/>
          <w:sz w:val="18"/>
          <w:szCs w:val="18"/>
          <w:u w:val="single" w:color="auto"/>
          <w:color w:val="0000FF"/>
        </w:rPr>
      </w:pPr>
    </w:p>
    <w:p>
      <w:pPr>
        <w:ind w:left="1300" w:right="16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10.56†</w:t>
        </w:r>
      </w:hyperlink>
      <w:r>
        <w:rPr>
          <w:rFonts w:ascii="Times New Roman" w:cs="Times New Roman" w:eastAsia="Times New Roman" w:hAnsi="Times New Roman"/>
          <w:sz w:val="18"/>
          <w:szCs w:val="18"/>
          <w:u w:val="single" w:color="auto"/>
          <w:color w:val="0000FF"/>
        </w:rPr>
        <w:tab/>
      </w:r>
      <w:hyperlink r:id="rId73">
        <w:r>
          <w:rPr>
            <w:rFonts w:ascii="Times New Roman" w:cs="Times New Roman" w:eastAsia="Times New Roman" w:hAnsi="Times New Roman"/>
            <w:sz w:val="18"/>
            <w:szCs w:val="18"/>
            <w:u w:val="single" w:color="auto"/>
            <w:color w:val="0000FF"/>
          </w:rPr>
          <w:t>Form of Restricted Stock Award Agreement with Aramark (incorporated by reference to Exhibit 10.4 to Aramark Services, Inc.’s Current</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Report on Form 8-K filed with the SEC on June 26, 2013, pursuant to the Exchange Act (file number 001-04762)).</w:t>
        </w:r>
      </w:hyperlink>
    </w:p>
    <w:p>
      <w:pPr>
        <w:spacing w:after="0" w:line="2" w:lineRule="exact"/>
        <w:rPr>
          <w:rFonts w:ascii="Times New Roman" w:cs="Times New Roman" w:eastAsia="Times New Roman" w:hAnsi="Times New Roman"/>
          <w:sz w:val="18"/>
          <w:szCs w:val="18"/>
          <w:u w:val="single" w:color="auto"/>
          <w:color w:val="0000FF"/>
        </w:rPr>
      </w:pPr>
    </w:p>
    <w:p>
      <w:pPr>
        <w:ind w:left="13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10.57†</w:t>
        </w:r>
      </w:hyperlink>
      <w:r>
        <w:rPr>
          <w:rFonts w:ascii="Times New Roman" w:cs="Times New Roman" w:eastAsia="Times New Roman" w:hAnsi="Times New Roman"/>
          <w:sz w:val="18"/>
          <w:szCs w:val="18"/>
          <w:u w:val="single" w:color="auto"/>
          <w:color w:val="0000FF"/>
        </w:rPr>
        <w:tab/>
      </w:r>
      <w:hyperlink r:id="rId74">
        <w:r>
          <w:rPr>
            <w:rFonts w:ascii="Times New Roman" w:cs="Times New Roman" w:eastAsia="Times New Roman" w:hAnsi="Times New Roman"/>
            <w:sz w:val="18"/>
            <w:szCs w:val="18"/>
            <w:u w:val="single" w:color="auto"/>
            <w:color w:val="0000FF"/>
          </w:rPr>
          <w:t>Form of Replacement Stock Option Award Agreement with Aramark (incorporated by reference to Exhibit 10.5 to Aramark Services, Inc.’s</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Current Report on Form 8-K filed with the SEC on June 26, 2013, pursuant to the Exchange Act (file number 001-04762)).</w:t>
        </w:r>
      </w:hyperlink>
    </w:p>
    <w:p>
      <w:pPr>
        <w:spacing w:after="0" w:line="2" w:lineRule="exact"/>
        <w:rPr>
          <w:rFonts w:ascii="Times New Roman" w:cs="Times New Roman" w:eastAsia="Times New Roman" w:hAnsi="Times New Roman"/>
          <w:sz w:val="18"/>
          <w:szCs w:val="18"/>
          <w:u w:val="single" w:color="auto"/>
          <w:color w:val="0000FF"/>
        </w:rPr>
      </w:pPr>
    </w:p>
    <w:p>
      <w:pPr>
        <w:ind w:left="1300" w:right="260" w:hanging="656"/>
        <w:spacing w:after="0" w:line="298" w:lineRule="auto"/>
        <w:tabs>
          <w:tab w:leader="none" w:pos="1280" w:val="left"/>
        </w:tabs>
        <w:rPr>
          <w:rFonts w:ascii="Times New Roman" w:cs="Times New Roman" w:eastAsia="Times New Roman" w:hAnsi="Times New Roman"/>
          <w:sz w:val="17"/>
          <w:szCs w:val="17"/>
          <w:u w:val="single" w:color="auto"/>
          <w:color w:val="0000FF"/>
        </w:rPr>
      </w:pPr>
      <w:hyperlink r:id="rId75">
        <w:r>
          <w:rPr>
            <w:rFonts w:ascii="Times New Roman" w:cs="Times New Roman" w:eastAsia="Times New Roman" w:hAnsi="Times New Roman"/>
            <w:sz w:val="18"/>
            <w:szCs w:val="18"/>
            <w:u w:val="single" w:color="auto"/>
            <w:color w:val="0000FF"/>
          </w:rPr>
          <w:t>10.58†</w:t>
        </w:r>
      </w:hyperlink>
      <w:r>
        <w:rPr>
          <w:rFonts w:ascii="Times New Roman" w:cs="Times New Roman" w:eastAsia="Times New Roman" w:hAnsi="Times New Roman"/>
          <w:sz w:val="18"/>
          <w:szCs w:val="18"/>
          <w:u w:val="single" w:color="auto"/>
          <w:color w:val="0000FF"/>
        </w:rPr>
        <w:tab/>
      </w:r>
      <w:hyperlink r:id="rId75">
        <w:r>
          <w:rPr>
            <w:rFonts w:ascii="Times New Roman" w:cs="Times New Roman" w:eastAsia="Times New Roman" w:hAnsi="Times New Roman"/>
            <w:sz w:val="17"/>
            <w:szCs w:val="17"/>
            <w:u w:val="single" w:color="auto"/>
            <w:color w:val="0000FF"/>
          </w:rPr>
          <w:t>Schedule 1s to Outstanding Non-Qualified Stock Option Agreements (incorporated by reference to Exhibit 10.18 to Aramark Services,</w:t>
        </w:r>
      </w:hyperlink>
      <w:r>
        <w:rPr>
          <w:rFonts w:ascii="Times New Roman" w:cs="Times New Roman" w:eastAsia="Times New Roman" w:hAnsi="Times New Roman"/>
          <w:sz w:val="17"/>
          <w:szCs w:val="17"/>
          <w:u w:val="single" w:color="auto"/>
          <w:color w:val="0000FF"/>
        </w:rPr>
        <w:t xml:space="preserve"> </w:t>
      </w:r>
      <w:hyperlink r:id="rId75">
        <w:r>
          <w:rPr>
            <w:rFonts w:ascii="Times New Roman" w:cs="Times New Roman" w:eastAsia="Times New Roman" w:hAnsi="Times New Roman"/>
            <w:sz w:val="17"/>
            <w:szCs w:val="17"/>
            <w:u w:val="single" w:color="auto"/>
            <w:color w:val="0000FF"/>
          </w:rPr>
          <w:t>Inc.’s Annual Report on Form 10-K filed with the SEC on December 15, 2009, pursuant to the Exchange Act (file number 001-04762)).</w:t>
        </w:r>
      </w:hyperlink>
    </w:p>
    <w:p>
      <w:pPr>
        <w:spacing w:after="0" w:line="1" w:lineRule="exact"/>
        <w:rPr>
          <w:rFonts w:ascii="Times New Roman" w:cs="Times New Roman" w:eastAsia="Times New Roman" w:hAnsi="Times New Roman"/>
          <w:sz w:val="18"/>
          <w:szCs w:val="18"/>
          <w:u w:val="single" w:color="auto"/>
          <w:color w:val="0000FF"/>
        </w:rPr>
      </w:pPr>
    </w:p>
    <w:p>
      <w:pPr>
        <w:ind w:left="13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10.59†</w:t>
        </w:r>
      </w:hyperlink>
      <w:r>
        <w:rPr>
          <w:rFonts w:ascii="Times New Roman" w:cs="Times New Roman" w:eastAsia="Times New Roman" w:hAnsi="Times New Roman"/>
          <w:sz w:val="18"/>
          <w:szCs w:val="18"/>
          <w:u w:val="single" w:color="auto"/>
          <w:color w:val="0000FF"/>
        </w:rPr>
        <w:tab/>
      </w:r>
      <w:hyperlink r:id="rId76">
        <w:r>
          <w:rPr>
            <w:rFonts w:ascii="Times New Roman" w:cs="Times New Roman" w:eastAsia="Times New Roman" w:hAnsi="Times New Roman"/>
            <w:sz w:val="18"/>
            <w:szCs w:val="18"/>
            <w:u w:val="single" w:color="auto"/>
            <w:color w:val="0000FF"/>
          </w:rPr>
          <w:t>Schedules 1 to Outstanding Non-Qualified Stock Option Agreements (incorporated by reference to Exhibit 10.2 to Aramark Services, Inc.’s</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Current Report on Form 8-K filed with the SEC on March 1, 2010, pursuant to the Exchange Act (file number 001-04762)).</w:t>
        </w:r>
      </w:hyperlink>
    </w:p>
    <w:p>
      <w:pPr>
        <w:spacing w:after="0" w:line="1" w:lineRule="exact"/>
        <w:rPr>
          <w:rFonts w:ascii="Times New Roman" w:cs="Times New Roman" w:eastAsia="Times New Roman" w:hAnsi="Times New Roman"/>
          <w:sz w:val="18"/>
          <w:szCs w:val="18"/>
          <w:u w:val="single" w:color="auto"/>
          <w:color w:val="0000FF"/>
        </w:rPr>
      </w:pPr>
    </w:p>
    <w:p>
      <w:pPr>
        <w:jc w:val="center"/>
        <w:ind w:left="840" w:right="40"/>
        <w:spacing w:after="0" w:line="281"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10.60†  New Schedule 1 to Form of Non-Qualified Stock Option Agreement (incorporated by reference to Exhibit 10.2 to Aramark Services, Inc.’s</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Current Report on Form 8-K filed with the SEC on November 18, 2011, pursuant to the Exchange Act (file number 001-04762)).</w:t>
        </w:r>
      </w:hyperlink>
    </w:p>
    <w:p>
      <w:pPr>
        <w:spacing w:after="0" w:line="2" w:lineRule="exact"/>
        <w:rPr>
          <w:sz w:val="20"/>
          <w:szCs w:val="20"/>
          <w:color w:val="auto"/>
        </w:rPr>
      </w:pPr>
    </w:p>
    <w:p>
      <w:pPr>
        <w:ind w:left="1300" w:right="24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10.61†</w:t>
        </w:r>
      </w:hyperlink>
      <w:r>
        <w:rPr>
          <w:rFonts w:ascii="Times New Roman" w:cs="Times New Roman" w:eastAsia="Times New Roman" w:hAnsi="Times New Roman"/>
          <w:sz w:val="18"/>
          <w:szCs w:val="18"/>
          <w:u w:val="single" w:color="auto"/>
          <w:color w:val="0000FF"/>
        </w:rPr>
        <w:tab/>
      </w:r>
      <w:hyperlink r:id="rId78">
        <w:r>
          <w:rPr>
            <w:rFonts w:ascii="Times New Roman" w:cs="Times New Roman" w:eastAsia="Times New Roman" w:hAnsi="Times New Roman"/>
            <w:sz w:val="18"/>
            <w:szCs w:val="18"/>
            <w:u w:val="single" w:color="auto"/>
            <w:color w:val="0000FF"/>
          </w:rPr>
          <w:t>Revised Schedule 1s to outstanding Non-Qualified Stock Option Agreements (incorporated by reference to Exhibit 10.3 to Aramark</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Services, Inc.’s Current Report on Form 8-K filed with the SEC on November 18, 2011, pursuant to the Exchange Act (file number 001-</w:t>
        </w:r>
      </w:hyperlink>
      <w:hyperlink r:id="rId78">
        <w:r>
          <w:rPr>
            <w:rFonts w:ascii="Times New Roman" w:cs="Times New Roman" w:eastAsia="Times New Roman" w:hAnsi="Times New Roman"/>
            <w:sz w:val="18"/>
            <w:szCs w:val="18"/>
            <w:u w:val="single" w:color="auto"/>
            <w:color w:val="0000FF"/>
          </w:rPr>
          <w:t>04762)).</w:t>
        </w:r>
      </w:hyperlink>
    </w:p>
    <w:p>
      <w:pPr>
        <w:spacing w:after="0" w:line="14" w:lineRule="exact"/>
        <w:rPr>
          <w:rFonts w:ascii="Times New Roman" w:cs="Times New Roman" w:eastAsia="Times New Roman" w:hAnsi="Times New Roman"/>
          <w:sz w:val="18"/>
          <w:szCs w:val="18"/>
          <w:u w:val="single" w:color="auto"/>
          <w:color w:val="0000FF"/>
        </w:rPr>
      </w:pPr>
    </w:p>
    <w:p>
      <w:pPr>
        <w:jc w:val="center"/>
        <w:ind w:left="840" w:right="40"/>
        <w:spacing w:after="0" w:line="282"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10.62†  New Schedule 1 to Form of Non-Qualified Stock Option Agreement (incorporated by reference to Exhibit 10.1 to Aramark Services, Inc.’s</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Current Report on Form 8-K filed with the SEC on November 19, 2012, pursuant to the Exchange Act (file number 001-04762)).</w:t>
        </w:r>
      </w:hyperlink>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S-64</w:t>
      </w:r>
    </w:p>
    <w:p>
      <w:pPr>
        <w:sectPr>
          <w:pgSz w:w="11900" w:h="16838" w:orient="portrait"/>
          <w:cols w:equalWidth="0" w:num="1">
            <w:col w:w="11360"/>
          </w:cols>
          <w:pgMar w:left="240" w:top="175" w:right="29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1300" w:right="24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10.63†</w:t>
        </w:r>
      </w:hyperlink>
      <w:r>
        <w:rPr>
          <w:rFonts w:ascii="Times New Roman" w:cs="Times New Roman" w:eastAsia="Times New Roman" w:hAnsi="Times New Roman"/>
          <w:sz w:val="18"/>
          <w:szCs w:val="18"/>
          <w:u w:val="single" w:color="auto"/>
          <w:color w:val="0000FF"/>
        </w:rPr>
        <w:tab/>
      </w:r>
      <w:hyperlink r:id="rId80">
        <w:r>
          <w:rPr>
            <w:rFonts w:ascii="Times New Roman" w:cs="Times New Roman" w:eastAsia="Times New Roman" w:hAnsi="Times New Roman"/>
            <w:sz w:val="18"/>
            <w:szCs w:val="18"/>
            <w:u w:val="single" w:color="auto"/>
            <w:color w:val="0000FF"/>
          </w:rPr>
          <w:t>Revised Schedule 1s to outstanding Non-Qualified Stock Option Agreements (incorporated by reference to Exhibit 10.2 to Aramark</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Services, Inc.’s Current Report on Form 8-K filed with the SEC on November 19, 2012, pursuant to the Exchange Act (file number 001-</w:t>
        </w:r>
      </w:hyperlink>
      <w:hyperlink r:id="rId80">
        <w:r>
          <w:rPr>
            <w:rFonts w:ascii="Times New Roman" w:cs="Times New Roman" w:eastAsia="Times New Roman" w:hAnsi="Times New Roman"/>
            <w:sz w:val="18"/>
            <w:szCs w:val="18"/>
            <w:u w:val="single" w:color="auto"/>
            <w:color w:val="0000FF"/>
          </w:rPr>
          <w:t>04762)).</w:t>
        </w:r>
      </w:hyperlink>
    </w:p>
    <w:p>
      <w:pPr>
        <w:spacing w:after="0" w:line="14" w:lineRule="exact"/>
        <w:rPr>
          <w:rFonts w:ascii="Times New Roman" w:cs="Times New Roman" w:eastAsia="Times New Roman" w:hAnsi="Times New Roman"/>
          <w:sz w:val="18"/>
          <w:szCs w:val="18"/>
          <w:u w:val="single" w:color="auto"/>
          <w:color w:val="0000FF"/>
        </w:rPr>
      </w:pPr>
    </w:p>
    <w:p>
      <w:pPr>
        <w:ind w:left="1300" w:right="3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10.64†</w:t>
        </w:r>
      </w:hyperlink>
      <w:r>
        <w:rPr>
          <w:rFonts w:ascii="Times New Roman" w:cs="Times New Roman" w:eastAsia="Times New Roman" w:hAnsi="Times New Roman"/>
          <w:sz w:val="18"/>
          <w:szCs w:val="18"/>
          <w:u w:val="single" w:color="auto"/>
          <w:color w:val="0000FF"/>
        </w:rPr>
        <w:tab/>
      </w:r>
      <w:hyperlink r:id="rId81">
        <w:r>
          <w:rPr>
            <w:rFonts w:ascii="Times New Roman" w:cs="Times New Roman" w:eastAsia="Times New Roman" w:hAnsi="Times New Roman"/>
            <w:sz w:val="18"/>
            <w:szCs w:val="18"/>
            <w:u w:val="single" w:color="auto"/>
            <w:color w:val="0000FF"/>
          </w:rPr>
          <w:t>Revised Schedule 1s to Outstanding Non-Qualified Stock Option Agreements (incorporated by reference to Exhibit 10.68 to Aramark’s</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Form S-1/A filed with the SEC on November 19, 2013 (file number 333-191057)).</w:t>
        </w:r>
      </w:hyperlink>
    </w:p>
    <w:p>
      <w:pPr>
        <w:spacing w:after="0" w:line="2" w:lineRule="exact"/>
        <w:rPr>
          <w:rFonts w:ascii="Times New Roman" w:cs="Times New Roman" w:eastAsia="Times New Roman" w:hAnsi="Times New Roman"/>
          <w:sz w:val="18"/>
          <w:szCs w:val="18"/>
          <w:u w:val="single" w:color="auto"/>
          <w:color w:val="0000FF"/>
        </w:rPr>
      </w:pPr>
    </w:p>
    <w:p>
      <w:pPr>
        <w:ind w:left="1300" w:right="34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10.65†</w:t>
        </w:r>
      </w:hyperlink>
      <w:r>
        <w:rPr>
          <w:rFonts w:ascii="Times New Roman" w:cs="Times New Roman" w:eastAsia="Times New Roman" w:hAnsi="Times New Roman"/>
          <w:sz w:val="18"/>
          <w:szCs w:val="18"/>
          <w:u w:val="single" w:color="auto"/>
          <w:color w:val="0000FF"/>
        </w:rPr>
        <w:tab/>
      </w:r>
      <w:hyperlink r:id="rId82">
        <w:r>
          <w:rPr>
            <w:rFonts w:ascii="Times New Roman" w:cs="Times New Roman" w:eastAsia="Times New Roman" w:hAnsi="Times New Roman"/>
            <w:sz w:val="18"/>
            <w:szCs w:val="18"/>
            <w:u w:val="single" w:color="auto"/>
            <w:color w:val="0000FF"/>
          </w:rPr>
          <w:t>Form of Amendment to Outstanding Non-Qualified Stock Option Agreement (incorporated by reference to Exhibit 10.69 to Aramark’s</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Form S-1/A filed with the SEC on November 19, 2013 (file number 333-191057)).</w:t>
        </w:r>
      </w:hyperlink>
    </w:p>
    <w:p>
      <w:pPr>
        <w:spacing w:after="0" w:line="2" w:lineRule="exact"/>
        <w:rPr>
          <w:rFonts w:ascii="Times New Roman" w:cs="Times New Roman" w:eastAsia="Times New Roman" w:hAnsi="Times New Roman"/>
          <w:sz w:val="18"/>
          <w:szCs w:val="18"/>
          <w:u w:val="single" w:color="auto"/>
          <w:color w:val="0000FF"/>
        </w:rPr>
      </w:pPr>
    </w:p>
    <w:p>
      <w:pPr>
        <w:ind w:left="1300" w:right="18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10.66†</w:t>
        </w:r>
      </w:hyperlink>
      <w:r>
        <w:rPr>
          <w:rFonts w:ascii="Times New Roman" w:cs="Times New Roman" w:eastAsia="Times New Roman" w:hAnsi="Times New Roman"/>
          <w:sz w:val="18"/>
          <w:szCs w:val="18"/>
          <w:u w:val="single" w:color="auto"/>
          <w:color w:val="0000FF"/>
        </w:rPr>
        <w:tab/>
      </w:r>
      <w:hyperlink r:id="rId83">
        <w:r>
          <w:rPr>
            <w:rFonts w:ascii="Times New Roman" w:cs="Times New Roman" w:eastAsia="Times New Roman" w:hAnsi="Times New Roman"/>
            <w:sz w:val="18"/>
            <w:szCs w:val="18"/>
            <w:u w:val="single" w:color="auto"/>
            <w:color w:val="0000FF"/>
          </w:rPr>
          <w:t>Form of Non-Qualified Stock Option Award under the Aramark 2013 Stock Incentive Plan (incorporated by reference to Exhibit 10.71 to</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Aramark’s Form S-1/A filed with the SEC on November 19, 2013 (file number 333-191057)).</w:t>
        </w:r>
      </w:hyperlink>
    </w:p>
    <w:p>
      <w:pPr>
        <w:spacing w:after="0" w:line="2" w:lineRule="exact"/>
        <w:rPr>
          <w:rFonts w:ascii="Times New Roman" w:cs="Times New Roman" w:eastAsia="Times New Roman" w:hAnsi="Times New Roman"/>
          <w:sz w:val="18"/>
          <w:szCs w:val="18"/>
          <w:u w:val="single" w:color="auto"/>
          <w:color w:val="0000FF"/>
        </w:rPr>
      </w:pPr>
    </w:p>
    <w:p>
      <w:pPr>
        <w:ind w:left="1300" w:right="68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10.67†</w:t>
        </w:r>
      </w:hyperlink>
      <w:r>
        <w:rPr>
          <w:rFonts w:ascii="Times New Roman" w:cs="Times New Roman" w:eastAsia="Times New Roman" w:hAnsi="Times New Roman"/>
          <w:sz w:val="18"/>
          <w:szCs w:val="18"/>
          <w:u w:val="single" w:color="auto"/>
          <w:color w:val="0000FF"/>
        </w:rPr>
        <w:tab/>
      </w:r>
      <w:hyperlink r:id="rId84">
        <w:r>
          <w:rPr>
            <w:rFonts w:ascii="Times New Roman" w:cs="Times New Roman" w:eastAsia="Times New Roman" w:hAnsi="Times New Roman"/>
            <w:sz w:val="18"/>
            <w:szCs w:val="18"/>
            <w:u w:val="single" w:color="auto"/>
            <w:color w:val="0000FF"/>
          </w:rPr>
          <w:t>Form of Restricted Stock Unit Award under the Aramark 2013 Stock Incentive Plan (incorporated by reference to Exhibit 10.72 to</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Aramark’s Form S-1/A filed with the SEC on November 19, 2013 (file number 333-191057)).</w:t>
        </w:r>
      </w:hyperlink>
    </w:p>
    <w:p>
      <w:pPr>
        <w:spacing w:after="0" w:line="2" w:lineRule="exact"/>
        <w:rPr>
          <w:rFonts w:ascii="Times New Roman" w:cs="Times New Roman" w:eastAsia="Times New Roman" w:hAnsi="Times New Roman"/>
          <w:sz w:val="18"/>
          <w:szCs w:val="18"/>
          <w:u w:val="single" w:color="auto"/>
          <w:color w:val="0000FF"/>
        </w:rPr>
      </w:pPr>
    </w:p>
    <w:p>
      <w:pPr>
        <w:ind w:left="1300" w:right="6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10.68†</w:t>
        </w:r>
      </w:hyperlink>
      <w:r>
        <w:rPr>
          <w:rFonts w:ascii="Times New Roman" w:cs="Times New Roman" w:eastAsia="Times New Roman" w:hAnsi="Times New Roman"/>
          <w:sz w:val="18"/>
          <w:szCs w:val="18"/>
          <w:u w:val="single" w:color="auto"/>
          <w:color w:val="0000FF"/>
        </w:rPr>
        <w:tab/>
      </w:r>
      <w:hyperlink r:id="rId85">
        <w:r>
          <w:rPr>
            <w:rFonts w:ascii="Times New Roman" w:cs="Times New Roman" w:eastAsia="Times New Roman" w:hAnsi="Times New Roman"/>
            <w:sz w:val="18"/>
            <w:szCs w:val="18"/>
            <w:u w:val="single" w:color="auto"/>
            <w:color w:val="0000FF"/>
          </w:rPr>
          <w:t>Form of Performance Stock Unit Award Agreement (incorporated by reference to Exhibit 10.4 to Aramark’s Quarterly Report on Form 10-</w:t>
        </w:r>
      </w:hyperlink>
      <w:hyperlink r:id="rId85">
        <w:r>
          <w:rPr>
            <w:rFonts w:ascii="Times New Roman" w:cs="Times New Roman" w:eastAsia="Times New Roman" w:hAnsi="Times New Roman"/>
            <w:sz w:val="18"/>
            <w:szCs w:val="18"/>
            <w:u w:val="single" w:color="auto"/>
            <w:color w:val="0000FF"/>
          </w:rPr>
          <w:t>Q filed with the SEC on February 5, 2014,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1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10.69†</w:t>
        </w:r>
      </w:hyperlink>
      <w:r>
        <w:rPr>
          <w:rFonts w:ascii="Times New Roman" w:cs="Times New Roman" w:eastAsia="Times New Roman" w:hAnsi="Times New Roman"/>
          <w:sz w:val="18"/>
          <w:szCs w:val="18"/>
          <w:u w:val="single" w:color="auto"/>
          <w:color w:val="0000FF"/>
        </w:rPr>
        <w:tab/>
      </w:r>
      <w:hyperlink r:id="rId86">
        <w:r>
          <w:rPr>
            <w:rFonts w:ascii="Times New Roman" w:cs="Times New Roman" w:eastAsia="Times New Roman" w:hAnsi="Times New Roman"/>
            <w:sz w:val="18"/>
            <w:szCs w:val="18"/>
            <w:u w:val="single" w:color="auto"/>
            <w:color w:val="0000FF"/>
          </w:rPr>
          <w:t>Form of Performance Stock Unit Award Agreement (Revised) (incorporated by reference to Exhibit 10.26 to Aramark’s Annual Report on</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Form 10-K filed with the SEC on December 3, 2014,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2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10.70†</w:t>
        </w:r>
      </w:hyperlink>
      <w:r>
        <w:rPr>
          <w:rFonts w:ascii="Times New Roman" w:cs="Times New Roman" w:eastAsia="Times New Roman" w:hAnsi="Times New Roman"/>
          <w:sz w:val="18"/>
          <w:szCs w:val="18"/>
          <w:u w:val="single" w:color="auto"/>
          <w:color w:val="0000FF"/>
        </w:rPr>
        <w:tab/>
      </w:r>
      <w:hyperlink r:id="rId87">
        <w:r>
          <w:rPr>
            <w:rFonts w:ascii="Times New Roman" w:cs="Times New Roman" w:eastAsia="Times New Roman" w:hAnsi="Times New Roman"/>
            <w:sz w:val="18"/>
            <w:szCs w:val="18"/>
            <w:u w:val="single" w:color="auto"/>
            <w:color w:val="0000FF"/>
          </w:rPr>
          <w:t>Form of Performance Stock Unit Award Agreement (Revised) (incorporated by reference to Exhibit 10.2 to Aramark’s Quarterly Report on</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Form 10-Q filed with the SEC on August 12, 2015,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6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10.71†</w:t>
        </w:r>
      </w:hyperlink>
      <w:r>
        <w:rPr>
          <w:rFonts w:ascii="Times New Roman" w:cs="Times New Roman" w:eastAsia="Times New Roman" w:hAnsi="Times New Roman"/>
          <w:sz w:val="18"/>
          <w:szCs w:val="18"/>
          <w:u w:val="single" w:color="auto"/>
          <w:color w:val="0000FF"/>
        </w:rPr>
        <w:tab/>
      </w:r>
      <w:hyperlink r:id="rId88">
        <w:r>
          <w:rPr>
            <w:rFonts w:ascii="Times New Roman" w:cs="Times New Roman" w:eastAsia="Times New Roman" w:hAnsi="Times New Roman"/>
            <w:sz w:val="18"/>
            <w:szCs w:val="18"/>
            <w:u w:val="single" w:color="auto"/>
            <w:color w:val="0000FF"/>
          </w:rPr>
          <w:t>Form of Performance Restricted Stock Award (incorporated by reference to Exhibit 10.61 to Aramark’s Annual Report on Form 10-K filed</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with the SEC on December 1, 2015,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jc w:val="center"/>
        <w:ind w:left="740" w:right="140"/>
        <w:spacing w:after="0" w:line="281"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10.72†  Form of Non-Qualified Stock Option Award Agreement (Relative TSR Vesting) (incorporated by reference to Exhibit 10.62 to Aramark’s</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Annual Report on Form 10-K filed with the SEC on December 1, 2015, pursuant to the Exchange Act (file number 001-36223)).</w:t>
        </w:r>
      </w:hyperlink>
    </w:p>
    <w:p>
      <w:pPr>
        <w:spacing w:after="0" w:line="2" w:lineRule="exact"/>
        <w:rPr>
          <w:sz w:val="20"/>
          <w:szCs w:val="20"/>
          <w:color w:val="auto"/>
        </w:rPr>
      </w:pPr>
    </w:p>
    <w:p>
      <w:pPr>
        <w:ind w:left="1300" w:right="6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10.73†</w:t>
        </w:r>
      </w:hyperlink>
      <w:r>
        <w:rPr>
          <w:rFonts w:ascii="Times New Roman" w:cs="Times New Roman" w:eastAsia="Times New Roman" w:hAnsi="Times New Roman"/>
          <w:sz w:val="18"/>
          <w:szCs w:val="18"/>
          <w:u w:val="single" w:color="auto"/>
          <w:color w:val="0000FF"/>
        </w:rPr>
        <w:tab/>
      </w:r>
      <w:hyperlink r:id="rId90">
        <w:r>
          <w:rPr>
            <w:rFonts w:ascii="Times New Roman" w:cs="Times New Roman" w:eastAsia="Times New Roman" w:hAnsi="Times New Roman"/>
            <w:sz w:val="18"/>
            <w:szCs w:val="18"/>
            <w:u w:val="single" w:color="auto"/>
            <w:color w:val="0000FF"/>
          </w:rPr>
          <w:t>Form of Restricted Stock Unit Award Agreement (Relative TSR Vesting) (incorporated by reference to Exhibit 10.63 to Aramark’s Annual</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Report on Form 10-K filed with the SEC on December 1, 2015,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40" w:hanging="656"/>
        <w:spacing w:after="0" w:line="298" w:lineRule="auto"/>
        <w:tabs>
          <w:tab w:leader="none" w:pos="1280" w:val="left"/>
        </w:tabs>
        <w:rPr>
          <w:rFonts w:ascii="Times New Roman" w:cs="Times New Roman" w:eastAsia="Times New Roman" w:hAnsi="Times New Roman"/>
          <w:sz w:val="17"/>
          <w:szCs w:val="17"/>
          <w:u w:val="single" w:color="auto"/>
          <w:color w:val="0000FF"/>
        </w:rPr>
      </w:pPr>
      <w:hyperlink r:id="rId91">
        <w:r>
          <w:rPr>
            <w:rFonts w:ascii="Times New Roman" w:cs="Times New Roman" w:eastAsia="Times New Roman" w:hAnsi="Times New Roman"/>
            <w:sz w:val="18"/>
            <w:szCs w:val="18"/>
            <w:u w:val="single" w:color="auto"/>
            <w:color w:val="0000FF"/>
          </w:rPr>
          <w:t>10.74†</w:t>
        </w:r>
      </w:hyperlink>
      <w:r>
        <w:rPr>
          <w:rFonts w:ascii="Times New Roman" w:cs="Times New Roman" w:eastAsia="Times New Roman" w:hAnsi="Times New Roman"/>
          <w:sz w:val="18"/>
          <w:szCs w:val="18"/>
          <w:u w:val="single" w:color="auto"/>
          <w:color w:val="0000FF"/>
        </w:rPr>
        <w:tab/>
      </w:r>
      <w:hyperlink r:id="rId91">
        <w:r>
          <w:rPr>
            <w:rFonts w:ascii="Times New Roman" w:cs="Times New Roman" w:eastAsia="Times New Roman" w:hAnsi="Times New Roman"/>
            <w:sz w:val="17"/>
            <w:szCs w:val="17"/>
            <w:u w:val="single" w:color="auto"/>
            <w:color w:val="0000FF"/>
          </w:rPr>
          <w:t>Form of Performance Restricted Stock Award Agreement (Relative TSR Vesting) (incorporated by reference to Exhibit 10.64 to Aramark’s</w:t>
        </w:r>
      </w:hyperlink>
      <w:r>
        <w:rPr>
          <w:rFonts w:ascii="Times New Roman" w:cs="Times New Roman" w:eastAsia="Times New Roman" w:hAnsi="Times New Roman"/>
          <w:sz w:val="17"/>
          <w:szCs w:val="17"/>
          <w:u w:val="single" w:color="auto"/>
          <w:color w:val="0000FF"/>
        </w:rPr>
        <w:t xml:space="preserve"> </w:t>
      </w:r>
      <w:hyperlink r:id="rId91">
        <w:r>
          <w:rPr>
            <w:rFonts w:ascii="Times New Roman" w:cs="Times New Roman" w:eastAsia="Times New Roman" w:hAnsi="Times New Roman"/>
            <w:sz w:val="17"/>
            <w:szCs w:val="17"/>
            <w:u w:val="single" w:color="auto"/>
            <w:color w:val="0000FF"/>
          </w:rPr>
          <w:t>Annual Report on Form 10-K filed with the SEC on December 1, 2015,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1300" w:right="8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10.75†</w:t>
        </w:r>
      </w:hyperlink>
      <w:r>
        <w:rPr>
          <w:rFonts w:ascii="Times New Roman" w:cs="Times New Roman" w:eastAsia="Times New Roman" w:hAnsi="Times New Roman"/>
          <w:sz w:val="18"/>
          <w:szCs w:val="18"/>
          <w:u w:val="single" w:color="auto"/>
          <w:color w:val="0000FF"/>
        </w:rPr>
        <w:tab/>
      </w:r>
      <w:hyperlink r:id="rId92">
        <w:r>
          <w:rPr>
            <w:rFonts w:ascii="Times New Roman" w:cs="Times New Roman" w:eastAsia="Times New Roman" w:hAnsi="Times New Roman"/>
            <w:sz w:val="18"/>
            <w:szCs w:val="18"/>
            <w:u w:val="single" w:color="auto"/>
            <w:color w:val="0000FF"/>
          </w:rPr>
          <w:t>Form of Schedule I to Performance Stock Unit Award Agreement (incorporated by reference to Exhibit 10.67 to Aramark’s Annual Report</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on Form 10-K filed with the SEC on November 23, 2016,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2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10.76†</w:t>
        </w:r>
      </w:hyperlink>
      <w:r>
        <w:rPr>
          <w:rFonts w:ascii="Times New Roman" w:cs="Times New Roman" w:eastAsia="Times New Roman" w:hAnsi="Times New Roman"/>
          <w:sz w:val="18"/>
          <w:szCs w:val="18"/>
          <w:u w:val="single" w:color="auto"/>
          <w:color w:val="0000FF"/>
        </w:rPr>
        <w:tab/>
      </w:r>
      <w:hyperlink r:id="rId93">
        <w:r>
          <w:rPr>
            <w:rFonts w:ascii="Times New Roman" w:cs="Times New Roman" w:eastAsia="Times New Roman" w:hAnsi="Times New Roman"/>
            <w:sz w:val="18"/>
            <w:szCs w:val="18"/>
            <w:u w:val="single" w:color="auto"/>
            <w:color w:val="0000FF"/>
          </w:rPr>
          <w:t>Form of Schedule I to Performance Restricted Stock Award Agreement (incorporated by reference to Exhibit 10.68 to Aramark’s Annual</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Report on Form 10-K filed with the SEC on November 23, 2016,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14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10.77†</w:t>
        </w:r>
      </w:hyperlink>
      <w:r>
        <w:rPr>
          <w:rFonts w:ascii="Times New Roman" w:cs="Times New Roman" w:eastAsia="Times New Roman" w:hAnsi="Times New Roman"/>
          <w:sz w:val="18"/>
          <w:szCs w:val="18"/>
          <w:u w:val="single" w:color="auto"/>
          <w:color w:val="0000FF"/>
        </w:rPr>
        <w:tab/>
      </w:r>
      <w:hyperlink r:id="rId94">
        <w:r>
          <w:rPr>
            <w:rFonts w:ascii="Times New Roman" w:cs="Times New Roman" w:eastAsia="Times New Roman" w:hAnsi="Times New Roman"/>
            <w:sz w:val="18"/>
            <w:szCs w:val="18"/>
            <w:u w:val="single" w:color="auto"/>
            <w:color w:val="0000FF"/>
          </w:rPr>
          <w:t>Form of Schedule I to Non-Qualified Stock Option Award Agreement (Relative TSR Vesting) (incorporated by reference to Exhibit 10.69</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to Aramark’s Annual Report on Form 10-K filed with the SEC on November 23, 2016, pursuant to the Exchange Act (file number 001-</w:t>
        </w:r>
      </w:hyperlink>
      <w:hyperlink r:id="rId94">
        <w:r>
          <w:rPr>
            <w:rFonts w:ascii="Times New Roman" w:cs="Times New Roman" w:eastAsia="Times New Roman" w:hAnsi="Times New Roman"/>
            <w:sz w:val="18"/>
            <w:szCs w:val="18"/>
            <w:u w:val="single" w:color="auto"/>
            <w:color w:val="0000FF"/>
          </w:rPr>
          <w:t>36223)).</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300" w:right="46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10.78†</w:t>
        </w:r>
      </w:hyperlink>
      <w:r>
        <w:rPr>
          <w:rFonts w:ascii="Times New Roman" w:cs="Times New Roman" w:eastAsia="Times New Roman" w:hAnsi="Times New Roman"/>
          <w:sz w:val="18"/>
          <w:szCs w:val="18"/>
          <w:u w:val="single" w:color="auto"/>
          <w:color w:val="0000FF"/>
        </w:rPr>
        <w:tab/>
      </w:r>
      <w:hyperlink r:id="rId95">
        <w:r>
          <w:rPr>
            <w:rFonts w:ascii="Times New Roman" w:cs="Times New Roman" w:eastAsia="Times New Roman" w:hAnsi="Times New Roman"/>
            <w:sz w:val="18"/>
            <w:szCs w:val="18"/>
            <w:u w:val="single" w:color="auto"/>
            <w:color w:val="0000FF"/>
          </w:rPr>
          <w:t>Form of Schedule I to Restricted Stock Unit Award Agreement (Relative TSR Vesting) (incorporated by reference to Exhibit 10.70 to</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Aramark’s Annual Report on Form 10-K filed with the SEC on November 23, 2016, pursuant to the Exchange Act (file number 001-</w:t>
        </w:r>
      </w:hyperlink>
      <w:hyperlink r:id="rId95">
        <w:r>
          <w:rPr>
            <w:rFonts w:ascii="Times New Roman" w:cs="Times New Roman" w:eastAsia="Times New Roman" w:hAnsi="Times New Roman"/>
            <w:sz w:val="18"/>
            <w:szCs w:val="18"/>
            <w:u w:val="single" w:color="auto"/>
            <w:color w:val="0000FF"/>
          </w:rPr>
          <w:t>36223)).</w:t>
        </w:r>
      </w:hyperlink>
    </w:p>
    <w:p>
      <w:pPr>
        <w:spacing w:after="0" w:line="14" w:lineRule="exact"/>
        <w:rPr>
          <w:rFonts w:ascii="Times New Roman" w:cs="Times New Roman" w:eastAsia="Times New Roman" w:hAnsi="Times New Roman"/>
          <w:sz w:val="18"/>
          <w:szCs w:val="18"/>
          <w:u w:val="single" w:color="auto"/>
          <w:color w:val="0000FF"/>
        </w:rPr>
      </w:pPr>
    </w:p>
    <w:p>
      <w:pPr>
        <w:ind w:left="1300" w:right="4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10.79†</w:t>
        </w:r>
      </w:hyperlink>
      <w:r>
        <w:rPr>
          <w:rFonts w:ascii="Times New Roman" w:cs="Times New Roman" w:eastAsia="Times New Roman" w:hAnsi="Times New Roman"/>
          <w:sz w:val="18"/>
          <w:szCs w:val="18"/>
          <w:u w:val="single" w:color="auto"/>
          <w:color w:val="0000FF"/>
        </w:rPr>
        <w:tab/>
      </w:r>
      <w:hyperlink r:id="rId96">
        <w:r>
          <w:rPr>
            <w:rFonts w:ascii="Times New Roman" w:cs="Times New Roman" w:eastAsia="Times New Roman" w:hAnsi="Times New Roman"/>
            <w:sz w:val="18"/>
            <w:szCs w:val="18"/>
            <w:u w:val="single" w:color="auto"/>
            <w:color w:val="0000FF"/>
          </w:rPr>
          <w:t>Form of Schedule I to Performance Restricted Stock Award Agreement (Relative TSR Vesting) (incorporated by reference to Exhibit 10.71</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to Aramark’s Annual Report on Form 10-K filed with the SEC on November 23, 2016, pursuant to the Exchange Act (file number 001-</w:t>
        </w:r>
      </w:hyperlink>
      <w:hyperlink r:id="rId96">
        <w:r>
          <w:rPr>
            <w:rFonts w:ascii="Times New Roman" w:cs="Times New Roman" w:eastAsia="Times New Roman" w:hAnsi="Times New Roman"/>
            <w:sz w:val="18"/>
            <w:szCs w:val="18"/>
            <w:u w:val="single" w:color="auto"/>
            <w:color w:val="0000FF"/>
          </w:rPr>
          <w:t>36223)).</w:t>
        </w:r>
      </w:hyperlink>
    </w:p>
    <w:p>
      <w:pPr>
        <w:spacing w:after="0" w:line="14" w:lineRule="exact"/>
        <w:rPr>
          <w:rFonts w:ascii="Times New Roman" w:cs="Times New Roman" w:eastAsia="Times New Roman" w:hAnsi="Times New Roman"/>
          <w:sz w:val="18"/>
          <w:szCs w:val="18"/>
          <w:u w:val="single" w:color="auto"/>
          <w:color w:val="0000FF"/>
        </w:rPr>
      </w:pPr>
    </w:p>
    <w:p>
      <w:pPr>
        <w:ind w:left="13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10.80†</w:t>
        </w:r>
      </w:hyperlink>
      <w:r>
        <w:rPr>
          <w:rFonts w:ascii="Times New Roman" w:cs="Times New Roman" w:eastAsia="Times New Roman" w:hAnsi="Times New Roman"/>
          <w:sz w:val="18"/>
          <w:szCs w:val="18"/>
          <w:u w:val="single" w:color="auto"/>
          <w:color w:val="0000FF"/>
        </w:rPr>
        <w:tab/>
      </w:r>
      <w:hyperlink r:id="rId97">
        <w:r>
          <w:rPr>
            <w:rFonts w:ascii="Times New Roman" w:cs="Times New Roman" w:eastAsia="Times New Roman" w:hAnsi="Times New Roman"/>
            <w:sz w:val="18"/>
            <w:szCs w:val="18"/>
            <w:u w:val="single" w:color="auto"/>
            <w:color w:val="0000FF"/>
          </w:rPr>
          <w:t>Form of Restricted Stock Unit Award (Time Vesting) (Retirement Notice/Full Vest) (incorporated by reference to Exhibit 10.70 to</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Aramark's Annual Report on Form 10-K filed with the SEC on November 22, 2017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1300" w:right="28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10.81†</w:t>
        </w:r>
      </w:hyperlink>
      <w:r>
        <w:rPr>
          <w:rFonts w:ascii="Times New Roman" w:cs="Times New Roman" w:eastAsia="Times New Roman" w:hAnsi="Times New Roman"/>
          <w:sz w:val="18"/>
          <w:szCs w:val="18"/>
          <w:u w:val="single" w:color="auto"/>
          <w:color w:val="0000FF"/>
        </w:rPr>
        <w:tab/>
      </w:r>
      <w:hyperlink r:id="rId98">
        <w:r>
          <w:rPr>
            <w:rFonts w:ascii="Times New Roman" w:cs="Times New Roman" w:eastAsia="Times New Roman" w:hAnsi="Times New Roman"/>
            <w:sz w:val="18"/>
            <w:szCs w:val="18"/>
            <w:u w:val="single" w:color="auto"/>
            <w:color w:val="0000FF"/>
          </w:rPr>
          <w:t>Form of Performance Stock Unit Award (Retirement Notice/Full Vest) (incorporated by reference to Exhibit 10.71 to Aramark's Annual</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Report on Form 10-K filed with the SEC on November 22, 2017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540" w:hanging="656"/>
        <w:spacing w:after="0" w:line="313" w:lineRule="auto"/>
        <w:tabs>
          <w:tab w:leader="none" w:pos="1280" w:val="left"/>
        </w:tabs>
        <w:rPr>
          <w:rFonts w:ascii="Times New Roman" w:cs="Times New Roman" w:eastAsia="Times New Roman" w:hAnsi="Times New Roman"/>
          <w:sz w:val="17"/>
          <w:szCs w:val="17"/>
          <w:u w:val="single" w:color="auto"/>
          <w:color w:val="0000FF"/>
        </w:rPr>
      </w:pPr>
      <w:hyperlink r:id="rId99">
        <w:r>
          <w:rPr>
            <w:rFonts w:ascii="Times New Roman" w:cs="Times New Roman" w:eastAsia="Times New Roman" w:hAnsi="Times New Roman"/>
            <w:sz w:val="18"/>
            <w:szCs w:val="18"/>
            <w:u w:val="single" w:color="auto"/>
            <w:color w:val="0000FF"/>
          </w:rPr>
          <w:t>10.82†</w:t>
        </w:r>
      </w:hyperlink>
      <w:r>
        <w:rPr>
          <w:rFonts w:ascii="Times New Roman" w:cs="Times New Roman" w:eastAsia="Times New Roman" w:hAnsi="Times New Roman"/>
          <w:sz w:val="18"/>
          <w:szCs w:val="18"/>
          <w:u w:val="single" w:color="auto"/>
          <w:color w:val="0000FF"/>
        </w:rPr>
        <w:tab/>
      </w:r>
      <w:hyperlink r:id="rId99">
        <w:r>
          <w:rPr>
            <w:rFonts w:ascii="Times New Roman" w:cs="Times New Roman" w:eastAsia="Times New Roman" w:hAnsi="Times New Roman"/>
            <w:sz w:val="17"/>
            <w:szCs w:val="17"/>
            <w:u w:val="single" w:color="auto"/>
            <w:color w:val="0000FF"/>
          </w:rPr>
          <w:t>Form of Non-Qualified Stock Option Award (Retirement Notice/Full Vest) (incorporated by reference to Exhibit 10.72 to Aramark's</w:t>
        </w:r>
      </w:hyperlink>
      <w:r>
        <w:rPr>
          <w:rFonts w:ascii="Times New Roman" w:cs="Times New Roman" w:eastAsia="Times New Roman" w:hAnsi="Times New Roman"/>
          <w:sz w:val="17"/>
          <w:szCs w:val="17"/>
          <w:u w:val="single" w:color="auto"/>
          <w:color w:val="0000FF"/>
        </w:rPr>
        <w:t xml:space="preserve"> </w:t>
      </w:r>
      <w:hyperlink r:id="rId99">
        <w:r>
          <w:rPr>
            <w:rFonts w:ascii="Times New Roman" w:cs="Times New Roman" w:eastAsia="Times New Roman" w:hAnsi="Times New Roman"/>
            <w:sz w:val="17"/>
            <w:szCs w:val="17"/>
            <w:u w:val="single" w:color="auto"/>
            <w:color w:val="0000FF"/>
          </w:rPr>
          <w:t>Annual Report on Form 10-K filed with the SEC on November 22, 2017 pursuant to the Exchange Act (file number 001-36223).</w:t>
        </w:r>
      </w:hyperlink>
    </w:p>
    <w:p>
      <w:pPr>
        <w:spacing w:after="0" w:line="273"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S-65</w:t>
      </w:r>
    </w:p>
    <w:p>
      <w:pPr>
        <w:sectPr>
          <w:pgSz w:w="11900" w:h="16838" w:orient="portrait"/>
          <w:cols w:equalWidth="0" w:num="1">
            <w:col w:w="11360"/>
          </w:cols>
          <w:pgMar w:left="240" w:top="175" w:right="29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1300" w:right="2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10.83†</w:t>
        </w:r>
      </w:hyperlink>
      <w:r>
        <w:rPr>
          <w:rFonts w:ascii="Times New Roman" w:cs="Times New Roman" w:eastAsia="Times New Roman" w:hAnsi="Times New Roman"/>
          <w:sz w:val="18"/>
          <w:szCs w:val="18"/>
          <w:u w:val="single" w:color="auto"/>
          <w:color w:val="0000FF"/>
        </w:rPr>
        <w:tab/>
      </w:r>
      <w:hyperlink r:id="rId100">
        <w:r>
          <w:rPr>
            <w:rFonts w:ascii="Times New Roman" w:cs="Times New Roman" w:eastAsia="Times New Roman" w:hAnsi="Times New Roman"/>
            <w:sz w:val="18"/>
            <w:szCs w:val="18"/>
            <w:u w:val="single" w:color="auto"/>
            <w:color w:val="0000FF"/>
          </w:rPr>
          <w:t>Form of Restricted Stock Unit Award (Time Vesting) (Retirement Notice/2Y Vest) (incorporated by reference to Exhibit 10.73 to Aramark's</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Annual Report on Form 10-K filed with the SEC on November 22, 2017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360" w:hanging="656"/>
        <w:spacing w:after="0" w:line="282" w:lineRule="auto"/>
        <w:tabs>
          <w:tab w:leader="none" w:pos="1280" w:val="left"/>
        </w:tabs>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36"/>
          <w:szCs w:val="36"/>
          <w:u w:val="single" w:color="auto"/>
          <w:color w:val="0000FF"/>
          <w:vertAlign w:val="superscript"/>
        </w:rPr>
        <w:t>10.84†</w:t>
      </w:r>
      <w:r>
        <w:rPr>
          <w:rFonts w:ascii="Times New Roman" w:cs="Times New Roman" w:eastAsia="Times New Roman" w:hAnsi="Times New Roman"/>
          <w:sz w:val="18"/>
          <w:szCs w:val="18"/>
          <w:u w:val="single" w:color="auto"/>
          <w:color w:val="0000FF"/>
        </w:rPr>
        <w:tab/>
      </w:r>
      <w:hyperlink r:id="rId101">
        <w:r>
          <w:rPr>
            <w:rFonts w:ascii="Times New Roman" w:cs="Times New Roman" w:eastAsia="Times New Roman" w:hAnsi="Times New Roman"/>
            <w:sz w:val="18"/>
            <w:szCs w:val="18"/>
            <w:u w:val="single" w:color="auto"/>
            <w:color w:val="0000FF"/>
          </w:rPr>
          <w:t>Form of Performance Stock Unit Award (Retirement Notice/2Y Vest) (incorporated by reference to Exhibit 10.74 to Aramark's Annual</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Report on Form 10-K filed with the SEC on November 22, 2017 pursuant to the Exchange Act (file number 001-36223).</w:t>
        </w:r>
      </w:hyperlink>
    </w:p>
    <w:p>
      <w:pPr>
        <w:spacing w:after="0" w:line="162" w:lineRule="exact"/>
        <w:rPr>
          <w:rFonts w:ascii="Times New Roman" w:cs="Times New Roman" w:eastAsia="Times New Roman" w:hAnsi="Times New Roman"/>
          <w:sz w:val="18"/>
          <w:szCs w:val="18"/>
          <w:u w:val="single" w:color="auto"/>
          <w:color w:val="0000FF"/>
        </w:rPr>
      </w:pPr>
    </w:p>
    <w:p>
      <w:pPr>
        <w:ind w:left="1300" w:right="6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10.85†</w:t>
        </w:r>
      </w:hyperlink>
      <w:r>
        <w:rPr>
          <w:rFonts w:ascii="Times New Roman" w:cs="Times New Roman" w:eastAsia="Times New Roman" w:hAnsi="Times New Roman"/>
          <w:sz w:val="18"/>
          <w:szCs w:val="18"/>
          <w:u w:val="single" w:color="auto"/>
          <w:color w:val="0000FF"/>
        </w:rPr>
        <w:tab/>
      </w:r>
      <w:hyperlink r:id="rId102">
        <w:r>
          <w:rPr>
            <w:rFonts w:ascii="Times New Roman" w:cs="Times New Roman" w:eastAsia="Times New Roman" w:hAnsi="Times New Roman"/>
            <w:sz w:val="18"/>
            <w:szCs w:val="18"/>
            <w:u w:val="single" w:color="auto"/>
            <w:color w:val="0000FF"/>
          </w:rPr>
          <w:t>Form of Non-Qualified Stock Option Award (Retirement Notice/2Y Vest) (incorporated by reference to Exhibit 10.75 to Aramark's Annual</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Report on Form 10-K filed with the SEC on November 22, 2017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18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10.86†</w:t>
        </w:r>
      </w:hyperlink>
      <w:r>
        <w:rPr>
          <w:rFonts w:ascii="Times New Roman" w:cs="Times New Roman" w:eastAsia="Times New Roman" w:hAnsi="Times New Roman"/>
          <w:sz w:val="18"/>
          <w:szCs w:val="18"/>
          <w:u w:val="single" w:color="auto"/>
          <w:color w:val="0000FF"/>
        </w:rPr>
        <w:tab/>
      </w:r>
      <w:hyperlink r:id="rId103">
        <w:r>
          <w:rPr>
            <w:rFonts w:ascii="Times New Roman" w:cs="Times New Roman" w:eastAsia="Times New Roman" w:hAnsi="Times New Roman"/>
            <w:sz w:val="18"/>
            <w:szCs w:val="18"/>
            <w:u w:val="single" w:color="auto"/>
            <w:color w:val="0000FF"/>
          </w:rPr>
          <w:t>Form of Restricted Stock Unit Award (Relative TSR Vesting) (incorporated by reference to Exhibit 10.76 to Aramark's Annual Report on</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Form 10-K filed with the SEC on November 22, 2017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10.87†</w:t>
        </w:r>
      </w:hyperlink>
      <w:r>
        <w:rPr>
          <w:rFonts w:ascii="Times New Roman" w:cs="Times New Roman" w:eastAsia="Times New Roman" w:hAnsi="Times New Roman"/>
          <w:sz w:val="18"/>
          <w:szCs w:val="18"/>
          <w:u w:val="single" w:color="auto"/>
          <w:color w:val="0000FF"/>
        </w:rPr>
        <w:tab/>
      </w:r>
      <w:hyperlink r:id="rId104">
        <w:r>
          <w:rPr>
            <w:rFonts w:ascii="Times New Roman" w:cs="Times New Roman" w:eastAsia="Times New Roman" w:hAnsi="Times New Roman"/>
            <w:sz w:val="18"/>
            <w:szCs w:val="18"/>
            <w:u w:val="single" w:color="auto"/>
            <w:color w:val="0000FF"/>
          </w:rPr>
          <w:t>Form of Performance Stock Unit Award (Relative TSR Vesting) (incorporated by reference to Exhibit 10.77 to Aramark's Annual Report on</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Form 10-K filed with the SEC on November 22, 2017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44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10.88†</w:t>
        </w:r>
      </w:hyperlink>
      <w:r>
        <w:rPr>
          <w:rFonts w:ascii="Times New Roman" w:cs="Times New Roman" w:eastAsia="Times New Roman" w:hAnsi="Times New Roman"/>
          <w:sz w:val="18"/>
          <w:szCs w:val="18"/>
          <w:u w:val="single" w:color="auto"/>
          <w:color w:val="0000FF"/>
        </w:rPr>
        <w:tab/>
      </w:r>
      <w:hyperlink r:id="rId105">
        <w:r>
          <w:rPr>
            <w:rFonts w:ascii="Times New Roman" w:cs="Times New Roman" w:eastAsia="Times New Roman" w:hAnsi="Times New Roman"/>
            <w:sz w:val="18"/>
            <w:szCs w:val="18"/>
            <w:u w:val="single" w:color="auto"/>
            <w:color w:val="0000FF"/>
          </w:rPr>
          <w:t>Form of Non-Qualified Stock Option Award (Relative TSR Vesting) (incorporated by reference to Exhibit 10.78 to Aramark's Annual</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Report on Form 10-K filed with the SEC on November 22, 2017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10.89†</w:t>
        </w:r>
      </w:hyperlink>
      <w:r>
        <w:rPr>
          <w:rFonts w:ascii="Times New Roman" w:cs="Times New Roman" w:eastAsia="Times New Roman" w:hAnsi="Times New Roman"/>
          <w:sz w:val="18"/>
          <w:szCs w:val="18"/>
          <w:u w:val="single" w:color="auto"/>
          <w:color w:val="0000FF"/>
        </w:rPr>
        <w:tab/>
      </w:r>
      <w:hyperlink r:id="rId106">
        <w:r>
          <w:rPr>
            <w:rFonts w:ascii="Times New Roman" w:cs="Times New Roman" w:eastAsia="Times New Roman" w:hAnsi="Times New Roman"/>
            <w:sz w:val="18"/>
            <w:szCs w:val="18"/>
            <w:u w:val="single" w:color="auto"/>
            <w:color w:val="0000FF"/>
          </w:rPr>
          <w:t>Form of Schedule I to Performance Stock Unit Award (incorporated by reference to Exhibit 10.79 to Aramark's Annual Report on Form 10-</w:t>
        </w:r>
      </w:hyperlink>
      <w:hyperlink r:id="rId106">
        <w:r>
          <w:rPr>
            <w:rFonts w:ascii="Times New Roman" w:cs="Times New Roman" w:eastAsia="Times New Roman" w:hAnsi="Times New Roman"/>
            <w:sz w:val="18"/>
            <w:szCs w:val="18"/>
            <w:u w:val="single" w:color="auto"/>
            <w:color w:val="0000FF"/>
          </w:rPr>
          <w:t>K filed with the SEC on November 22, 2017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520" w:hanging="656"/>
        <w:spacing w:after="0" w:line="298" w:lineRule="auto"/>
        <w:tabs>
          <w:tab w:leader="none" w:pos="1280" w:val="left"/>
        </w:tabs>
        <w:rPr>
          <w:rFonts w:ascii="Times New Roman" w:cs="Times New Roman" w:eastAsia="Times New Roman" w:hAnsi="Times New Roman"/>
          <w:sz w:val="17"/>
          <w:szCs w:val="17"/>
          <w:u w:val="single" w:color="auto"/>
          <w:color w:val="0000FF"/>
        </w:rPr>
      </w:pPr>
      <w:hyperlink r:id="rId107">
        <w:r>
          <w:rPr>
            <w:rFonts w:ascii="Times New Roman" w:cs="Times New Roman" w:eastAsia="Times New Roman" w:hAnsi="Times New Roman"/>
            <w:sz w:val="18"/>
            <w:szCs w:val="18"/>
            <w:u w:val="single" w:color="auto"/>
            <w:color w:val="0000FF"/>
          </w:rPr>
          <w:t>10.90†</w:t>
        </w:r>
      </w:hyperlink>
      <w:r>
        <w:rPr>
          <w:rFonts w:ascii="Times New Roman" w:cs="Times New Roman" w:eastAsia="Times New Roman" w:hAnsi="Times New Roman"/>
          <w:sz w:val="18"/>
          <w:szCs w:val="18"/>
          <w:u w:val="single" w:color="auto"/>
          <w:color w:val="0000FF"/>
        </w:rPr>
        <w:tab/>
      </w:r>
      <w:hyperlink r:id="rId107">
        <w:r>
          <w:rPr>
            <w:rFonts w:ascii="Times New Roman" w:cs="Times New Roman" w:eastAsia="Times New Roman" w:hAnsi="Times New Roman"/>
            <w:sz w:val="17"/>
            <w:szCs w:val="17"/>
            <w:u w:val="single" w:color="auto"/>
            <w:color w:val="0000FF"/>
          </w:rPr>
          <w:t>Form of Schedule I to Restricted Stock Unit Award (Relative TSR Vesting) (incorporated by reference to Exhibit 10.80 to Aramark's</w:t>
        </w:r>
      </w:hyperlink>
      <w:r>
        <w:rPr>
          <w:rFonts w:ascii="Times New Roman" w:cs="Times New Roman" w:eastAsia="Times New Roman" w:hAnsi="Times New Roman"/>
          <w:sz w:val="17"/>
          <w:szCs w:val="17"/>
          <w:u w:val="single" w:color="auto"/>
          <w:color w:val="0000FF"/>
        </w:rPr>
        <w:t xml:space="preserve"> </w:t>
      </w:r>
      <w:hyperlink r:id="rId107">
        <w:r>
          <w:rPr>
            <w:rFonts w:ascii="Times New Roman" w:cs="Times New Roman" w:eastAsia="Times New Roman" w:hAnsi="Times New Roman"/>
            <w:sz w:val="17"/>
            <w:szCs w:val="17"/>
            <w:u w:val="single" w:color="auto"/>
            <w:color w:val="0000FF"/>
          </w:rPr>
          <w:t>Annual Report on Form 10-K filed with the SEC on November 22, 2017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1300" w:right="340" w:hanging="656"/>
        <w:spacing w:after="0" w:line="298" w:lineRule="auto"/>
        <w:tabs>
          <w:tab w:leader="none" w:pos="1280" w:val="left"/>
        </w:tabs>
        <w:rPr>
          <w:rFonts w:ascii="Times New Roman" w:cs="Times New Roman" w:eastAsia="Times New Roman" w:hAnsi="Times New Roman"/>
          <w:sz w:val="17"/>
          <w:szCs w:val="17"/>
          <w:u w:val="single" w:color="auto"/>
          <w:color w:val="0000FF"/>
        </w:rPr>
      </w:pPr>
      <w:hyperlink r:id="rId108">
        <w:r>
          <w:rPr>
            <w:rFonts w:ascii="Times New Roman" w:cs="Times New Roman" w:eastAsia="Times New Roman" w:hAnsi="Times New Roman"/>
            <w:sz w:val="18"/>
            <w:szCs w:val="18"/>
            <w:u w:val="single" w:color="auto"/>
            <w:color w:val="0000FF"/>
          </w:rPr>
          <w:t>10.91†</w:t>
        </w:r>
      </w:hyperlink>
      <w:r>
        <w:rPr>
          <w:rFonts w:ascii="Times New Roman" w:cs="Times New Roman" w:eastAsia="Times New Roman" w:hAnsi="Times New Roman"/>
          <w:sz w:val="18"/>
          <w:szCs w:val="18"/>
          <w:u w:val="single" w:color="auto"/>
          <w:color w:val="0000FF"/>
        </w:rPr>
        <w:tab/>
      </w:r>
      <w:hyperlink r:id="rId108">
        <w:r>
          <w:rPr>
            <w:rFonts w:ascii="Times New Roman" w:cs="Times New Roman" w:eastAsia="Times New Roman" w:hAnsi="Times New Roman"/>
            <w:sz w:val="17"/>
            <w:szCs w:val="17"/>
            <w:u w:val="single" w:color="auto"/>
            <w:color w:val="0000FF"/>
          </w:rPr>
          <w:t>Form of Schedule I to Performance Stock Unit Award (Relative TSR Vesting) (incorporated by reference to Exhibit 10.81 to Aramark's</w:t>
        </w:r>
      </w:hyperlink>
      <w:r>
        <w:rPr>
          <w:rFonts w:ascii="Times New Roman" w:cs="Times New Roman" w:eastAsia="Times New Roman" w:hAnsi="Times New Roman"/>
          <w:sz w:val="17"/>
          <w:szCs w:val="17"/>
          <w:u w:val="single" w:color="auto"/>
          <w:color w:val="0000FF"/>
        </w:rPr>
        <w:t xml:space="preserve"> </w:t>
      </w:r>
      <w:hyperlink r:id="rId108">
        <w:r>
          <w:rPr>
            <w:rFonts w:ascii="Times New Roman" w:cs="Times New Roman" w:eastAsia="Times New Roman" w:hAnsi="Times New Roman"/>
            <w:sz w:val="17"/>
            <w:szCs w:val="17"/>
            <w:u w:val="single" w:color="auto"/>
            <w:color w:val="0000FF"/>
          </w:rPr>
          <w:t>Annual Report on Form 10-K filed with the SEC on November 22, 2017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1300" w:right="2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10.92†</w:t>
        </w:r>
      </w:hyperlink>
      <w:r>
        <w:rPr>
          <w:rFonts w:ascii="Times New Roman" w:cs="Times New Roman" w:eastAsia="Times New Roman" w:hAnsi="Times New Roman"/>
          <w:sz w:val="18"/>
          <w:szCs w:val="18"/>
          <w:u w:val="single" w:color="auto"/>
          <w:color w:val="0000FF"/>
        </w:rPr>
        <w:tab/>
      </w:r>
      <w:hyperlink r:id="rId109">
        <w:r>
          <w:rPr>
            <w:rFonts w:ascii="Times New Roman" w:cs="Times New Roman" w:eastAsia="Times New Roman" w:hAnsi="Times New Roman"/>
            <w:sz w:val="18"/>
            <w:szCs w:val="18"/>
            <w:u w:val="single" w:color="auto"/>
            <w:color w:val="0000FF"/>
          </w:rPr>
          <w:t>Form of Schedule I to Non-Qualified Stock Option Award (Relative TSR Vesting) (incorporated by reference to Exhibit 10.82 to Aramark's</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Annual Report on Form 10-K filed with the SEC on November 22, 2017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560"/>
        <w:spacing w:after="0"/>
        <w:tabs>
          <w:tab w:leader="none" w:pos="1280" w:val="left"/>
        </w:tabs>
        <w:rPr>
          <w:rFonts w:ascii="Times New Roman" w:cs="Times New Roman" w:eastAsia="Times New Roman" w:hAnsi="Times New Roman"/>
          <w:sz w:val="17"/>
          <w:szCs w:val="17"/>
          <w:u w:val="single" w:color="auto"/>
          <w:color w:val="0000FF"/>
        </w:rPr>
      </w:pPr>
      <w:hyperlink w:anchor="page187">
        <w:r>
          <w:rPr>
            <w:rFonts w:ascii="Times New Roman" w:cs="Times New Roman" w:eastAsia="Times New Roman" w:hAnsi="Times New Roman"/>
            <w:sz w:val="18"/>
            <w:szCs w:val="18"/>
            <w:u w:val="single" w:color="auto"/>
            <w:color w:val="0000FF"/>
          </w:rPr>
          <w:t>10.93*†</w:t>
        </w:r>
      </w:hyperlink>
      <w:r>
        <w:rPr>
          <w:rFonts w:ascii="Times New Roman" w:cs="Times New Roman" w:eastAsia="Times New Roman" w:hAnsi="Times New Roman"/>
          <w:sz w:val="18"/>
          <w:szCs w:val="18"/>
          <w:u w:val="single" w:color="auto"/>
          <w:color w:val="0000FF"/>
        </w:rPr>
        <w:tab/>
      </w:r>
      <w:hyperlink w:anchor="page187">
        <w:r>
          <w:rPr>
            <w:rFonts w:ascii="Times New Roman" w:cs="Times New Roman" w:eastAsia="Times New Roman" w:hAnsi="Times New Roman"/>
            <w:sz w:val="17"/>
            <w:szCs w:val="17"/>
            <w:u w:val="single" w:color="auto"/>
            <w:color w:val="0000FF"/>
          </w:rPr>
          <w:t>Form of Non-Qualified Stock Option Award.</w:t>
        </w:r>
      </w:hyperlink>
    </w:p>
    <w:p>
      <w:pPr>
        <w:spacing w:after="0" w:line="63" w:lineRule="exact"/>
        <w:rPr>
          <w:sz w:val="20"/>
          <w:szCs w:val="20"/>
          <w:color w:val="auto"/>
        </w:rPr>
      </w:pPr>
    </w:p>
    <w:p>
      <w:pPr>
        <w:ind w:left="560"/>
        <w:spacing w:after="0"/>
        <w:tabs>
          <w:tab w:leader="none" w:pos="1280" w:val="left"/>
        </w:tabs>
        <w:rPr>
          <w:rFonts w:ascii="Times New Roman" w:cs="Times New Roman" w:eastAsia="Times New Roman" w:hAnsi="Times New Roman"/>
          <w:sz w:val="17"/>
          <w:szCs w:val="17"/>
          <w:u w:val="single" w:color="auto"/>
          <w:color w:val="0000FF"/>
        </w:rPr>
      </w:pPr>
      <w:hyperlink w:anchor="page196">
        <w:r>
          <w:rPr>
            <w:rFonts w:ascii="Times New Roman" w:cs="Times New Roman" w:eastAsia="Times New Roman" w:hAnsi="Times New Roman"/>
            <w:sz w:val="18"/>
            <w:szCs w:val="18"/>
            <w:u w:val="single" w:color="auto"/>
            <w:color w:val="0000FF"/>
          </w:rPr>
          <w:t>10.94*†</w:t>
        </w:r>
      </w:hyperlink>
      <w:r>
        <w:rPr>
          <w:rFonts w:ascii="Times New Roman" w:cs="Times New Roman" w:eastAsia="Times New Roman" w:hAnsi="Times New Roman"/>
          <w:sz w:val="18"/>
          <w:szCs w:val="18"/>
          <w:u w:val="single" w:color="auto"/>
          <w:color w:val="0000FF"/>
        </w:rPr>
        <w:tab/>
      </w:r>
      <w:hyperlink w:anchor="page196">
        <w:r>
          <w:rPr>
            <w:rFonts w:ascii="Times New Roman" w:cs="Times New Roman" w:eastAsia="Times New Roman" w:hAnsi="Times New Roman"/>
            <w:sz w:val="17"/>
            <w:szCs w:val="17"/>
            <w:u w:val="single" w:color="auto"/>
            <w:color w:val="0000FF"/>
          </w:rPr>
          <w:t>Form of Restricted Stock Unit Award (Time Vesting).</w:t>
        </w:r>
      </w:hyperlink>
    </w:p>
    <w:p>
      <w:pPr>
        <w:spacing w:after="0" w:line="63" w:lineRule="exact"/>
        <w:rPr>
          <w:sz w:val="20"/>
          <w:szCs w:val="20"/>
          <w:color w:val="auto"/>
        </w:rPr>
      </w:pPr>
    </w:p>
    <w:p>
      <w:pPr>
        <w:ind w:left="560"/>
        <w:spacing w:after="0"/>
        <w:tabs>
          <w:tab w:leader="none" w:pos="1280" w:val="left"/>
        </w:tabs>
        <w:rPr>
          <w:rFonts w:ascii="Times New Roman" w:cs="Times New Roman" w:eastAsia="Times New Roman" w:hAnsi="Times New Roman"/>
          <w:sz w:val="17"/>
          <w:szCs w:val="17"/>
          <w:u w:val="single" w:color="auto"/>
          <w:color w:val="0000FF"/>
        </w:rPr>
      </w:pPr>
      <w:hyperlink w:anchor="page204">
        <w:r>
          <w:rPr>
            <w:rFonts w:ascii="Times New Roman" w:cs="Times New Roman" w:eastAsia="Times New Roman" w:hAnsi="Times New Roman"/>
            <w:sz w:val="18"/>
            <w:szCs w:val="18"/>
            <w:u w:val="single" w:color="auto"/>
            <w:color w:val="0000FF"/>
          </w:rPr>
          <w:t>10.95*†</w:t>
        </w:r>
      </w:hyperlink>
      <w:r>
        <w:rPr>
          <w:rFonts w:ascii="Times New Roman" w:cs="Times New Roman" w:eastAsia="Times New Roman" w:hAnsi="Times New Roman"/>
          <w:sz w:val="18"/>
          <w:szCs w:val="18"/>
          <w:u w:val="single" w:color="auto"/>
          <w:color w:val="0000FF"/>
        </w:rPr>
        <w:tab/>
      </w:r>
      <w:hyperlink w:anchor="page204">
        <w:r>
          <w:rPr>
            <w:rFonts w:ascii="Times New Roman" w:cs="Times New Roman" w:eastAsia="Times New Roman" w:hAnsi="Times New Roman"/>
            <w:sz w:val="17"/>
            <w:szCs w:val="17"/>
            <w:u w:val="single" w:color="auto"/>
            <w:color w:val="0000FF"/>
          </w:rPr>
          <w:t>Form of Performance Stock Unit Award.</w:t>
        </w:r>
      </w:hyperlink>
    </w:p>
    <w:p>
      <w:pPr>
        <w:spacing w:after="0" w:line="63" w:lineRule="exact"/>
        <w:rPr>
          <w:sz w:val="20"/>
          <w:szCs w:val="20"/>
          <w:color w:val="auto"/>
        </w:rPr>
      </w:pPr>
    </w:p>
    <w:p>
      <w:pPr>
        <w:ind w:left="560"/>
        <w:spacing w:after="0"/>
        <w:tabs>
          <w:tab w:leader="none" w:pos="1280" w:val="left"/>
        </w:tabs>
        <w:rPr>
          <w:rFonts w:ascii="Times New Roman" w:cs="Times New Roman" w:eastAsia="Times New Roman" w:hAnsi="Times New Roman"/>
          <w:sz w:val="17"/>
          <w:szCs w:val="17"/>
          <w:u w:val="single" w:color="auto"/>
          <w:color w:val="0000FF"/>
        </w:rPr>
      </w:pPr>
      <w:hyperlink w:anchor="page213">
        <w:r>
          <w:rPr>
            <w:rFonts w:ascii="Times New Roman" w:cs="Times New Roman" w:eastAsia="Times New Roman" w:hAnsi="Times New Roman"/>
            <w:sz w:val="18"/>
            <w:szCs w:val="18"/>
            <w:u w:val="single" w:color="auto"/>
            <w:color w:val="0000FF"/>
          </w:rPr>
          <w:t>10.96*†</w:t>
        </w:r>
      </w:hyperlink>
      <w:r>
        <w:rPr>
          <w:rFonts w:ascii="Times New Roman" w:cs="Times New Roman" w:eastAsia="Times New Roman" w:hAnsi="Times New Roman"/>
          <w:sz w:val="18"/>
          <w:szCs w:val="18"/>
          <w:u w:val="single" w:color="auto"/>
          <w:color w:val="0000FF"/>
        </w:rPr>
        <w:tab/>
      </w:r>
      <w:hyperlink w:anchor="page213">
        <w:r>
          <w:rPr>
            <w:rFonts w:ascii="Times New Roman" w:cs="Times New Roman" w:eastAsia="Times New Roman" w:hAnsi="Times New Roman"/>
            <w:sz w:val="17"/>
            <w:szCs w:val="17"/>
            <w:u w:val="single" w:color="auto"/>
            <w:color w:val="0000FF"/>
          </w:rPr>
          <w:t>Form of Schedule I to Performance Stock Unit Award.</w:t>
        </w:r>
      </w:hyperlink>
    </w:p>
    <w:p>
      <w:pPr>
        <w:spacing w:after="0" w:line="63" w:lineRule="exact"/>
        <w:rPr>
          <w:sz w:val="20"/>
          <w:szCs w:val="20"/>
          <w:color w:val="auto"/>
        </w:rPr>
      </w:pPr>
    </w:p>
    <w:p>
      <w:pPr>
        <w:ind w:left="1300" w:right="20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10.97†</w:t>
        </w:r>
      </w:hyperlink>
      <w:r>
        <w:rPr>
          <w:rFonts w:ascii="Times New Roman" w:cs="Times New Roman" w:eastAsia="Times New Roman" w:hAnsi="Times New Roman"/>
          <w:sz w:val="18"/>
          <w:szCs w:val="18"/>
          <w:u w:val="single" w:color="auto"/>
          <w:color w:val="0000FF"/>
        </w:rPr>
        <w:tab/>
      </w:r>
      <w:hyperlink r:id="rId110">
        <w:r>
          <w:rPr>
            <w:rFonts w:ascii="Times New Roman" w:cs="Times New Roman" w:eastAsia="Times New Roman" w:hAnsi="Times New Roman"/>
            <w:sz w:val="18"/>
            <w:szCs w:val="18"/>
            <w:u w:val="single" w:color="auto"/>
            <w:color w:val="0000FF"/>
          </w:rPr>
          <w:t>Form of Deferred Stock Unit Award Agreement under the Fifth Amended and Restated Aramark 2007 Management Stock Incentive Plan</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(incorporated by reference to Exhibit 10.46 to Aramark’s Form S-1/A filed with the SEC on November 19, 2013 (file number 333-</w:t>
        </w:r>
      </w:hyperlink>
      <w:hyperlink r:id="rId110">
        <w:r>
          <w:rPr>
            <w:rFonts w:ascii="Times New Roman" w:cs="Times New Roman" w:eastAsia="Times New Roman" w:hAnsi="Times New Roman"/>
            <w:sz w:val="18"/>
            <w:szCs w:val="18"/>
            <w:u w:val="single" w:color="auto"/>
            <w:color w:val="0000FF"/>
          </w:rPr>
          <w:t>191057)).</w:t>
        </w:r>
      </w:hyperlink>
    </w:p>
    <w:p>
      <w:pPr>
        <w:spacing w:after="0" w:line="14" w:lineRule="exact"/>
        <w:rPr>
          <w:rFonts w:ascii="Times New Roman" w:cs="Times New Roman" w:eastAsia="Times New Roman" w:hAnsi="Times New Roman"/>
          <w:sz w:val="18"/>
          <w:szCs w:val="18"/>
          <w:u w:val="single" w:color="auto"/>
          <w:color w:val="0000FF"/>
        </w:rPr>
      </w:pPr>
    </w:p>
    <w:p>
      <w:pPr>
        <w:ind w:left="1300" w:right="780" w:hanging="65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10.98†</w:t>
        </w:r>
      </w:hyperlink>
      <w:r>
        <w:rPr>
          <w:rFonts w:ascii="Times New Roman" w:cs="Times New Roman" w:eastAsia="Times New Roman" w:hAnsi="Times New Roman"/>
          <w:sz w:val="18"/>
          <w:szCs w:val="18"/>
          <w:u w:val="single" w:color="auto"/>
          <w:color w:val="0000FF"/>
        </w:rPr>
        <w:tab/>
      </w:r>
      <w:hyperlink r:id="rId111">
        <w:r>
          <w:rPr>
            <w:rFonts w:ascii="Times New Roman" w:cs="Times New Roman" w:eastAsia="Times New Roman" w:hAnsi="Times New Roman"/>
            <w:sz w:val="18"/>
            <w:szCs w:val="18"/>
            <w:u w:val="single" w:color="auto"/>
            <w:color w:val="0000FF"/>
          </w:rPr>
          <w:t>Form of Deferred Stock Unit Award under the Aramark 2013 Stock Incentive Plan (incorporated by reference to Exhibit 10.73 to</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Aramark’s Form S-1/A filed with the SEC on November 19, 2013 (file number 333-191057)).</w:t>
        </w:r>
      </w:hyperlink>
    </w:p>
    <w:p>
      <w:pPr>
        <w:spacing w:after="0" w:line="2" w:lineRule="exact"/>
        <w:rPr>
          <w:rFonts w:ascii="Times New Roman" w:cs="Times New Roman" w:eastAsia="Times New Roman" w:hAnsi="Times New Roman"/>
          <w:sz w:val="18"/>
          <w:szCs w:val="18"/>
          <w:u w:val="single" w:color="auto"/>
          <w:color w:val="0000FF"/>
        </w:rPr>
      </w:pPr>
    </w:p>
    <w:p>
      <w:pPr>
        <w:jc w:val="both"/>
        <w:ind w:left="1300" w:right="380" w:hanging="656"/>
        <w:spacing w:after="0" w:line="266" w:lineRule="auto"/>
        <w:tabs>
          <w:tab w:leader="none" w:pos="1280" w:val="left"/>
        </w:tabs>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10.99†</w:t>
        </w:r>
      </w:hyperlink>
      <w:r>
        <w:rPr>
          <w:rFonts w:ascii="Times New Roman" w:cs="Times New Roman" w:eastAsia="Times New Roman" w:hAnsi="Times New Roman"/>
          <w:sz w:val="18"/>
          <w:szCs w:val="18"/>
          <w:u w:val="single" w:color="auto"/>
          <w:color w:val="0000FF"/>
        </w:rPr>
        <w:tab/>
      </w:r>
      <w:hyperlink r:id="rId113">
        <w:r>
          <w:rPr>
            <w:rFonts w:ascii="Times New Roman" w:cs="Times New Roman" w:eastAsia="Times New Roman" w:hAnsi="Times New Roman"/>
            <w:sz w:val="18"/>
            <w:szCs w:val="18"/>
            <w:u w:val="single" w:color="auto"/>
            <w:color w:val="0000FF"/>
          </w:rPr>
          <w:t>Form of Deferred Stock Unit Award Agreement under the Aramark 2013 Stock Incentive Plan (Revised) (incorporated by reference to</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Exhibit 10.77 to Aramark’s Annual Report on Form 10-K filed with the SEC on December 3, 2014, pursuant to the Exchange Act (file</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number 001-36223)).</w:t>
        </w:r>
      </w:hyperlink>
    </w:p>
    <w:p>
      <w:pPr>
        <w:spacing w:after="0" w:line="14" w:lineRule="exact"/>
        <w:rPr>
          <w:rFonts w:ascii="Times New Roman" w:cs="Times New Roman" w:eastAsia="Times New Roman" w:hAnsi="Times New Roman"/>
          <w:sz w:val="18"/>
          <w:szCs w:val="18"/>
          <w:u w:val="single" w:color="auto"/>
          <w:color w:val="0000FF"/>
        </w:rPr>
      </w:pPr>
    </w:p>
    <w:p>
      <w:pPr>
        <w:ind w:left="1300" w:right="180" w:hanging="746"/>
        <w:spacing w:after="0" w:line="298" w:lineRule="auto"/>
        <w:tabs>
          <w:tab w:leader="none" w:pos="1280" w:val="left"/>
        </w:tabs>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8"/>
            <w:szCs w:val="18"/>
            <w:u w:val="single" w:color="auto"/>
            <w:color w:val="0000FF"/>
          </w:rPr>
          <w:t>10.100†</w:t>
        </w:r>
      </w:hyperlink>
      <w:r>
        <w:rPr>
          <w:rFonts w:ascii="Times New Roman" w:cs="Times New Roman" w:eastAsia="Times New Roman" w:hAnsi="Times New Roman"/>
          <w:sz w:val="18"/>
          <w:szCs w:val="18"/>
          <w:u w:val="single" w:color="auto"/>
          <w:color w:val="0000FF"/>
        </w:rPr>
        <w:tab/>
      </w:r>
      <w:hyperlink r:id="rId114">
        <w:r>
          <w:rPr>
            <w:rFonts w:ascii="Times New Roman" w:cs="Times New Roman" w:eastAsia="Times New Roman" w:hAnsi="Times New Roman"/>
            <w:sz w:val="17"/>
            <w:szCs w:val="17"/>
            <w:u w:val="single" w:color="auto"/>
            <w:color w:val="0000FF"/>
          </w:rPr>
          <w:t>Form of Deferred Stock Unit Agreement under the Aramark 2013 Stock Incentive Plan (incorporated by reference to Exhibit 10.4 to</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Aramark’s Quarterly Report on Form 10-Q filed with the SEC on May 13, 2015,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1300" w:right="20" w:hanging="746"/>
        <w:spacing w:after="0" w:line="281" w:lineRule="auto"/>
        <w:tabs>
          <w:tab w:leader="none" w:pos="1280" w:val="left"/>
        </w:tabs>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10.101†</w:t>
        </w:r>
      </w:hyperlink>
      <w:r>
        <w:rPr>
          <w:rFonts w:ascii="Times New Roman" w:cs="Times New Roman" w:eastAsia="Times New Roman" w:hAnsi="Times New Roman"/>
          <w:sz w:val="18"/>
          <w:szCs w:val="18"/>
          <w:u w:val="single" w:color="auto"/>
          <w:color w:val="0000FF"/>
        </w:rPr>
        <w:tab/>
      </w:r>
      <w:hyperlink r:id="rId115">
        <w:r>
          <w:rPr>
            <w:rFonts w:ascii="Times New Roman" w:cs="Times New Roman" w:eastAsia="Times New Roman" w:hAnsi="Times New Roman"/>
            <w:sz w:val="18"/>
            <w:szCs w:val="18"/>
            <w:u w:val="single" w:color="auto"/>
            <w:color w:val="0000FF"/>
          </w:rPr>
          <w:t>Form of Aircraft Timesharing Agreement (incorporated by reference to Exhibit 10.69 to Aramark’s Annual Report on Form 10-K filed with</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the SEC on December 1, 2015, pursuant to the Exchange Act (file number 001-36223)).</w:t>
        </w:r>
      </w:hyperlink>
    </w:p>
    <w:p>
      <w:pPr>
        <w:spacing w:after="0" w:line="2" w:lineRule="exact"/>
        <w:rPr>
          <w:rFonts w:ascii="Times New Roman" w:cs="Times New Roman" w:eastAsia="Times New Roman" w:hAnsi="Times New Roman"/>
          <w:sz w:val="18"/>
          <w:szCs w:val="18"/>
          <w:u w:val="single" w:color="auto"/>
          <w:color w:val="0000FF"/>
        </w:rPr>
      </w:pPr>
    </w:p>
    <w:p>
      <w:pPr>
        <w:ind w:left="1300" w:right="80" w:hanging="656"/>
        <w:spacing w:after="0" w:line="261" w:lineRule="auto"/>
        <w:tabs>
          <w:tab w:leader="none" w:pos="1280" w:val="left"/>
        </w:tabs>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10.102</w:t>
        </w:r>
      </w:hyperlink>
      <w:r>
        <w:rPr>
          <w:rFonts w:ascii="Times New Roman" w:cs="Times New Roman" w:eastAsia="Times New Roman" w:hAnsi="Times New Roman"/>
          <w:sz w:val="18"/>
          <w:szCs w:val="18"/>
          <w:u w:val="single" w:color="auto"/>
          <w:color w:val="0000FF"/>
        </w:rPr>
        <w:tab/>
      </w:r>
      <w:hyperlink r:id="rId116">
        <w:r>
          <w:rPr>
            <w:rFonts w:ascii="Times New Roman" w:cs="Times New Roman" w:eastAsia="Times New Roman" w:hAnsi="Times New Roman"/>
            <w:sz w:val="18"/>
            <w:szCs w:val="18"/>
            <w:u w:val="single" w:color="auto"/>
            <w:color w:val="0000FF"/>
          </w:rPr>
          <w:t>Amended and Restated Master Distribution Agreement effective as of March 5, 2011 between SYSCO Corporation and ARAMARK Food</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and Support Services Group, Inc. (incorporated by reference to Exhibit 10.1 to Aramark Services, Inc.’s Quarterly Report on Form 10-Q</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filed with the SEC on May 12, 2011, pursuant to the Exchange Act (file number 001-04762)) (portions omitted pursuant to a grant of</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confidential treatment).</w:t>
        </w:r>
      </w:hyperlink>
    </w:p>
    <w:p>
      <w:pPr>
        <w:spacing w:after="0" w:line="18" w:lineRule="exact"/>
        <w:rPr>
          <w:rFonts w:ascii="Times New Roman" w:cs="Times New Roman" w:eastAsia="Times New Roman" w:hAnsi="Times New Roman"/>
          <w:sz w:val="18"/>
          <w:szCs w:val="18"/>
          <w:u w:val="single" w:color="auto"/>
          <w:color w:val="0000FF"/>
        </w:rPr>
      </w:pPr>
    </w:p>
    <w:p>
      <w:pPr>
        <w:ind w:left="1300" w:right="60" w:hanging="656"/>
        <w:spacing w:after="0" w:line="261" w:lineRule="auto"/>
        <w:tabs>
          <w:tab w:leader="none" w:pos="1280" w:val="left"/>
        </w:tabs>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10.103</w:t>
        </w:r>
      </w:hyperlink>
      <w:r>
        <w:rPr>
          <w:rFonts w:ascii="Times New Roman" w:cs="Times New Roman" w:eastAsia="Times New Roman" w:hAnsi="Times New Roman"/>
          <w:sz w:val="18"/>
          <w:szCs w:val="18"/>
          <w:u w:val="single" w:color="auto"/>
          <w:color w:val="0000FF"/>
        </w:rPr>
        <w:tab/>
      </w:r>
      <w:hyperlink r:id="rId117">
        <w:r>
          <w:rPr>
            <w:rFonts w:ascii="Times New Roman" w:cs="Times New Roman" w:eastAsia="Times New Roman" w:hAnsi="Times New Roman"/>
            <w:sz w:val="18"/>
            <w:szCs w:val="18"/>
            <w:u w:val="single" w:color="auto"/>
            <w:color w:val="0000FF"/>
          </w:rPr>
          <w:t>Amendment Agreement, dated February 26, 2014, to the Master Distribution Agreement dated as of November 25, 2006, between SYSCO</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Corporation and ARAMARK Food and Support Services Group, Inc., as amended and restated effective as of March 5, 2011 (incorporated</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by reference to Exhibit 10.71 to Aramark’s Form S-1/A filed with the SEC on February 26, 2014 (file number 333-194077)) (portions</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omitted pursuant to a grant of confidential treatment).</w:t>
        </w:r>
      </w:hyperlink>
    </w:p>
    <w:p>
      <w:pPr>
        <w:spacing w:after="0" w:line="315"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S-66</w:t>
      </w:r>
    </w:p>
    <w:p>
      <w:pPr>
        <w:sectPr>
          <w:pgSz w:w="11900" w:h="16838" w:orient="portrait"/>
          <w:cols w:equalWidth="0" w:num="1">
            <w:col w:w="11380"/>
          </w:cols>
          <w:pgMar w:left="240" w:top="175" w:right="27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500" w:type="dxa"/>
            <w:vAlign w:val="bottom"/>
            <w:gridSpan w:val="2"/>
          </w:tcPr>
          <w:p>
            <w:pPr>
              <w:jc w:val="right"/>
              <w:spacing w:after="0"/>
              <w:rPr>
                <w:rFonts w:ascii="Times New Roman" w:cs="Times New Roman" w:eastAsia="Times New Roman" w:hAnsi="Times New Roman"/>
                <w:sz w:val="18"/>
                <w:szCs w:val="18"/>
                <w:color w:val="0000FF"/>
                <w:w w:val="96"/>
              </w:rPr>
            </w:pPr>
            <w:hyperlink r:id="rId118">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104</w:t>
              </w:r>
            </w:hyperlink>
          </w:p>
        </w:tc>
        <w:tc>
          <w:tcPr>
            <w:tcW w:w="160" w:type="dxa"/>
            <w:vAlign w:val="bottom"/>
          </w:tcPr>
          <w:p>
            <w:pPr>
              <w:spacing w:after="0"/>
              <w:rPr>
                <w:sz w:val="17"/>
                <w:szCs w:val="17"/>
                <w:color w:val="auto"/>
              </w:rPr>
            </w:pPr>
          </w:p>
        </w:tc>
        <w:tc>
          <w:tcPr>
            <w:tcW w:w="9920" w:type="dxa"/>
            <w:vAlign w:val="bottom"/>
            <w:gridSpan w:val="8"/>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Stewardship Framework Agreement by and between Aramark and MR BridgeStone Advisor LLC, on behalf of itself and its affiliated</w:t>
              </w:r>
            </w:hyperlink>
          </w:p>
        </w:tc>
      </w:tr>
      <w:tr>
        <w:trPr>
          <w:trHeight w:val="20"/>
        </w:trPr>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funds, dated October 6, 2019. (incorporated by reference to Exhibit 10.1 to Aramark’s Current Report on Form 8-K filed with the SEC on</w:t>
              </w:r>
            </w:hyperlink>
          </w:p>
        </w:tc>
      </w:tr>
      <w:tr>
        <w:trPr>
          <w:trHeight w:val="196"/>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October 7, 2019, pursuant to the Exchange Act (file number 001-36223)).</w:t>
              </w:r>
            </w:hyperlink>
          </w:p>
        </w:tc>
        <w:tc>
          <w:tcPr>
            <w:tcW w:w="4600" w:type="dxa"/>
            <w:vAlign w:val="bottom"/>
            <w:gridSpan w:val="4"/>
          </w:tcPr>
          <w:p>
            <w:pPr>
              <w:spacing w:after="0"/>
              <w:rPr>
                <w:sz w:val="17"/>
                <w:szCs w:val="17"/>
                <w:color w:val="auto"/>
              </w:rPr>
            </w:pPr>
          </w:p>
        </w:tc>
      </w:tr>
      <w:tr>
        <w:trPr>
          <w:trHeight w:val="250"/>
        </w:trPr>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217">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hyperlink>
          </w:p>
        </w:tc>
        <w:tc>
          <w:tcPr>
            <w:tcW w:w="160" w:type="dxa"/>
            <w:vAlign w:val="bottom"/>
          </w:tcPr>
          <w:p>
            <w:pPr>
              <w:spacing w:after="0"/>
              <w:rPr>
                <w:sz w:val="21"/>
                <w:szCs w:val="21"/>
                <w:color w:val="auto"/>
              </w:rPr>
            </w:pPr>
          </w:p>
        </w:tc>
        <w:tc>
          <w:tcPr>
            <w:tcW w:w="9920" w:type="dxa"/>
            <w:vAlign w:val="bottom"/>
            <w:gridSpan w:val="8"/>
          </w:tcPr>
          <w:p>
            <w:pPr>
              <w:spacing w:after="0"/>
              <w:rPr>
                <w:rFonts w:ascii="Times New Roman" w:cs="Times New Roman" w:eastAsia="Times New Roman" w:hAnsi="Times New Roman"/>
                <w:sz w:val="18"/>
                <w:szCs w:val="18"/>
                <w:color w:val="0000FF"/>
              </w:rPr>
            </w:pPr>
            <w:hyperlink w:anchor="page217">
              <w:r>
                <w:rPr>
                  <w:rFonts w:ascii="Times New Roman" w:cs="Times New Roman" w:eastAsia="Times New Roman" w:hAnsi="Times New Roman"/>
                  <w:sz w:val="18"/>
                  <w:szCs w:val="18"/>
                  <w:color w:val="0000FF"/>
                </w:rPr>
                <w:t>List of subsidiaries of Aramark.</w:t>
              </w:r>
            </w:hyperlink>
          </w:p>
        </w:tc>
      </w:tr>
      <w:tr>
        <w:trPr>
          <w:trHeight w:val="20"/>
        </w:trPr>
        <w:tc>
          <w:tcPr>
            <w:tcW w:w="36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50"/>
        </w:trPr>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226">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hyperlink>
          </w:p>
        </w:tc>
        <w:tc>
          <w:tcPr>
            <w:tcW w:w="160" w:type="dxa"/>
            <w:vAlign w:val="bottom"/>
          </w:tcPr>
          <w:p>
            <w:pPr>
              <w:spacing w:after="0"/>
              <w:rPr>
                <w:sz w:val="21"/>
                <w:szCs w:val="21"/>
                <w:color w:val="auto"/>
              </w:rPr>
            </w:pPr>
          </w:p>
        </w:tc>
        <w:tc>
          <w:tcPr>
            <w:tcW w:w="9920" w:type="dxa"/>
            <w:vAlign w:val="bottom"/>
            <w:gridSpan w:val="8"/>
          </w:tcPr>
          <w:p>
            <w:pPr>
              <w:spacing w:after="0"/>
              <w:rPr>
                <w:rFonts w:ascii="Times New Roman" w:cs="Times New Roman" w:eastAsia="Times New Roman" w:hAnsi="Times New Roman"/>
                <w:sz w:val="18"/>
                <w:szCs w:val="18"/>
                <w:color w:val="0000FF"/>
              </w:rPr>
            </w:pPr>
            <w:hyperlink w:anchor="page226">
              <w:r>
                <w:rPr>
                  <w:rFonts w:ascii="Times New Roman" w:cs="Times New Roman" w:eastAsia="Times New Roman" w:hAnsi="Times New Roman"/>
                  <w:sz w:val="18"/>
                  <w:szCs w:val="18"/>
                  <w:color w:val="0000FF"/>
                </w:rPr>
                <w:t>Consent of Independent Registered Public Accounting Firm-KPMG LLP.</w:t>
              </w:r>
            </w:hyperlink>
          </w:p>
        </w:tc>
      </w:tr>
      <w:tr>
        <w:trPr>
          <w:trHeight w:val="20"/>
        </w:trPr>
        <w:tc>
          <w:tcPr>
            <w:tcW w:w="36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50"/>
        </w:trPr>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227">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160" w:type="dxa"/>
            <w:vAlign w:val="bottom"/>
          </w:tcPr>
          <w:p>
            <w:pPr>
              <w:spacing w:after="0"/>
              <w:rPr>
                <w:sz w:val="21"/>
                <w:szCs w:val="21"/>
                <w:color w:val="auto"/>
              </w:rPr>
            </w:pPr>
          </w:p>
        </w:tc>
        <w:tc>
          <w:tcPr>
            <w:tcW w:w="9920" w:type="dxa"/>
            <w:vAlign w:val="bottom"/>
            <w:gridSpan w:val="8"/>
          </w:tcPr>
          <w:p>
            <w:pPr>
              <w:spacing w:after="0"/>
              <w:rPr>
                <w:rFonts w:ascii="Times New Roman" w:cs="Times New Roman" w:eastAsia="Times New Roman" w:hAnsi="Times New Roman"/>
                <w:sz w:val="18"/>
                <w:szCs w:val="18"/>
                <w:color w:val="0000FF"/>
              </w:rPr>
            </w:pPr>
            <w:hyperlink w:anchor="page227">
              <w:r>
                <w:rPr>
                  <w:rFonts w:ascii="Times New Roman" w:cs="Times New Roman" w:eastAsia="Times New Roman" w:hAnsi="Times New Roman"/>
                  <w:sz w:val="18"/>
                  <w:szCs w:val="18"/>
                  <w:color w:val="0000FF"/>
                </w:rPr>
                <w:t>Certification of John J. Zillmer, Chief Executive Officer, pursuant to Section 302 of the Sarbanes-Oxley Act of 2002.</w:t>
              </w:r>
            </w:hyperlink>
          </w:p>
        </w:tc>
      </w:tr>
      <w:tr>
        <w:trPr>
          <w:trHeight w:val="20"/>
        </w:trPr>
        <w:tc>
          <w:tcPr>
            <w:tcW w:w="36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608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50"/>
        </w:trPr>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228">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160" w:type="dxa"/>
            <w:vAlign w:val="bottom"/>
          </w:tcPr>
          <w:p>
            <w:pPr>
              <w:spacing w:after="0"/>
              <w:rPr>
                <w:sz w:val="21"/>
                <w:szCs w:val="21"/>
                <w:color w:val="auto"/>
              </w:rPr>
            </w:pPr>
          </w:p>
        </w:tc>
        <w:tc>
          <w:tcPr>
            <w:tcW w:w="9920" w:type="dxa"/>
            <w:vAlign w:val="bottom"/>
            <w:gridSpan w:val="8"/>
          </w:tcPr>
          <w:p>
            <w:pPr>
              <w:spacing w:after="0"/>
              <w:rPr>
                <w:rFonts w:ascii="Times New Roman" w:cs="Times New Roman" w:eastAsia="Times New Roman" w:hAnsi="Times New Roman"/>
                <w:sz w:val="18"/>
                <w:szCs w:val="18"/>
                <w:color w:val="0000FF"/>
              </w:rPr>
            </w:pPr>
            <w:hyperlink w:anchor="page228">
              <w:r>
                <w:rPr>
                  <w:rFonts w:ascii="Times New Roman" w:cs="Times New Roman" w:eastAsia="Times New Roman" w:hAnsi="Times New Roman"/>
                  <w:sz w:val="18"/>
                  <w:szCs w:val="18"/>
                  <w:color w:val="0000FF"/>
                </w:rPr>
                <w:t>Certification of Stephen P. Bramlage, Jr., Chief Financial Officer, pursuant to Section 302 of the Sarbanes-Oxley Act of 2002.</w:t>
              </w:r>
            </w:hyperlink>
          </w:p>
        </w:tc>
      </w:tr>
      <w:tr>
        <w:trPr>
          <w:trHeight w:val="20"/>
        </w:trPr>
        <w:tc>
          <w:tcPr>
            <w:tcW w:w="36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6700" w:type="dxa"/>
            <w:vAlign w:val="bottom"/>
            <w:gridSpan w:val="4"/>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50"/>
        </w:trPr>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229">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160" w:type="dxa"/>
            <w:vAlign w:val="bottom"/>
          </w:tcPr>
          <w:p>
            <w:pPr>
              <w:spacing w:after="0"/>
              <w:rPr>
                <w:sz w:val="21"/>
                <w:szCs w:val="21"/>
                <w:color w:val="auto"/>
              </w:rPr>
            </w:pPr>
          </w:p>
        </w:tc>
        <w:tc>
          <w:tcPr>
            <w:tcW w:w="9920" w:type="dxa"/>
            <w:vAlign w:val="bottom"/>
            <w:gridSpan w:val="8"/>
          </w:tcPr>
          <w:p>
            <w:pPr>
              <w:spacing w:after="0"/>
              <w:rPr>
                <w:rFonts w:ascii="Times New Roman" w:cs="Times New Roman" w:eastAsia="Times New Roman" w:hAnsi="Times New Roman"/>
                <w:sz w:val="18"/>
                <w:szCs w:val="18"/>
                <w:color w:val="0000FF"/>
                <w:w w:val="99"/>
              </w:rPr>
            </w:pPr>
            <w:hyperlink w:anchor="page229">
              <w:r>
                <w:rPr>
                  <w:rFonts w:ascii="Times New Roman" w:cs="Times New Roman" w:eastAsia="Times New Roman" w:hAnsi="Times New Roman"/>
                  <w:sz w:val="18"/>
                  <w:szCs w:val="18"/>
                  <w:color w:val="0000FF"/>
                  <w:w w:val="99"/>
                </w:rPr>
                <w:t>Certification of John J. Zillmer, Chief Executive Officer, and Stephen P. Bramlage, Jr., Chief Financial Officer, pursuant to Section 906 of</w:t>
              </w:r>
            </w:hyperlink>
          </w:p>
        </w:tc>
      </w:tr>
      <w:tr>
        <w:trPr>
          <w:trHeight w:val="196"/>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w:anchor="page229">
              <w:r>
                <w:rPr>
                  <w:rFonts w:ascii="Times New Roman" w:cs="Times New Roman" w:eastAsia="Times New Roman" w:hAnsi="Times New Roman"/>
                  <w:sz w:val="18"/>
                  <w:szCs w:val="18"/>
                  <w:color w:val="0000FF"/>
                </w:rPr>
                <w:t>the Sarbanes-Oxley Act of 2002.</w:t>
              </w:r>
            </w:hyperlink>
          </w:p>
        </w:tc>
      </w:tr>
      <w:tr>
        <w:trPr>
          <w:trHeight w:val="20"/>
        </w:trPr>
        <w:tc>
          <w:tcPr>
            <w:tcW w:w="920" w:type="dxa"/>
            <w:vAlign w:val="bottom"/>
            <w:gridSpan w:val="4"/>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7560" w:type="dxa"/>
            <w:vAlign w:val="bottom"/>
            <w:gridSpan w:val="6"/>
          </w:tcPr>
          <w:p>
            <w:pPr>
              <w:spacing w:after="0" w:line="20" w:lineRule="exact"/>
              <w:rPr>
                <w:sz w:val="1"/>
                <w:szCs w:val="1"/>
                <w:color w:val="auto"/>
              </w:rPr>
            </w:pPr>
          </w:p>
        </w:tc>
      </w:tr>
      <w:tr>
        <w:trPr>
          <w:trHeight w:val="291"/>
        </w:trPr>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w w:val="97"/>
              </w:rPr>
              <w:t>101.SCH*</w:t>
            </w: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w w:val="96"/>
              </w:rPr>
              <w:t>101.CAL*</w:t>
            </w: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w w:val="99"/>
              </w:rPr>
              <w:t>101.DEF*</w:t>
            </w: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w w:val="96"/>
              </w:rPr>
              <w:t>101.LAB*</w:t>
            </w: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3"/>
                <w:szCs w:val="23"/>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for the cover page of this Annual Report on Form 10-K; included in Exhibit 101 Inline XBRL document set.</w:t>
            </w:r>
          </w:p>
        </w:tc>
      </w:tr>
    </w:tbl>
    <w:p>
      <w:pPr>
        <w:spacing w:after="0" w:line="1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1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Identifies exhibits that consist of management contract or compensatory arrangement.</w:t>
      </w:r>
    </w:p>
    <w:p>
      <w:pPr>
        <w:spacing w:after="0" w:line="122" w:lineRule="exact"/>
        <w:rPr>
          <w:sz w:val="20"/>
          <w:szCs w:val="20"/>
          <w:color w:val="auto"/>
        </w:rPr>
      </w:pPr>
    </w:p>
    <w:p>
      <w:pPr>
        <w:ind w:left="600" w:hanging="593"/>
        <w:spacing w:after="0" w:line="2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8"/>
          <w:szCs w:val="18"/>
          <w:color w:val="auto"/>
        </w:rPr>
        <w:t>These merger agreements are filed as exhibits to this Annual Report on Form 10-K to provide investors and security holders with information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their terms. They are not intended to provide any other factual or financial information about the Company, Avendra, AmeriPride or their respective subsidiaries and affiliates. The representations, warranties and covenants contained in each of the merger agreements were made only for purposes of that agreement and as of the date of such merger agreement or such other date as is specified in such merger agreement; were solely for the benefit of the parties to such merger agreement; have been qualified by confidential disclosures made for the purposes of allocating contractual risk between the parties to such merger agreement instead of establishing these matters as facts; and are subject to materiality qualifications contained in such merger agreement that may differ from what may be viewed as material by investors. Investors should not rely on the representations, warranties and covenants or any description thereof as characterizations of the actual state of facts or condition of the Company, Avendra, AmeriPride or any of their respective subsidiaries or affiliates. Moreover, information concerning the subject matter of the representations, warranties and covenants may change after the date of the merger agreements, which subsequent information may or may not be fully reflected in public disclosures by the Company. The merger agreements should not be read alone but should instead be read in conjunction with the other information that is or will be included in reports and other filings that the Company files with the Securities and Exchange Commission.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XBRL instance document does not appear in the interactive data file because the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S-67</w:t>
      </w:r>
    </w:p>
    <w:p>
      <w:pPr>
        <w:sectPr>
          <w:pgSz w:w="11900" w:h="16838" w:orient="portrait"/>
          <w:cols w:equalWidth="0" w:num="1">
            <w:col w:w="11400"/>
          </w:cols>
          <w:pgMar w:left="240" w:top="175" w:right="25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 OF THE SECURITIES EXCHANGE ACT OF 1934</w:t>
      </w:r>
    </w:p>
    <w:p>
      <w:pPr>
        <w:spacing w:after="0" w:line="310" w:lineRule="exact"/>
        <w:rPr>
          <w:sz w:val="20"/>
          <w:szCs w:val="20"/>
          <w:color w:val="auto"/>
        </w:rPr>
      </w:pPr>
    </w:p>
    <w:p>
      <w:pPr>
        <w:ind w:right="400" w:firstLine="648"/>
        <w:spacing w:after="0" w:line="329" w:lineRule="auto"/>
        <w:rPr>
          <w:sz w:val="20"/>
          <w:szCs w:val="20"/>
          <w:color w:val="auto"/>
        </w:rPr>
      </w:pPr>
      <w:r>
        <w:rPr>
          <w:rFonts w:ascii="Times New Roman" w:cs="Times New Roman" w:eastAsia="Times New Roman" w:hAnsi="Times New Roman"/>
          <w:sz w:val="18"/>
          <w:szCs w:val="18"/>
          <w:color w:val="auto"/>
        </w:rPr>
        <w:t>The following summary describes the common stock, par value $0.01 per share, of Aramark (“Aramark” or the “Company”) which are the only securities of Aramark registered pursuant to Section 12 of the Securities Exchange Act of 1934, as amended.</w:t>
      </w:r>
    </w:p>
    <w:p>
      <w:pPr>
        <w:spacing w:after="0" w:line="202" w:lineRule="exact"/>
        <w:rPr>
          <w:sz w:val="20"/>
          <w:szCs w:val="20"/>
          <w:color w:val="auto"/>
        </w:rPr>
      </w:pPr>
    </w:p>
    <w:p>
      <w:pPr>
        <w:ind w:right="260" w:firstLine="648"/>
        <w:spacing w:after="0" w:line="305" w:lineRule="auto"/>
        <w:rPr>
          <w:sz w:val="20"/>
          <w:szCs w:val="20"/>
          <w:color w:val="auto"/>
        </w:rPr>
      </w:pPr>
      <w:r>
        <w:rPr>
          <w:rFonts w:ascii="Times New Roman" w:cs="Times New Roman" w:eastAsia="Times New Roman" w:hAnsi="Times New Roman"/>
          <w:sz w:val="18"/>
          <w:szCs w:val="18"/>
          <w:color w:val="auto"/>
        </w:rPr>
        <w:t>The following description is a summary of material terms only and does not purport to be complete. It is subject to, and qualified in its entirety by reference to, our amended and restated certificate of incorporation and our second amended and restated bylaws (which we refer to as our “amended and restated bylaws”), each of which is incorporated by reference as an exhibit to the Annual Report on Form 10-K of which this Exhibit is a part, and each of which may be amended from time to time. The terms of these securities also may be affected by the General Corporation Law of the State of Delaware (which we refer to below as the “DGCL”).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310" w:lineRule="exact"/>
        <w:rPr>
          <w:sz w:val="20"/>
          <w:szCs w:val="20"/>
          <w:color w:val="auto"/>
        </w:rPr>
      </w:pPr>
    </w:p>
    <w:p>
      <w:pPr>
        <w:ind w:right="120" w:firstLine="648"/>
        <w:spacing w:after="0" w:line="329" w:lineRule="auto"/>
        <w:rPr>
          <w:sz w:val="20"/>
          <w:szCs w:val="20"/>
          <w:color w:val="auto"/>
        </w:rPr>
      </w:pPr>
      <w:r>
        <w:rPr>
          <w:rFonts w:ascii="Times New Roman" w:cs="Times New Roman" w:eastAsia="Times New Roman" w:hAnsi="Times New Roman"/>
          <w:sz w:val="18"/>
          <w:szCs w:val="18"/>
          <w:color w:val="auto"/>
        </w:rPr>
        <w:t>Our authorized capital stock consists of 600,000,000 shares of common stock, par value $0.01 per share, and 100,000,000 shares of preferred stock, par value $0.01 per share. Unless our board of directors determines otherwise, we will issue all shares of our capital stock in uncertificated form.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0" w:lineRule="exact"/>
        <w:rPr>
          <w:sz w:val="20"/>
          <w:szCs w:val="20"/>
          <w:color w:val="auto"/>
        </w:rPr>
      </w:pPr>
    </w:p>
    <w:p>
      <w:pPr>
        <w:ind w:right="40" w:firstLine="648"/>
        <w:spacing w:after="0" w:line="329" w:lineRule="auto"/>
        <w:rPr>
          <w:sz w:val="20"/>
          <w:szCs w:val="20"/>
          <w:color w:val="auto"/>
        </w:rPr>
      </w:pPr>
      <w:r>
        <w:rPr>
          <w:rFonts w:ascii="Times New Roman" w:cs="Times New Roman" w:eastAsia="Times New Roman" w:hAnsi="Times New Roman"/>
          <w:sz w:val="18"/>
          <w:szCs w:val="18"/>
          <w:color w:val="auto"/>
        </w:rPr>
        <w:t>Holders of shares of our common stock are entitled to one vote for each share held of record on all matters on which stockholders are entitled to vote generally, including the election or removal of directors. The holders of our common stock do not have cumulative voting rights in the election of directors.</w:t>
      </w:r>
    </w:p>
    <w:p>
      <w:pPr>
        <w:spacing w:after="0" w:line="202" w:lineRule="exact"/>
        <w:rPr>
          <w:sz w:val="20"/>
          <w:szCs w:val="20"/>
          <w:color w:val="auto"/>
        </w:rPr>
      </w:pPr>
    </w:p>
    <w:p>
      <w:pPr>
        <w:ind w:right="120" w:firstLine="648"/>
        <w:spacing w:after="0" w:line="305" w:lineRule="auto"/>
        <w:rPr>
          <w:sz w:val="20"/>
          <w:szCs w:val="20"/>
          <w:color w:val="auto"/>
        </w:rPr>
      </w:pPr>
      <w:r>
        <w:rPr>
          <w:rFonts w:ascii="Times New Roman" w:cs="Times New Roman" w:eastAsia="Times New Roman" w:hAnsi="Times New Roman"/>
          <w:sz w:val="18"/>
          <w:szCs w:val="18"/>
          <w:color w:val="auto"/>
        </w:rPr>
        <w:t>The holders of shares of common stock are entitled to receive such dividends, if any, as may be declared from time to time by the Company’s board of directors in its discretion from funds legally available therefor. Declaration and payment of any dividend is subject to the discretion of our board of directors. The time and amount of dividends depends on our financial condition, operations, cash requirements and availability, debt repayment obligations, capital expenditure needs and restrictions in our debt instruments, industry trends, the provisions of Delaware law affecting the payment of distributions to stockholders and any other factors our board of directors may consider relevant.</w:t>
      </w:r>
    </w:p>
    <w:p>
      <w:pPr>
        <w:spacing w:after="0" w:line="224" w:lineRule="exact"/>
        <w:rPr>
          <w:sz w:val="20"/>
          <w:szCs w:val="20"/>
          <w:color w:val="auto"/>
        </w:rPr>
      </w:pPr>
    </w:p>
    <w:p>
      <w:pPr>
        <w:ind w:right="60" w:firstLine="648"/>
        <w:spacing w:after="0" w:line="302"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to the holders of shares of our preferred stock having liquidation preferences, if any, the holders of shares of our common stock will be entitled to receive pro rata our remaining assets available for distribution. Holders of shares of our common stock do not have preemptive, subscription, redemption or conversion rights. Shares of our common stock will not be subject to further calls or assessment by us. There will be no redemption or sinking fund provisions applicable to shares of our common stock. All shares of our common stock outstanding are fully paid and non-assessable. The rights, powers, preferences and privileges of holders of shares of our common stock will be subject to those of the holders of any shares of our preferred stock we may authorize and issue in the future. Our board of directors may authorize the issuance of preferred stock with voting, conversion, dividend, liquidation and other rights that may adversely affect the rights of the holder of our common stock.</w:t>
      </w:r>
    </w:p>
    <w:p>
      <w:pPr>
        <w:sectPr>
          <w:pgSz w:w="11900" w:h="16838" w:orient="portrait"/>
          <w:cols w:equalWidth="0" w:num="1">
            <w:col w:w="11420"/>
          </w:cols>
          <w:pgMar w:left="240" w:top="117" w:right="2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shares of our common stock is Computershare Trust Company, N.A.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Listing</w:t>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NYSE under the symbol “ARMK.”</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310" w:lineRule="exact"/>
        <w:rPr>
          <w:sz w:val="20"/>
          <w:szCs w:val="20"/>
          <w:color w:val="auto"/>
        </w:rPr>
      </w:pPr>
    </w:p>
    <w:p>
      <w:pPr>
        <w:ind w:right="260" w:firstLine="648"/>
        <w:spacing w:after="0" w:line="30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to establish one or more series of shares of preferred stock (including shares of convertible preferred stock). Unless required by law or by the NYSE, the authorized shares of preferred stock will be available for issuance without stockholder approval. Our board of directors is able to determine, with respect to any series of shares of preferred stock, the powers (including voting powers), preferences and relative, participating, optional or other special rights, and the qualifications, limitations or restrictions thereof.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the Annual Report on Form 10-K of which this Exhibit is a part, no shares of preferred stock are outstanding.</w:t>
      </w:r>
    </w:p>
    <w:p>
      <w:pPr>
        <w:spacing w:after="0" w:line="302" w:lineRule="exact"/>
        <w:rPr>
          <w:sz w:val="20"/>
          <w:szCs w:val="20"/>
          <w:color w:val="auto"/>
        </w:rPr>
      </w:pPr>
    </w:p>
    <w:p>
      <w:pPr>
        <w:ind w:right="380"/>
        <w:spacing w:after="0" w:line="333"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199" w:lineRule="exact"/>
        <w:rPr>
          <w:sz w:val="20"/>
          <w:szCs w:val="20"/>
          <w:color w:val="auto"/>
        </w:rPr>
      </w:pPr>
    </w:p>
    <w:p>
      <w:pPr>
        <w:jc w:val="both"/>
        <w:ind w:right="60" w:firstLine="648"/>
        <w:spacing w:after="0" w:line="303"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Capital Stock</w:t>
      </w:r>
    </w:p>
    <w:p>
      <w:pPr>
        <w:spacing w:after="0" w:line="308" w:lineRule="exact"/>
        <w:rPr>
          <w:sz w:val="20"/>
          <w:szCs w:val="20"/>
          <w:color w:val="auto"/>
        </w:rPr>
      </w:pPr>
    </w:p>
    <w:p>
      <w:pPr>
        <w:ind w:right="140" w:firstLine="648"/>
        <w:spacing w:after="0" w:line="308"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NYSE, which apply so long as our common stock remains listed on the NYSE, require stockholder approval of certain issuances equal to or exceeding 20% of the then outstanding voting power or then outstanding number of shares of common stock. Additional shares that may be used in the future may be used for a variety of corporate purposes, including future public offerings, to raise additional capital or to facilitate acquisitions.</w:t>
      </w:r>
    </w:p>
    <w:p>
      <w:pPr>
        <w:spacing w:after="0" w:line="220" w:lineRule="exact"/>
        <w:rPr>
          <w:sz w:val="20"/>
          <w:szCs w:val="20"/>
          <w:color w:val="auto"/>
        </w:rPr>
      </w:pPr>
    </w:p>
    <w:p>
      <w:pPr>
        <w:jc w:val="both"/>
        <w:ind w:right="60" w:firstLine="648"/>
        <w:spacing w:after="0" w:line="313" w:lineRule="auto"/>
        <w:rPr>
          <w:sz w:val="20"/>
          <w:szCs w:val="20"/>
          <w:color w:val="auto"/>
        </w:rPr>
      </w:pPr>
      <w:r>
        <w:rPr>
          <w:rFonts w:ascii="Times New Roman" w:cs="Times New Roman" w:eastAsia="Times New Roman" w:hAnsi="Times New Roman"/>
          <w:sz w:val="18"/>
          <w:szCs w:val="18"/>
          <w:color w:val="auto"/>
        </w:rPr>
        <w:t>Our board of directors may generally issue preferred shares on terms calculated to discourage, delay or prevent a change of control of the Company or the removal of our management. Moreover, our authorized but unissued shares of preferred stock will be available for future issuances without stockholder approval and could be</w:t>
      </w:r>
    </w:p>
    <w:p>
      <w:pPr>
        <w:sectPr>
          <w:pgSz w:w="11900" w:h="16838" w:orient="portrait"/>
          <w:cols w:equalWidth="0" w:num="1">
            <w:col w:w="11420"/>
          </w:cols>
          <w:pgMar w:left="240" w:top="117" w:right="239" w:bottom="1440" w:gutter="0" w:footer="0" w:header="0"/>
        </w:sectPr>
      </w:pPr>
    </w:p>
    <w:bookmarkStart w:id="119" w:name="page120"/>
    <w:bookmarkEnd w:id="119"/>
    <w:p>
      <w:pPr>
        <w:ind w:left="10580"/>
        <w:spacing w:after="0"/>
        <w:rPr>
          <w:sz w:val="20"/>
          <w:szCs w:val="20"/>
          <w:color w:val="auto"/>
        </w:rPr>
      </w:pPr>
      <w:r>
        <w:rPr>
          <w:rFonts w:ascii="Times New Roman" w:cs="Times New Roman" w:eastAsia="Times New Roman" w:hAnsi="Times New Roman"/>
          <w:sz w:val="17"/>
          <w:szCs w:val="17"/>
          <w:b w:val="1"/>
          <w:bCs w:val="1"/>
          <w:color w:val="auto"/>
        </w:rPr>
        <w:t>Exhibit 4.7</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utilized for a variety of corporate purposes, including future offerings to raise additional capital, to facilitate acquisitions and employee benefit plans.</w:t>
      </w:r>
    </w:p>
    <w:p>
      <w:pPr>
        <w:spacing w:after="0" w:line="306" w:lineRule="exact"/>
        <w:rPr>
          <w:sz w:val="20"/>
          <w:szCs w:val="20"/>
          <w:color w:val="auto"/>
        </w:rPr>
      </w:pPr>
    </w:p>
    <w:p>
      <w:pPr>
        <w:ind w:firstLine="648"/>
        <w:spacing w:after="0" w:line="308"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shares of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Anti-Takeover Statutes</w:t>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Delaware law provisions may make it more difficult for someone to acquire us through a tender offer, proxy contest or otherwise.</w:t>
      </w:r>
    </w:p>
    <w:p>
      <w:pPr>
        <w:spacing w:after="0" w:line="306" w:lineRule="exact"/>
        <w:rPr>
          <w:sz w:val="20"/>
          <w:szCs w:val="20"/>
          <w:color w:val="auto"/>
        </w:rPr>
      </w:pPr>
    </w:p>
    <w:p>
      <w:pPr>
        <w:ind w:right="100" w:firstLine="648"/>
        <w:spacing w:after="0" w:line="305" w:lineRule="auto"/>
        <w:rPr>
          <w:sz w:val="20"/>
          <w:szCs w:val="20"/>
          <w:color w:val="auto"/>
        </w:rPr>
      </w:pPr>
      <w:r>
        <w:rPr>
          <w:rFonts w:ascii="Times New Roman" w:cs="Times New Roman" w:eastAsia="Times New Roman" w:hAnsi="Times New Roman"/>
          <w:sz w:val="18"/>
          <w:szCs w:val="18"/>
          <w:color w:val="auto"/>
        </w:rPr>
        <w:t>Section 203 of the DGCL, provides that, subject to certain stated exceptions, 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 A corporation may not engage in a business combination with any interested stockholder for a period of three years following the time that such stockholder became an interested stockholder unless: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60" w:right="660" w:hanging="123"/>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transaction which resulted in the stockholder becoming an interested stockholder;</w:t>
      </w:r>
    </w:p>
    <w:p>
      <w:pPr>
        <w:spacing w:after="0" w:line="296" w:lineRule="exact"/>
        <w:rPr>
          <w:rFonts w:ascii="Times New Roman" w:cs="Times New Roman" w:eastAsia="Times New Roman" w:hAnsi="Times New Roman"/>
          <w:sz w:val="18"/>
          <w:szCs w:val="18"/>
          <w:color w:val="auto"/>
        </w:rPr>
      </w:pPr>
    </w:p>
    <w:p>
      <w:pPr>
        <w:ind w:left="960" w:right="40" w:hanging="123"/>
        <w:spacing w:after="0" w:line="261"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persons who are directors and also officers and employee stock plans in which participants do not have the right to determine confidentially whether shares held subject to the plan will be tendered in a tender or exchange offer; or</w:t>
      </w:r>
    </w:p>
    <w:p>
      <w:pPr>
        <w:spacing w:after="0" w:line="315" w:lineRule="exact"/>
        <w:rPr>
          <w:rFonts w:ascii="Times New Roman" w:cs="Times New Roman" w:eastAsia="Times New Roman" w:hAnsi="Times New Roman"/>
          <w:sz w:val="18"/>
          <w:szCs w:val="18"/>
          <w:color w:val="auto"/>
        </w:rPr>
      </w:pPr>
    </w:p>
    <w:p>
      <w:pPr>
        <w:ind w:left="960" w:right="180" w:hanging="123"/>
        <w:spacing w:after="0" w:line="266"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66-2/3% of the outstanding voting stock which is not owned by the interested stockholder.</w:t>
      </w:r>
    </w:p>
    <w:p>
      <w:pPr>
        <w:spacing w:after="0" w:line="271" w:lineRule="exact"/>
        <w:rPr>
          <w:sz w:val="20"/>
          <w:szCs w:val="20"/>
          <w:color w:val="auto"/>
        </w:rPr>
      </w:pPr>
    </w:p>
    <w:p>
      <w:pPr>
        <w:ind w:right="300" w:firstLine="648"/>
        <w:spacing w:after="0" w:line="308" w:lineRule="auto"/>
        <w:rPr>
          <w:sz w:val="20"/>
          <w:szCs w:val="20"/>
          <w:color w:val="auto"/>
        </w:rPr>
      </w:pPr>
      <w:r>
        <w:rPr>
          <w:rFonts w:ascii="Times New Roman" w:cs="Times New Roman" w:eastAsia="Times New Roman" w:hAnsi="Times New Roman"/>
          <w:sz w:val="18"/>
          <w:szCs w:val="18"/>
          <w:color w:val="auto"/>
        </w:rPr>
        <w:t>The effect of these provisions may make a change of control of our business more difficult by delaying, deferring or preventing a tender offer or other takeover attempt that a stockholder might consider in its best interest. This includes attempts that might result in the payment of a premium to stockholders over the market price for their shares. These provisions also may promote the continuity of our management by making it more difficult for a person to remove or change the incumbent members of the board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308"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directors may only be removed by the affirmative vote of holders of at least 75% in voting power of all the then-outstanding shares of stock of the Company entitled to vote thereon, voting together as a single class. In addition, our amended and restated certificate</w:t>
      </w:r>
    </w:p>
    <w:p>
      <w:pPr>
        <w:sectPr>
          <w:pgSz w:w="11900" w:h="16838" w:orient="portrait"/>
          <w:cols w:equalWidth="0" w:num="1">
            <w:col w:w="11420"/>
          </w:cols>
          <w:pgMar w:left="240" w:top="117" w:right="239" w:bottom="1440" w:gutter="0" w:footer="0" w:header="0"/>
        </w:sectPr>
      </w:pPr>
    </w:p>
    <w:bookmarkStart w:id="120" w:name="page121"/>
    <w:bookmarkEnd w:id="120"/>
    <w:p>
      <w:pPr>
        <w:ind w:left="10580"/>
        <w:spacing w:after="0"/>
        <w:rPr>
          <w:sz w:val="20"/>
          <w:szCs w:val="20"/>
          <w:color w:val="auto"/>
        </w:rPr>
      </w:pPr>
      <w:r>
        <w:rPr>
          <w:rFonts w:ascii="Times New Roman" w:cs="Times New Roman" w:eastAsia="Times New Roman" w:hAnsi="Times New Roman"/>
          <w:sz w:val="17"/>
          <w:szCs w:val="17"/>
          <w:b w:val="1"/>
          <w:bCs w:val="1"/>
          <w:color w:val="auto"/>
        </w:rPr>
        <w:t>Exhibit 4.7</w:t>
      </w:r>
    </w:p>
    <w:p>
      <w:pPr>
        <w:spacing w:after="0" w:line="268" w:lineRule="exact"/>
        <w:rPr>
          <w:sz w:val="20"/>
          <w:szCs w:val="20"/>
          <w:color w:val="auto"/>
        </w:rPr>
      </w:pPr>
    </w:p>
    <w:p>
      <w:pPr>
        <w:ind w:right="120"/>
        <w:spacing w:after="0" w:line="308" w:lineRule="auto"/>
        <w:rPr>
          <w:sz w:val="20"/>
          <w:szCs w:val="20"/>
          <w:color w:val="auto"/>
        </w:rPr>
      </w:pPr>
      <w:r>
        <w:rPr>
          <w:rFonts w:ascii="Times New Roman" w:cs="Times New Roman" w:eastAsia="Times New Roman" w:hAnsi="Times New Roman"/>
          <w:sz w:val="18"/>
          <w:szCs w:val="18"/>
          <w:color w:val="auto"/>
        </w:rPr>
        <w:t>of incorporation also provides that, subject to the rights granted to one or more series of shares of preferred stock then outstanding, any newly created directorship on the board of directors that results from an increase in the number of directors and any vacancy occurring in the board of directors may, unless otherwise required by law or by resolution by the board of directors, only be filled by a majority of the directors then in office, although less than a quorum, or by a sole remaining director (and not by the stockholders).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308"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Stockholder Meetings</w:t>
      </w:r>
    </w:p>
    <w:p>
      <w:pPr>
        <w:spacing w:after="0" w:line="308" w:lineRule="exact"/>
        <w:rPr>
          <w:sz w:val="20"/>
          <w:szCs w:val="20"/>
          <w:color w:val="auto"/>
        </w:rPr>
      </w:pPr>
    </w:p>
    <w:p>
      <w:pPr>
        <w:ind w:firstLine="648"/>
        <w:spacing w:after="0" w:line="30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special meetings of our stockholders may be called at any time only by or at the direction of the board of directors or the chairman of the board of directors.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Director Nominations and Stockholder Proposals</w:t>
      </w:r>
    </w:p>
    <w:p>
      <w:pPr>
        <w:spacing w:after="0" w:line="308" w:lineRule="exact"/>
        <w:rPr>
          <w:sz w:val="20"/>
          <w:szCs w:val="20"/>
          <w:color w:val="auto"/>
        </w:rPr>
      </w:pPr>
    </w:p>
    <w:p>
      <w:pPr>
        <w:ind w:right="20" w:firstLine="648"/>
        <w:spacing w:after="0" w:line="301"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in advance of the first anniversary of the preceding year’s annual meeting of stockholders. Our amended and restated bylaws also specify requirements as to the form and content of a stockholder’s notice.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30" w:lineRule="exact"/>
        <w:rPr>
          <w:sz w:val="20"/>
          <w:szCs w:val="20"/>
          <w:color w:val="auto"/>
        </w:rPr>
      </w:pPr>
    </w:p>
    <w:p>
      <w:pPr>
        <w:ind w:right="20" w:firstLine="648"/>
        <w:spacing w:after="0" w:line="302" w:lineRule="auto"/>
        <w:rPr>
          <w:sz w:val="20"/>
          <w:szCs w:val="20"/>
          <w:color w:val="auto"/>
        </w:rPr>
      </w:pPr>
      <w:r>
        <w:rPr>
          <w:rFonts w:ascii="Times New Roman" w:cs="Times New Roman" w:eastAsia="Times New Roman" w:hAnsi="Times New Roman"/>
          <w:sz w:val="18"/>
          <w:szCs w:val="18"/>
          <w:color w:val="auto"/>
        </w:rPr>
        <w:t>Our amended and restated bylaws contain proxy access provisions that permit, subject to certain conditions and exceptions described therein, a stockholder, or a group of up to 20 stockholders, owning 3% or more of the outstanding shares of stock of the Company entitled to vote generally for the election of directors continuously for at least three years, to nominate and include in our proxy materials candidates for election as directors. Such stockholder or group may nominate up to the greater of two nominees and the largest whole number that does not exceed 20% of our board of directors; provided that the stockholder or group and the nominee(s) satisfy the requirements specified in our amended and restated bylaws. To use the proxy access procedure, a proper notice of proxy access nomination must be received at our principal executive offices not less than 90 days nor more than 120 days in advance of the first anniversary of the preceding year’s annual meeting of stockholders. In no event shall any</w:t>
      </w:r>
    </w:p>
    <w:p>
      <w:pPr>
        <w:sectPr>
          <w:pgSz w:w="11900" w:h="16838" w:orient="portrait"/>
          <w:cols w:equalWidth="0" w:num="1">
            <w:col w:w="11420"/>
          </w:cols>
          <w:pgMar w:left="240" w:top="117" w:right="239" w:bottom="1440" w:gutter="0" w:footer="0" w:header="0"/>
        </w:sectPr>
      </w:pPr>
    </w:p>
    <w:bookmarkStart w:id="121" w:name="page122"/>
    <w:bookmarkEnd w:id="121"/>
    <w:p>
      <w:pPr>
        <w:ind w:left="10580"/>
        <w:spacing w:after="0"/>
        <w:rPr>
          <w:sz w:val="20"/>
          <w:szCs w:val="20"/>
          <w:color w:val="auto"/>
        </w:rPr>
      </w:pPr>
      <w:r>
        <w:rPr>
          <w:rFonts w:ascii="Times New Roman" w:cs="Times New Roman" w:eastAsia="Times New Roman" w:hAnsi="Times New Roman"/>
          <w:sz w:val="17"/>
          <w:szCs w:val="17"/>
          <w:b w:val="1"/>
          <w:bCs w:val="1"/>
          <w:color w:val="auto"/>
        </w:rPr>
        <w:t>Exhibit 4.7</w:t>
      </w:r>
    </w:p>
    <w:p>
      <w:pPr>
        <w:spacing w:after="0" w:line="268"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adjournment or postponement of an annual meeting of stockholders, the date of which has been announced by the Company, commence a new time period for the giving of a notice of proxy access nomination as described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308" w:lineRule="exact"/>
        <w:rPr>
          <w:sz w:val="20"/>
          <w:szCs w:val="20"/>
          <w:color w:val="auto"/>
        </w:rPr>
      </w:pPr>
    </w:p>
    <w:p>
      <w:pPr>
        <w:ind w:right="80" w:firstLine="648"/>
        <w:spacing w:after="0" w:line="305"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shares of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Provisions</w:t>
      </w:r>
    </w:p>
    <w:p>
      <w:pPr>
        <w:spacing w:after="0" w:line="308" w:lineRule="exact"/>
        <w:rPr>
          <w:sz w:val="20"/>
          <w:szCs w:val="20"/>
          <w:color w:val="auto"/>
        </w:rPr>
      </w:pPr>
    </w:p>
    <w:p>
      <w:pPr>
        <w:ind w:right="60" w:firstLine="648"/>
        <w:spacing w:after="0" w:line="30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and our amended and restated certificate of incorporation. Any amendment, alteration, rescission or repeal of our bylaws by our stockholders will require the affirmative vote of the holders of at least 75% in voting power of all the then-outstanding shares of stock of the Company entitled to vote thereon, voting together as a single class.</w:t>
      </w:r>
    </w:p>
    <w:p>
      <w:pPr>
        <w:spacing w:after="0" w:line="224" w:lineRule="exact"/>
        <w:rPr>
          <w:sz w:val="20"/>
          <w:szCs w:val="20"/>
          <w:color w:val="auto"/>
        </w:rPr>
      </w:pPr>
    </w:p>
    <w:p>
      <w:pPr>
        <w:ind w:right="280" w:firstLine="648"/>
        <w:spacing w:after="0" w:line="329"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202" w:lineRule="exact"/>
        <w:rPr>
          <w:sz w:val="20"/>
          <w:szCs w:val="20"/>
          <w:color w:val="auto"/>
        </w:rPr>
      </w:pPr>
    </w:p>
    <w:p>
      <w:pPr>
        <w:jc w:val="both"/>
        <w:ind w:right="80" w:firstLine="648"/>
        <w:spacing w:after="0" w:line="31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following provisions in our amended and restated certificate of incorporation may be amended, altered, repealed or rescinded only by the affirmative vote of the holders of at least 75% in voting power of all the then-outstanding shares of stock of the Company entitled to vote thereon, voting together as a single class:</w:t>
      </w:r>
    </w:p>
    <w:p>
      <w:pPr>
        <w:sectPr>
          <w:pgSz w:w="11900" w:h="16838" w:orient="portrait"/>
          <w:cols w:equalWidth="0" w:num="1">
            <w:col w:w="11420"/>
          </w:cols>
          <w:pgMar w:left="240" w:top="117" w:right="2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60" w:hanging="123"/>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75% supermajority vote for stockholders to amend our amended and restated bylaws;</w:t>
      </w:r>
    </w:p>
    <w:p>
      <w:pPr>
        <w:spacing w:after="0" w:line="360" w:lineRule="exact"/>
        <w:rPr>
          <w:rFonts w:ascii="Times New Roman" w:cs="Times New Roman" w:eastAsia="Times New Roman" w:hAnsi="Times New Roman"/>
          <w:sz w:val="18"/>
          <w:szCs w:val="18"/>
          <w:color w:val="auto"/>
        </w:rPr>
      </w:pPr>
    </w:p>
    <w:p>
      <w:pPr>
        <w:ind w:left="960" w:hanging="123"/>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360" w:lineRule="exact"/>
        <w:rPr>
          <w:rFonts w:ascii="Times New Roman" w:cs="Times New Roman" w:eastAsia="Times New Roman" w:hAnsi="Times New Roman"/>
          <w:sz w:val="18"/>
          <w:szCs w:val="18"/>
          <w:color w:val="auto"/>
        </w:rPr>
      </w:pPr>
    </w:p>
    <w:p>
      <w:pPr>
        <w:ind w:left="960" w:hanging="123"/>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360" w:lineRule="exact"/>
        <w:rPr>
          <w:rFonts w:ascii="Times New Roman" w:cs="Times New Roman" w:eastAsia="Times New Roman" w:hAnsi="Times New Roman"/>
          <w:sz w:val="18"/>
          <w:szCs w:val="18"/>
          <w:color w:val="auto"/>
        </w:rPr>
      </w:pPr>
    </w:p>
    <w:p>
      <w:pPr>
        <w:ind w:left="960" w:hanging="123"/>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360" w:lineRule="exact"/>
        <w:rPr>
          <w:rFonts w:ascii="Times New Roman" w:cs="Times New Roman" w:eastAsia="Times New Roman" w:hAnsi="Times New Roman"/>
          <w:sz w:val="18"/>
          <w:szCs w:val="18"/>
          <w:color w:val="auto"/>
        </w:rPr>
      </w:pPr>
    </w:p>
    <w:p>
      <w:pPr>
        <w:ind w:left="960" w:hanging="123"/>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360" w:lineRule="exact"/>
        <w:rPr>
          <w:rFonts w:ascii="Times New Roman" w:cs="Times New Roman" w:eastAsia="Times New Roman" w:hAnsi="Times New Roman"/>
          <w:sz w:val="18"/>
          <w:szCs w:val="18"/>
          <w:color w:val="auto"/>
        </w:rPr>
      </w:pPr>
    </w:p>
    <w:p>
      <w:pPr>
        <w:ind w:left="960" w:hanging="123"/>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360" w:lineRule="exact"/>
        <w:rPr>
          <w:rFonts w:ascii="Times New Roman" w:cs="Times New Roman" w:eastAsia="Times New Roman" w:hAnsi="Times New Roman"/>
          <w:sz w:val="18"/>
          <w:szCs w:val="18"/>
          <w:color w:val="auto"/>
        </w:rPr>
      </w:pPr>
    </w:p>
    <w:p>
      <w:pPr>
        <w:ind w:left="960" w:hanging="123"/>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w:t>
      </w:r>
    </w:p>
    <w:p>
      <w:pPr>
        <w:spacing w:after="0" w:line="360" w:lineRule="exact"/>
        <w:rPr>
          <w:rFonts w:ascii="Times New Roman" w:cs="Times New Roman" w:eastAsia="Times New Roman" w:hAnsi="Times New Roman"/>
          <w:sz w:val="18"/>
          <w:szCs w:val="18"/>
          <w:color w:val="auto"/>
        </w:rPr>
      </w:pPr>
    </w:p>
    <w:p>
      <w:pPr>
        <w:ind w:left="960" w:hanging="123"/>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related to the Court of Chancery as the exclusive forum for certain types of actions by stockholders; and</w:t>
      </w:r>
    </w:p>
    <w:p>
      <w:pPr>
        <w:spacing w:after="0" w:line="360" w:lineRule="exact"/>
        <w:rPr>
          <w:rFonts w:ascii="Times New Roman" w:cs="Times New Roman" w:eastAsia="Times New Roman" w:hAnsi="Times New Roman"/>
          <w:sz w:val="18"/>
          <w:szCs w:val="18"/>
          <w:color w:val="auto"/>
        </w:rPr>
      </w:pPr>
    </w:p>
    <w:p>
      <w:pPr>
        <w:ind w:left="960" w:hanging="123"/>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75% supermajority vote.</w:t>
      </w:r>
    </w:p>
    <w:p>
      <w:pPr>
        <w:spacing w:after="0" w:line="320" w:lineRule="exact"/>
        <w:rPr>
          <w:sz w:val="20"/>
          <w:szCs w:val="20"/>
          <w:color w:val="auto"/>
        </w:rPr>
      </w:pPr>
    </w:p>
    <w:p>
      <w:pPr>
        <w:ind w:right="40" w:firstLine="648"/>
        <w:spacing w:after="0" w:line="308" w:lineRule="auto"/>
        <w:rPr>
          <w:sz w:val="20"/>
          <w:szCs w:val="20"/>
          <w:color w:val="auto"/>
        </w:rPr>
      </w:pPr>
      <w:r>
        <w:rPr>
          <w:rFonts w:ascii="Times New Roman" w:cs="Times New Roman" w:eastAsia="Times New Roman" w:hAnsi="Times New Roman"/>
          <w:sz w:val="18"/>
          <w:szCs w:val="18"/>
          <w:color w:val="auto"/>
        </w:rPr>
        <w:t>The combination of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220" w:lineRule="exact"/>
        <w:rPr>
          <w:sz w:val="20"/>
          <w:szCs w:val="20"/>
          <w:color w:val="auto"/>
        </w:rPr>
      </w:pPr>
    </w:p>
    <w:p>
      <w:pPr>
        <w:ind w:right="20" w:firstLine="648"/>
        <w:spacing w:after="0" w:line="303"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or preventing changes in control of our management or the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These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Dissenters’ Rights of Appraisal and Payment</w:t>
      </w:r>
    </w:p>
    <w:p>
      <w:pPr>
        <w:spacing w:after="0" w:line="308" w:lineRule="exact"/>
        <w:rPr>
          <w:sz w:val="20"/>
          <w:szCs w:val="20"/>
          <w:color w:val="auto"/>
        </w:rPr>
      </w:pPr>
    </w:p>
    <w:p>
      <w:pPr>
        <w:ind w:right="40" w:firstLine="648"/>
        <w:spacing w:after="0" w:line="313"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Derivative Actions</w:t>
      </w:r>
    </w:p>
    <w:p>
      <w:pPr>
        <w:sectPr>
          <w:pgSz w:w="11900" w:h="16838" w:orient="portrait"/>
          <w:cols w:equalWidth="0" w:num="1">
            <w:col w:w="11420"/>
          </w:cols>
          <w:pgMar w:left="240" w:top="117" w:right="239" w:bottom="1440" w:gutter="0" w:footer="0" w:header="0"/>
        </w:sectPr>
      </w:pPr>
    </w:p>
    <w:bookmarkStart w:id="123" w:name="page124"/>
    <w:bookmarkEnd w:id="123"/>
    <w:p>
      <w:pPr>
        <w:ind w:left="10580"/>
        <w:spacing w:after="0"/>
        <w:rPr>
          <w:sz w:val="20"/>
          <w:szCs w:val="20"/>
          <w:color w:val="auto"/>
        </w:rPr>
      </w:pPr>
      <w:r>
        <w:rPr>
          <w:rFonts w:ascii="Times New Roman" w:cs="Times New Roman" w:eastAsia="Times New Roman" w:hAnsi="Times New Roman"/>
          <w:sz w:val="17"/>
          <w:szCs w:val="17"/>
          <w:b w:val="1"/>
          <w:bCs w:val="1"/>
          <w:color w:val="auto"/>
        </w:rPr>
        <w:t>Exhibit 4.7</w:t>
      </w:r>
    </w:p>
    <w:p>
      <w:pPr>
        <w:spacing w:after="0" w:line="268" w:lineRule="exact"/>
        <w:rPr>
          <w:sz w:val="20"/>
          <w:szCs w:val="20"/>
          <w:color w:val="auto"/>
        </w:rPr>
      </w:pPr>
    </w:p>
    <w:p>
      <w:pPr>
        <w:ind w:right="300" w:firstLine="648"/>
        <w:spacing w:after="0" w:line="313"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shares of our stock at the time of the transaction to which the action relates or such stockholder’s stock thereafter devolved by operation of law.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308" w:lineRule="exact"/>
        <w:rPr>
          <w:sz w:val="20"/>
          <w:szCs w:val="20"/>
          <w:color w:val="auto"/>
        </w:rPr>
      </w:pPr>
    </w:p>
    <w:p>
      <w:pPr>
        <w:ind w:right="40" w:firstLine="648"/>
        <w:spacing w:after="0" w:line="30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the Court of Chancery of the State of Delaware shall be the sole and exclusive forum for any stockholder (including any beneficial owner) to bring (i) any derivative action or proceeding brought on behalf of the Company, (ii) any action asserting a claim of breach of a fiduciary duty owed by any director or officer of the Company to the Company or the Company’s stockholders, creditors or other constituents, (iii) any action asserting a claim against the Company or any director or officer of the Company arising pursuant to any provision of the DGCL or our amended and restated certificate of incorporation or our amended and restated bylaws, or (iv) any action asserting a claim against the Company or any director or officer of the Company governed by the internal affairs doctrine, in each such case subject to said Court of Chancery having subject matter jurisdiction, in certain cases, and having personal jurisdiction over the indispensable parties named as defendants therein. Any person or entity purchasing or otherwise acquiring any interest in shares of capital stock of the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310" w:lineRule="exact"/>
        <w:rPr>
          <w:sz w:val="20"/>
          <w:szCs w:val="20"/>
          <w:color w:val="auto"/>
        </w:rPr>
      </w:pPr>
    </w:p>
    <w:p>
      <w:pPr>
        <w:ind w:right="180" w:firstLine="648"/>
        <w:spacing w:after="0" w:line="302"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230" w:lineRule="exact"/>
        <w:rPr>
          <w:sz w:val="20"/>
          <w:szCs w:val="20"/>
          <w:color w:val="auto"/>
        </w:rPr>
      </w:pPr>
    </w:p>
    <w:p>
      <w:pPr>
        <w:ind w:right="80" w:firstLine="648"/>
        <w:spacing w:after="0" w:line="308" w:lineRule="auto"/>
        <w:rPr>
          <w:sz w:val="20"/>
          <w:szCs w:val="20"/>
          <w:color w:val="auto"/>
        </w:rPr>
      </w:pPr>
      <w:r>
        <w:rPr>
          <w:rFonts w:ascii="Times New Roman" w:cs="Times New Roman" w:eastAsia="Times New Roman" w:hAnsi="Times New Roman"/>
          <w:sz w:val="18"/>
          <w:szCs w:val="18"/>
          <w:color w:val="auto"/>
        </w:rPr>
        <w:t>Our amended and restated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80"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w:t>
      </w:r>
    </w:p>
    <w:p>
      <w:pPr>
        <w:sectPr>
          <w:pgSz w:w="11900" w:h="16838" w:orient="portrait"/>
          <w:cols w:equalWidth="0" w:num="1">
            <w:col w:w="11420"/>
          </w:cols>
          <w:pgMar w:left="240" w:top="117" w:right="239" w:bottom="1440" w:gutter="0" w:footer="0" w:header="0"/>
        </w:sectPr>
      </w:pPr>
    </w:p>
    <w:bookmarkStart w:id="124" w:name="page125"/>
    <w:bookmarkEnd w:id="124"/>
    <w:p>
      <w:pPr>
        <w:ind w:left="10580"/>
        <w:spacing w:after="0"/>
        <w:rPr>
          <w:sz w:val="20"/>
          <w:szCs w:val="20"/>
          <w:color w:val="auto"/>
        </w:rPr>
      </w:pPr>
      <w:r>
        <w:rPr>
          <w:rFonts w:ascii="Times New Roman" w:cs="Times New Roman" w:eastAsia="Times New Roman" w:hAnsi="Times New Roman"/>
          <w:sz w:val="17"/>
          <w:szCs w:val="17"/>
          <w:b w:val="1"/>
          <w:bCs w:val="1"/>
          <w:color w:val="auto"/>
        </w:rPr>
        <w:t>Exhibit 4.7</w:t>
      </w:r>
    </w:p>
    <w:p>
      <w:pPr>
        <w:spacing w:after="0" w:line="268" w:lineRule="exact"/>
        <w:rPr>
          <w:sz w:val="20"/>
          <w:szCs w:val="20"/>
          <w:color w:val="auto"/>
        </w:rPr>
      </w:pPr>
    </w:p>
    <w:p>
      <w:pPr>
        <w:ind w:right="80"/>
        <w:spacing w:after="0" w:line="329" w:lineRule="auto"/>
        <w:rPr>
          <w:sz w:val="20"/>
          <w:szCs w:val="20"/>
          <w:color w:val="auto"/>
        </w:rPr>
      </w:pPr>
      <w:r>
        <w:rPr>
          <w:rFonts w:ascii="Times New Roman" w:cs="Times New Roman" w:eastAsia="Times New Roman" w:hAnsi="Times New Roman"/>
          <w:sz w:val="18"/>
          <w:szCs w:val="18"/>
          <w:color w:val="auto"/>
        </w:rPr>
        <w:t>otherwise benefit us and our stockholders. In addition, we may pay the costs of settlement and damage awards against directors and officers pursuant to these indemnification provisions.</w:t>
      </w:r>
    </w:p>
    <w:p>
      <w:pPr>
        <w:spacing w:after="0" w:line="202" w:lineRule="exact"/>
        <w:rPr>
          <w:sz w:val="20"/>
          <w:szCs w:val="20"/>
          <w:color w:val="auto"/>
        </w:rPr>
      </w:pPr>
    </w:p>
    <w:p>
      <w:pPr>
        <w:jc w:val="both"/>
        <w:ind w:right="440" w:firstLine="648"/>
        <w:spacing w:after="0" w:line="313" w:lineRule="auto"/>
        <w:rPr>
          <w:sz w:val="20"/>
          <w:szCs w:val="20"/>
          <w:color w:val="auto"/>
        </w:rPr>
      </w:pPr>
      <w:r>
        <w:rPr>
          <w:rFonts w:ascii="Times New Roman" w:cs="Times New Roman" w:eastAsia="Times New Roman" w:hAnsi="Times New Roman"/>
          <w:sz w:val="18"/>
          <w:szCs w:val="18"/>
          <w:color w:val="auto"/>
        </w:rPr>
        <w:t>We currently are party to indemnification agreements with certain of our directors and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ectPr>
          <w:pgSz w:w="11900" w:h="16838" w:orient="portrait"/>
          <w:cols w:equalWidth="0" w:num="1">
            <w:col w:w="11420"/>
          </w:cols>
          <w:pgMar w:left="240" w:top="117"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Bethel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Keith: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pleased to inform you of your promotion to the position of Chief Growth Officer, Aramark, reporting directly to Eric Foss.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Enclosed are three copies of the Offer Detail Summary highlighting the compensation terms and conditions associated with your new role. We ask that you please retain one copy for your records and return two signed copies of this letter to me.</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you have any questions, or if I may be of any help to you, please do not hesitate to call me at 215.238.3203. Congratulations on your promotion! I look forward to working with you in your new role.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Lynn McKee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Lynn McKee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sign and date below acknowledging that you have received this letter and accepted our offer.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Accept:</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Keith P. Bethel</w:t>
            </w:r>
          </w:p>
        </w:tc>
        <w:tc>
          <w:tcPr>
            <w:tcW w:w="364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37"/>
        </w:trPr>
        <w:tc>
          <w:tcPr>
            <w:tcW w:w="17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(Please Print Name)</w:t>
            </w:r>
          </w:p>
        </w:tc>
        <w:tc>
          <w:tcPr>
            <w:tcW w:w="3640" w:type="dxa"/>
            <w:vAlign w:val="bottom"/>
          </w:tcPr>
          <w:p>
            <w:pPr>
              <w:spacing w:after="0"/>
              <w:rPr>
                <w:sz w:val="20"/>
                <w:szCs w:val="20"/>
                <w:color w:val="auto"/>
              </w:rPr>
            </w:pPr>
          </w:p>
        </w:tc>
      </w:tr>
      <w:tr>
        <w:trPr>
          <w:trHeight w:val="567"/>
        </w:trPr>
        <w:tc>
          <w:tcPr>
            <w:tcW w:w="1700" w:type="dxa"/>
            <w:vAlign w:val="bottom"/>
          </w:tcPr>
          <w:p>
            <w:pPr>
              <w:spacing w:after="0"/>
              <w:rPr>
                <w:sz w:val="24"/>
                <w:szCs w:val="24"/>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Keith P. Bethel</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7, 2016</w:t>
            </w:r>
          </w:p>
        </w:tc>
      </w:tr>
      <w:tr>
        <w:trPr>
          <w:trHeight w:val="27"/>
        </w:trPr>
        <w:tc>
          <w:tcPr>
            <w:tcW w:w="17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(Please Sign Name)</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bl>
    <w:p>
      <w:pPr>
        <w:sectPr>
          <w:pgSz w:w="11900" w:h="16838" w:orient="portrait"/>
          <w:cols w:equalWidth="0" w:num="1">
            <w:col w:w="11420"/>
          </w:cols>
          <w:pgMar w:left="240" w:top="117"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Keith Bethel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Offer Detail Summary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September 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190500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14"/>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Growth Officer</w:t>
            </w:r>
          </w:p>
        </w:tc>
      </w:tr>
      <w:tr>
        <w:trPr>
          <w:trHeight w:val="234"/>
        </w:trPr>
        <w:tc>
          <w:tcPr>
            <w:tcW w:w="2040" w:type="dxa"/>
            <w:vAlign w:val="bottom"/>
            <w:tcBorders>
              <w:right w:val="single" w:sz="8" w:color="auto"/>
            </w:tcBorders>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Aramark</w:t>
            </w:r>
          </w:p>
        </w:tc>
      </w:tr>
      <w:tr>
        <w:trPr>
          <w:trHeight w:val="459"/>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Band 2</w:t>
            </w:r>
          </w:p>
        </w:tc>
      </w:tr>
      <w:tr>
        <w:trPr>
          <w:trHeight w:val="441"/>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Reports To:</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Eric J. Foss</w:t>
            </w:r>
          </w:p>
        </w:tc>
      </w:tr>
      <w:tr>
        <w:trPr>
          <w:trHeight w:val="234"/>
        </w:trPr>
        <w:tc>
          <w:tcPr>
            <w:tcW w:w="2040" w:type="dxa"/>
            <w:vAlign w:val="bottom"/>
            <w:tcBorders>
              <w:right w:val="single" w:sz="8" w:color="auto"/>
            </w:tcBorders>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459"/>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Philadelphia, PA</w:t>
            </w:r>
          </w:p>
        </w:tc>
      </w:tr>
      <w:tr>
        <w:trPr>
          <w:trHeight w:val="567"/>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1, 2016</w:t>
            </w:r>
          </w:p>
        </w:tc>
      </w:tr>
      <w:tr>
        <w:trPr>
          <w:trHeight w:val="459"/>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$400,000</w:t>
            </w:r>
          </w:p>
        </w:tc>
      </w:tr>
      <w:tr>
        <w:trPr>
          <w:trHeight w:val="441"/>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Bonus:</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You will continue to be eligible to participate in Aramark’s</w:t>
            </w:r>
          </w:p>
        </w:tc>
      </w:tr>
      <w:tr>
        <w:trPr>
          <w:trHeight w:val="216"/>
        </w:trPr>
        <w:tc>
          <w:tcPr>
            <w:tcW w:w="2040" w:type="dxa"/>
            <w:vAlign w:val="bottom"/>
            <w:tcBorders>
              <w:right w:val="single" w:sz="8" w:color="auto"/>
            </w:tcBorders>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Incentive Bonus (MIB) Plan for Fiscal Year</w:t>
            </w:r>
          </w:p>
        </w:tc>
      </w:tr>
      <w:tr>
        <w:trPr>
          <w:trHeight w:val="216"/>
        </w:trPr>
        <w:tc>
          <w:tcPr>
            <w:tcW w:w="2040" w:type="dxa"/>
            <w:vAlign w:val="bottom"/>
            <w:tcBorders>
              <w:right w:val="single" w:sz="8" w:color="auto"/>
            </w:tcBorders>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 As further described in the Plan, if you are eligible to</w:t>
            </w:r>
          </w:p>
        </w:tc>
      </w:tr>
      <w:tr>
        <w:trPr>
          <w:trHeight w:val="216"/>
        </w:trPr>
        <w:tc>
          <w:tcPr>
            <w:tcW w:w="2040" w:type="dxa"/>
            <w:vAlign w:val="bottom"/>
            <w:tcBorders>
              <w:right w:val="single" w:sz="8" w:color="auto"/>
            </w:tcBorders>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receive a Management Incentive Bonus, the amount of your</w:t>
            </w:r>
          </w:p>
        </w:tc>
      </w:tr>
      <w:tr>
        <w:trPr>
          <w:trHeight w:val="216"/>
        </w:trPr>
        <w:tc>
          <w:tcPr>
            <w:tcW w:w="2040" w:type="dxa"/>
            <w:vAlign w:val="bottom"/>
            <w:tcBorders>
              <w:right w:val="single" w:sz="8" w:color="auto"/>
            </w:tcBorders>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Bonus will be determined on the basis of both the performance</w:t>
            </w:r>
          </w:p>
        </w:tc>
      </w:tr>
      <w:tr>
        <w:trPr>
          <w:trHeight w:val="216"/>
        </w:trPr>
        <w:tc>
          <w:tcPr>
            <w:tcW w:w="2040" w:type="dxa"/>
            <w:vAlign w:val="bottom"/>
            <w:tcBorders>
              <w:right w:val="single" w:sz="8" w:color="auto"/>
            </w:tcBorders>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Aramark and your performance measured against certain</w:t>
            </w:r>
          </w:p>
        </w:tc>
      </w:tr>
      <w:tr>
        <w:trPr>
          <w:trHeight w:val="216"/>
        </w:trPr>
        <w:tc>
          <w:tcPr>
            <w:tcW w:w="2040" w:type="dxa"/>
            <w:vAlign w:val="bottom"/>
            <w:tcBorders>
              <w:right w:val="single" w:sz="8" w:color="auto"/>
            </w:tcBorders>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financial and non-financial goals. The guideline for</w:t>
            </w:r>
          </w:p>
        </w:tc>
      </w:tr>
      <w:tr>
        <w:trPr>
          <w:trHeight w:val="234"/>
        </w:trPr>
        <w:tc>
          <w:tcPr>
            <w:tcW w:w="2040" w:type="dxa"/>
            <w:vAlign w:val="bottom"/>
            <w:tcBorders>
              <w:right w:val="single" w:sz="8" w:color="auto"/>
            </w:tcBorders>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your position is a target bonus of 85% of base salary.</w:t>
            </w:r>
          </w:p>
        </w:tc>
      </w:tr>
      <w:tr>
        <w:trPr>
          <w:trHeight w:val="216"/>
        </w:trPr>
        <w:tc>
          <w:tcPr>
            <w:tcW w:w="2040" w:type="dxa"/>
            <w:vAlign w:val="bottom"/>
            <w:tcBorders>
              <w:right w:val="single" w:sz="8" w:color="auto"/>
            </w:tcBorders>
          </w:tcPr>
          <w:p>
            <w:pPr>
              <w:spacing w:after="0"/>
              <w:rPr>
                <w:sz w:val="18"/>
                <w:szCs w:val="18"/>
                <w:color w:val="auto"/>
              </w:rPr>
            </w:pPr>
          </w:p>
        </w:tc>
        <w:tc>
          <w:tcPr>
            <w:tcW w:w="4560" w:type="dxa"/>
            <w:vAlign w:val="bottom"/>
          </w:tcPr>
          <w:p>
            <w:pPr>
              <w:spacing w:after="0"/>
              <w:rPr>
                <w:sz w:val="18"/>
                <w:szCs w:val="18"/>
                <w:color w:val="auto"/>
              </w:rPr>
            </w:pPr>
          </w:p>
        </w:tc>
      </w:tr>
    </w:tbl>
    <w:p>
      <w:pPr>
        <w:sectPr>
          <w:pgSz w:w="11900" w:h="16838" w:orient="portrait"/>
          <w:cols w:equalWidth="0" w:num="1">
            <w:col w:w="11380"/>
          </w:cols>
          <w:pgMar w:left="280" w:top="117"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243205</wp:posOffset>
            </wp:positionV>
            <wp:extent cx="7246620" cy="6886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0">
                      <a:extLst>
                        <a:ext uri="{28A0092B-C50C-407E-A947-70E740481C1C}"/>
                      </a:extLst>
                    </a:blip>
                    <a:srcRect/>
                    <a:stretch>
                      <a:fillRect/>
                    </a:stretch>
                  </pic:blipFill>
                  <pic:spPr bwMode="auto">
                    <a:xfrm>
                      <a:off x="0" y="0"/>
                      <a:ext cx="7246620" cy="688657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You will continue to be eligible to participate in the standard</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Aramark Benefits Program, as well as the Benefits/Perquisites</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Programs in place for ELC members, which are subject to</w:t>
            </w:r>
          </w:p>
        </w:tc>
        <w:tc>
          <w:tcPr>
            <w:tcW w:w="0" w:type="dxa"/>
            <w:vAlign w:val="bottom"/>
          </w:tcPr>
          <w:p>
            <w:pPr>
              <w:spacing w:after="0"/>
              <w:rPr>
                <w:sz w:val="1"/>
                <w:szCs w:val="1"/>
                <w:color w:val="auto"/>
              </w:rPr>
            </w:pPr>
          </w:p>
        </w:tc>
      </w:tr>
      <w:tr>
        <w:trPr>
          <w:trHeight w:val="234"/>
        </w:trPr>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Incentives:</w:t>
            </w: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from time to time.</w:t>
            </w: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49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We will recommend to the Compensation and Human</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4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Resources Committee of the Board of Directors (the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“Committee”) that you be awarded equity grants with a value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approximately $850,000. This amount is inclusive of the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equity grant award commitment made to you in the Offer Detail</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Summary dated June 1, 2016 related to your expanded role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supporting the Healthcare, Facilities and Higher Education</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Sector.</w:t>
            </w:r>
          </w:p>
        </w:tc>
        <w:tc>
          <w:tcPr>
            <w:tcW w:w="0" w:type="dxa"/>
            <w:vAlign w:val="bottom"/>
          </w:tcPr>
          <w:p>
            <w:pPr>
              <w:spacing w:after="0"/>
              <w:rPr>
                <w:sz w:val="1"/>
                <w:szCs w:val="1"/>
                <w:color w:val="auto"/>
              </w:rPr>
            </w:pPr>
          </w:p>
        </w:tc>
      </w:tr>
      <w:tr>
        <w:trPr>
          <w:trHeight w:val="414"/>
        </w:trPr>
        <w:tc>
          <w:tcPr>
            <w:tcW w:w="1740" w:type="dxa"/>
            <w:vAlign w:val="bottom"/>
          </w:tcPr>
          <w:p>
            <w:pPr>
              <w:spacing w:after="0"/>
              <w:rPr>
                <w:sz w:val="24"/>
                <w:szCs w:val="24"/>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value of these awards will be comprised of: 40% time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based non-qualified stock options, 40% performance stock</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 and 20% time based restricted stock units.  The value of</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time based non-qualified stock options will be based on</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their Black Scholes value as determined by Aramark. The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 price of the stock options will be equal to the fair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market value of Aramark stock on the date of grant, as such fair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 value is defined under the 2013 Stock Incentive Plan.</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value of the restricted stock units and performance stock</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 will be based on the fair market value of the restricted</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units and the target number of performance stock units.</w:t>
            </w:r>
          </w:p>
        </w:tc>
        <w:tc>
          <w:tcPr>
            <w:tcW w:w="0" w:type="dxa"/>
            <w:vAlign w:val="bottom"/>
          </w:tcPr>
          <w:p>
            <w:pPr>
              <w:spacing w:after="0"/>
              <w:rPr>
                <w:sz w:val="1"/>
                <w:szCs w:val="1"/>
                <w:color w:val="auto"/>
              </w:rPr>
            </w:pPr>
          </w:p>
        </w:tc>
      </w:tr>
      <w:tr>
        <w:trPr>
          <w:trHeight w:val="414"/>
        </w:trPr>
        <w:tc>
          <w:tcPr>
            <w:tcW w:w="1740" w:type="dxa"/>
            <w:vAlign w:val="bottom"/>
          </w:tcPr>
          <w:p>
            <w:pPr>
              <w:spacing w:after="0"/>
              <w:rPr>
                <w:sz w:val="24"/>
                <w:szCs w:val="24"/>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stock options will generally vest over 4 years, 25% each</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year. The performance stock units have a vesting period of 3</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years, with the number of performance stock units that are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eligible to vest determined based on achievement by Aramark</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the applicable performance targets as provided in the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stock unit award and grant certificate. The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restricted stock units will generally vest over 4 years, 25% each</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year. The actual terms and conditions of the stock options,</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stock units (including the performance targets)</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restricted stock units, in each case including the vesting</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terms, will be set forth in the award agreement and grant details</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each such instrument that will be provided to you following</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grant.</w:t>
            </w:r>
          </w:p>
        </w:tc>
        <w:tc>
          <w:tcPr>
            <w:tcW w:w="0" w:type="dxa"/>
            <w:vAlign w:val="bottom"/>
          </w:tcPr>
          <w:p>
            <w:pPr>
              <w:spacing w:after="0"/>
              <w:rPr>
                <w:sz w:val="1"/>
                <w:szCs w:val="1"/>
                <w:color w:val="auto"/>
              </w:rPr>
            </w:pPr>
          </w:p>
        </w:tc>
      </w:tr>
      <w:tr>
        <w:trPr>
          <w:trHeight w:val="414"/>
        </w:trPr>
        <w:tc>
          <w:tcPr>
            <w:tcW w:w="1740" w:type="dxa"/>
            <w:vAlign w:val="bottom"/>
          </w:tcPr>
          <w:p>
            <w:pPr>
              <w:spacing w:after="0"/>
              <w:rPr>
                <w:sz w:val="24"/>
                <w:szCs w:val="24"/>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Your stock option, performance stock unit and restricted stock</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 grants described above are subject to approval and</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generally will be granted at a future Compensation and Human</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Resources Committee meeting where awards are considered.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2080" w:right="4740" w:hanging="2079"/>
        <w:spacing w:after="0" w:line="266" w:lineRule="auto"/>
        <w:tabs>
          <w:tab w:leader="none" w:pos="2060" w:val="left"/>
        </w:tabs>
        <w:rPr>
          <w:sz w:val="20"/>
          <w:szCs w:val="20"/>
          <w:color w:val="auto"/>
        </w:rPr>
      </w:pPr>
      <w:r>
        <w:rPr>
          <w:rFonts w:ascii="Times New Roman" w:cs="Times New Roman" w:eastAsia="Times New Roman" w:hAnsi="Times New Roman"/>
          <w:sz w:val="18"/>
          <w:szCs w:val="18"/>
          <w:b w:val="1"/>
          <w:bCs w:val="1"/>
          <w:color w:val="auto"/>
        </w:rPr>
        <w:t>Auto Allowance:</w:t>
      </w:r>
      <w:r>
        <w:rPr>
          <w:sz w:val="20"/>
          <w:szCs w:val="20"/>
          <w:color w:val="auto"/>
        </w:rPr>
        <w:tab/>
      </w:r>
      <w:r>
        <w:rPr>
          <w:rFonts w:ascii="Times New Roman" w:cs="Times New Roman" w:eastAsia="Times New Roman" w:hAnsi="Times New Roman"/>
          <w:sz w:val="18"/>
          <w:szCs w:val="18"/>
          <w:color w:val="auto"/>
        </w:rPr>
        <w:t>You will continue to be eligible to receive an auto allowance of $1,100 per month. This amount is subject to all applicable withholding taxes, is paid monthly and is not pro-rated.</w:t>
      </w:r>
    </w:p>
    <w:p>
      <w:pPr>
        <w:spacing w:after="0" w:line="167" w:lineRule="exact"/>
        <w:rPr>
          <w:sz w:val="20"/>
          <w:szCs w:val="20"/>
          <w:color w:val="auto"/>
        </w:rPr>
      </w:pPr>
    </w:p>
    <w:p>
      <w:pPr>
        <w:ind w:right="5020"/>
        <w:spacing w:after="0" w:line="261" w:lineRule="auto"/>
        <w:rPr>
          <w:sz w:val="20"/>
          <w:szCs w:val="20"/>
          <w:color w:val="auto"/>
        </w:rPr>
      </w:pPr>
      <w:r>
        <w:rPr>
          <w:rFonts w:ascii="Times New Roman" w:cs="Times New Roman" w:eastAsia="Times New Roman" w:hAnsi="Times New Roman"/>
          <w:sz w:val="18"/>
          <w:szCs w:val="18"/>
          <w:color w:val="auto"/>
        </w:rPr>
        <w:t>This offer letter, along with the agreements referenced herein, sets forth the entire understanding of the parties with respect to all aspects of the offer. Any and all previous agreements or understandings between or among the parties regarding the subject matter hereof, whether written or oral, are superseded by this offer letter.</w:t>
      </w:r>
    </w:p>
    <w:p>
      <w:pPr>
        <w:sectPr>
          <w:pgSz w:w="11900" w:h="16838" w:orient="portrait"/>
          <w:cols w:equalWidth="0" w:num="1">
            <w:col w:w="11380"/>
          </w:cols>
          <w:pgMar w:left="280" w:top="117"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ARAMARK CORPORATION</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AGREEMENT RELATING TO EMPLOYMENT AND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POST-EMPLOYMENT COMPETITION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is between the undersigned individual (“Employee”) and ARAMARK CORPORATION (“ARAMARK”).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129" w:lineRule="exact"/>
        <w:rPr>
          <w:sz w:val="20"/>
          <w:szCs w:val="20"/>
          <w:color w:val="auto"/>
        </w:rPr>
      </w:pPr>
    </w:p>
    <w:p>
      <w:pPr>
        <w:ind w:right="420" w:firstLine="1297"/>
        <w:spacing w:after="0" w:line="510" w:lineRule="auto"/>
        <w:rPr>
          <w:sz w:val="20"/>
          <w:szCs w:val="20"/>
          <w:color w:val="auto"/>
        </w:rPr>
      </w:pPr>
      <w:r>
        <w:rPr>
          <w:rFonts w:ascii="Times New Roman" w:cs="Times New Roman" w:eastAsia="Times New Roman" w:hAnsi="Times New Roman"/>
          <w:sz w:val="21"/>
          <w:szCs w:val="21"/>
          <w:color w:val="auto"/>
        </w:rPr>
        <w:t>WHEREAS, ARAMARK is a leading provider of managed services to business and industry, private and public institutions, and the general public, in the following business groups: food and support services; uniform and career apparel;</w:t>
      </w:r>
    </w:p>
    <w:p>
      <w:pPr>
        <w:ind w:right="60" w:firstLine="1297"/>
        <w:spacing w:after="0" w:line="514" w:lineRule="auto"/>
        <w:rPr>
          <w:sz w:val="20"/>
          <w:szCs w:val="20"/>
          <w:color w:val="auto"/>
        </w:rPr>
      </w:pPr>
      <w:r>
        <w:rPr>
          <w:rFonts w:ascii="Times New Roman" w:cs="Times New Roman" w:eastAsia="Times New Roman" w:hAnsi="Times New Roman"/>
          <w:sz w:val="21"/>
          <w:szCs w:val="21"/>
          <w:color w:val="auto"/>
        </w:rPr>
        <w:t>WHEREAS, ARAMARK has a proprietary interest in its business and financial plans and systems, methods of operation and other secret and confidential information, knowledge and data (“Proprietary Information”) which includes, but is not limited to, all confidential, proprietary or non-public information, ideas and concepts; annual and strategic business plans; financial plans, reports and systems including, profit and loss statements, sales, accounting forms and procedures and other information regarding costs, pricing and the financial condition of ARAMARK and its business segments and groups; management development reviews, including information regarding the capabilities and experience of ARAMARK employees; intellectual property, including patents, inventions, discoveries, research and development, compounds, recipes, formulae, reports, protocols, computer software and databases; information regarding ARAMARK’s relationships with its clients, customers, and suppliers and prospective clients, partners, customers and suppliers; policy and procedure manuals, information regarding materials and documents in any form or medium (including oral, written, tangible, intangible, or electronic) concerning any of the above, or any past, current or future business activities of ARAMARK that is not publicly available; compensation, recruiting</w:t>
      </w:r>
    </w:p>
    <w:p>
      <w:pPr>
        <w:sectPr>
          <w:pgSz w:w="11900" w:h="16838" w:orient="portrait"/>
          <w:cols w:equalWidth="0" w:num="1">
            <w:col w:w="11420"/>
          </w:cols>
          <w:pgMar w:left="240" w:top="122" w:right="2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345" w:lineRule="exact"/>
        <w:rPr>
          <w:sz w:val="20"/>
          <w:szCs w:val="20"/>
          <w:color w:val="auto"/>
        </w:rPr>
      </w:pPr>
    </w:p>
    <w:p>
      <w:pPr>
        <w:ind w:right="780"/>
        <w:spacing w:after="0" w:line="486" w:lineRule="auto"/>
        <w:rPr>
          <w:sz w:val="20"/>
          <w:szCs w:val="20"/>
          <w:color w:val="auto"/>
        </w:rPr>
      </w:pPr>
      <w:r>
        <w:rPr>
          <w:rFonts w:ascii="Times New Roman" w:cs="Times New Roman" w:eastAsia="Times New Roman" w:hAnsi="Times New Roman"/>
          <w:sz w:val="22"/>
          <w:szCs w:val="22"/>
          <w:color w:val="auto"/>
        </w:rPr>
        <w:t>and training, and human resource policies and procedures; and data compilations, research, reports, structures, compounds, techniques, methods, processes, know-how;</w:t>
      </w:r>
    </w:p>
    <w:p>
      <w:pPr>
        <w:spacing w:after="0" w:line="2" w:lineRule="exact"/>
        <w:rPr>
          <w:sz w:val="20"/>
          <w:szCs w:val="20"/>
          <w:color w:val="auto"/>
        </w:rPr>
      </w:pPr>
    </w:p>
    <w:p>
      <w:pPr>
        <w:ind w:right="400" w:firstLine="1297"/>
        <w:spacing w:after="0" w:line="486" w:lineRule="auto"/>
        <w:rPr>
          <w:sz w:val="20"/>
          <w:szCs w:val="20"/>
          <w:color w:val="auto"/>
        </w:rPr>
      </w:pPr>
      <w:r>
        <w:rPr>
          <w:rFonts w:ascii="Times New Roman" w:cs="Times New Roman" w:eastAsia="Times New Roman" w:hAnsi="Times New Roman"/>
          <w:sz w:val="22"/>
          <w:szCs w:val="22"/>
          <w:color w:val="auto"/>
        </w:rPr>
        <w:t>WHEREAS, all such Proprietary Information is developed at great expense to ARAMARK and is considered by ARAMARK to be confidential trade secrets;</w:t>
      </w:r>
    </w:p>
    <w:p>
      <w:pPr>
        <w:spacing w:after="0" w:line="2" w:lineRule="exact"/>
        <w:rPr>
          <w:sz w:val="20"/>
          <w:szCs w:val="20"/>
          <w:color w:val="auto"/>
        </w:rPr>
      </w:pPr>
    </w:p>
    <w:p>
      <w:pPr>
        <w:ind w:right="40" w:firstLine="1297"/>
        <w:spacing w:after="0" w:line="510" w:lineRule="auto"/>
        <w:rPr>
          <w:sz w:val="20"/>
          <w:szCs w:val="20"/>
          <w:color w:val="auto"/>
        </w:rPr>
      </w:pPr>
      <w:r>
        <w:rPr>
          <w:rFonts w:ascii="Times New Roman" w:cs="Times New Roman" w:eastAsia="Times New Roman" w:hAnsi="Times New Roman"/>
          <w:sz w:val="21"/>
          <w:szCs w:val="21"/>
          <w:color w:val="auto"/>
        </w:rPr>
        <w:t>WHEREAS, Employee, as a senior manager, will have access to ARAMARK’s Proprietary Information, directly in the course of Employee’s employment, and indirectly through interaction with and presentations by other ARAMARK senior managers at the Executive Leadership Institute, Executive Leadership Council meetings, Presidents’ Council meetings and the like;</w:t>
      </w:r>
    </w:p>
    <w:p>
      <w:pPr>
        <w:jc w:val="both"/>
        <w:ind w:right="40" w:firstLine="1297"/>
        <w:spacing w:after="0" w:line="486" w:lineRule="auto"/>
        <w:rPr>
          <w:sz w:val="20"/>
          <w:szCs w:val="20"/>
          <w:color w:val="auto"/>
        </w:rPr>
      </w:pPr>
      <w:r>
        <w:rPr>
          <w:rFonts w:ascii="Times New Roman" w:cs="Times New Roman" w:eastAsia="Times New Roman" w:hAnsi="Times New Roman"/>
          <w:sz w:val="22"/>
          <w:szCs w:val="22"/>
          <w:color w:val="auto"/>
        </w:rPr>
        <w:t>WHEREAS, ARAMARK will introduce Employee to ARAMARK clients, customers, suppliers and others, and will encourage, and provide resources for, Employee to develop personal relationships with ARAMARK’s clients, customers, suppliers and others;</w:t>
      </w:r>
    </w:p>
    <w:p>
      <w:pPr>
        <w:spacing w:after="0" w:line="3" w:lineRule="exact"/>
        <w:rPr>
          <w:sz w:val="20"/>
          <w:szCs w:val="20"/>
          <w:color w:val="auto"/>
        </w:rPr>
      </w:pPr>
    </w:p>
    <w:p>
      <w:pPr>
        <w:jc w:val="both"/>
        <w:ind w:right="920" w:firstLine="1297"/>
        <w:spacing w:after="0" w:line="486" w:lineRule="auto"/>
        <w:rPr>
          <w:sz w:val="20"/>
          <w:szCs w:val="20"/>
          <w:color w:val="auto"/>
        </w:rPr>
      </w:pPr>
      <w:r>
        <w:rPr>
          <w:rFonts w:ascii="Times New Roman" w:cs="Times New Roman" w:eastAsia="Times New Roman" w:hAnsi="Times New Roman"/>
          <w:sz w:val="22"/>
          <w:szCs w:val="22"/>
          <w:color w:val="auto"/>
        </w:rPr>
        <w:t>WHEREAS, ARAMARK will provide specialized training and skills to Employee in connection with the performance of Employee’s duties at ARAMARK which training involves the disclosure by ARAMARK to Employee of Proprietary Information;</w:t>
      </w:r>
    </w:p>
    <w:p>
      <w:pPr>
        <w:spacing w:after="0" w:line="3" w:lineRule="exact"/>
        <w:rPr>
          <w:sz w:val="20"/>
          <w:szCs w:val="20"/>
          <w:color w:val="auto"/>
        </w:rPr>
      </w:pPr>
    </w:p>
    <w:p>
      <w:pPr>
        <w:ind w:right="480" w:firstLine="1297"/>
        <w:spacing w:after="0" w:line="510" w:lineRule="auto"/>
        <w:rPr>
          <w:sz w:val="20"/>
          <w:szCs w:val="20"/>
          <w:color w:val="auto"/>
        </w:rPr>
      </w:pPr>
      <w:r>
        <w:rPr>
          <w:rFonts w:ascii="Times New Roman" w:cs="Times New Roman" w:eastAsia="Times New Roman" w:hAnsi="Times New Roman"/>
          <w:sz w:val="21"/>
          <w:szCs w:val="21"/>
          <w:color w:val="auto"/>
        </w:rPr>
        <w:t>WHEREAS, ARAMARK will be vulnerable to unfair post-employment competition by Employee because Employee will have access to and knowledge of ARAMARK’s Proprietary Information, will have a personal relationship with ARAMARK’s clients, customers, suppliers and others, and will generate good will which Employee acknowledges belongs to</w:t>
      </w:r>
    </w:p>
    <w:p>
      <w:pPr>
        <w:spacing w:after="0"/>
        <w:rPr>
          <w:sz w:val="20"/>
          <w:szCs w:val="20"/>
          <w:color w:val="auto"/>
        </w:rPr>
      </w:pPr>
      <w:r>
        <w:rPr>
          <w:rFonts w:ascii="Times New Roman" w:cs="Times New Roman" w:eastAsia="Times New Roman" w:hAnsi="Times New Roman"/>
          <w:sz w:val="22"/>
          <w:szCs w:val="22"/>
          <w:color w:val="auto"/>
        </w:rPr>
        <w:t>ARAMARK;</w:t>
      </w:r>
    </w:p>
    <w:p>
      <w:pPr>
        <w:spacing w:after="0" w:line="260" w:lineRule="exact"/>
        <w:rPr>
          <w:sz w:val="20"/>
          <w:szCs w:val="20"/>
          <w:color w:val="auto"/>
        </w:rPr>
      </w:pPr>
    </w:p>
    <w:p>
      <w:pPr>
        <w:ind w:right="80" w:firstLine="1297"/>
        <w:spacing w:after="0" w:line="500" w:lineRule="auto"/>
        <w:rPr>
          <w:sz w:val="20"/>
          <w:szCs w:val="20"/>
          <w:color w:val="auto"/>
        </w:rPr>
      </w:pPr>
      <w:r>
        <w:rPr>
          <w:rFonts w:ascii="Times New Roman" w:cs="Times New Roman" w:eastAsia="Times New Roman" w:hAnsi="Times New Roman"/>
          <w:sz w:val="22"/>
          <w:szCs w:val="22"/>
          <w:color w:val="auto"/>
        </w:rPr>
        <w:t>NOW, THEREFORE, in consideration of Employee’s employment with ARAMARK, the opportunity to receive the grant of options to purchase the common stock of ARAMARK Holdings Corporation, the severance and other post-employment benefits provided</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122" w:right="2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345" w:lineRule="exact"/>
        <w:rPr>
          <w:sz w:val="20"/>
          <w:szCs w:val="20"/>
          <w:color w:val="auto"/>
        </w:rPr>
      </w:pPr>
    </w:p>
    <w:p>
      <w:pPr>
        <w:ind w:right="20"/>
        <w:spacing w:after="0" w:line="486" w:lineRule="auto"/>
        <w:rPr>
          <w:sz w:val="20"/>
          <w:szCs w:val="20"/>
          <w:color w:val="auto"/>
        </w:rPr>
      </w:pPr>
      <w:r>
        <w:rPr>
          <w:rFonts w:ascii="Times New Roman" w:cs="Times New Roman" w:eastAsia="Times New Roman" w:hAnsi="Times New Roman"/>
          <w:sz w:val="22"/>
          <w:szCs w:val="22"/>
          <w:color w:val="auto"/>
        </w:rPr>
        <w:t>for herein, and for other good and valuable consideration, the receipt and sufficiency of which are hereby acknowledged, Employee agrees to enter into this Agreement with ARAMARK as a condition of employment pursuant to which ARAMARK will limit Employee’s right to compete against ARAMARK and right to solicit ARAMARK’s employees, customers, clients or suppliers during and following termination of employment on the terms set forth in this Agreement. Intending to be legally bound, the parties agree as follows:</w:t>
      </w:r>
    </w:p>
    <w:p>
      <w:pPr>
        <w:spacing w:after="0" w:line="1" w:lineRule="exact"/>
        <w:rPr>
          <w:sz w:val="20"/>
          <w:szCs w:val="20"/>
          <w:color w:val="auto"/>
        </w:rPr>
      </w:pPr>
    </w:p>
    <w:p>
      <w:pPr>
        <w:ind w:right="80"/>
        <w:spacing w:after="0" w:line="486" w:lineRule="auto"/>
        <w:rPr>
          <w:sz w:val="20"/>
          <w:szCs w:val="20"/>
          <w:color w:val="auto"/>
        </w:rPr>
      </w:pPr>
      <w:r>
        <w:rPr>
          <w:rFonts w:ascii="Times New Roman" w:cs="Times New Roman" w:eastAsia="Times New Roman" w:hAnsi="Times New Roman"/>
          <w:sz w:val="22"/>
          <w:szCs w:val="22"/>
          <w:b w:val="1"/>
          <w:bCs w:val="1"/>
          <w:u w:val="single" w:color="auto"/>
          <w:color w:val="auto"/>
        </w:rPr>
        <w:t>ARTICLE 1. NON-DISCLOSURE AND NON-DISPARAGEMENT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shall not, during or after 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directly or indirectly, in any manner utilize or disclose to any person, firm, corporation, association or other entity, except where required by law, any Proprietary Information which is not generally known to the public, or has not otherwise been disclosed or recognized as standard practice in the industries in which ARAMARK is engaged. Employee shall, during and after termination of employment, refrain from making any statements or comments of a defamatory or disparaging nature to any third party regarding ARAMARK, or any of ARAMARK’s officers, directors, personnel, other service providers, policies or products or services, other than to comply with law.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ARTICLE 2. NON-COMPETITION</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ind w:left="660" w:right="180" w:hanging="652"/>
        <w:spacing w:after="0" w:line="520" w:lineRule="auto"/>
        <w:tabs>
          <w:tab w:leader="none" w:pos="6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Article 2. B. below, Employee, during Employee’s period of employment with ARAMARK, and for a period of two years following the voluntary or involuntary termination of employment, shall not, without ARAMARK’s written permission, which shall be granted or denied in ARAMARK’s sole discretion, directly or indirectly, associate with (including, but not limited to, association as a sole proprietor, owner, employer, partner, principal, investor, joint venturer, shareholder, associate, employee, member, consultant, contractor or otherwise), or acquire or maintain ownership interest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121" w:right="239" w:bottom="1440" w:gutter="0" w:footer="0" w:header="0"/>
        </w:sectPr>
      </w:pPr>
    </w:p>
    <w:bookmarkStart w:id="131" w:name="page132"/>
    <w:bookmarkEnd w:id="131"/>
    <w:p>
      <w:pPr>
        <w:ind w:left="10200"/>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316" w:lineRule="exact"/>
        <w:rPr>
          <w:sz w:val="20"/>
          <w:szCs w:val="20"/>
          <w:color w:val="auto"/>
        </w:rPr>
      </w:pPr>
    </w:p>
    <w:p>
      <w:pPr>
        <w:ind w:left="660" w:right="40"/>
        <w:spacing w:after="0" w:line="414" w:lineRule="auto"/>
        <w:rPr>
          <w:sz w:val="20"/>
          <w:szCs w:val="20"/>
          <w:color w:val="auto"/>
        </w:rPr>
      </w:pPr>
      <w:r>
        <w:rPr>
          <w:rFonts w:ascii="Times New Roman" w:cs="Times New Roman" w:eastAsia="Times New Roman" w:hAnsi="Times New Roman"/>
          <w:sz w:val="22"/>
          <w:szCs w:val="22"/>
          <w:color w:val="auto"/>
        </w:rPr>
        <w:t>in, any Business which is competitive with that conducted by or developed for later implementation by ARAMARK at any time during the term of Employee’s employment, provided, however, if Employee’s employment is involuntarily terminated by ARAMARK for any reason other than Cause (as defined herein), then the term of the non-competition provision set forth herein will be modified to be one year following such termination of employment. For purposes of this Agreement, “Business” shall be defined as a person, corporation, firm, LLC, partnership, joint venture or other entity. Nothing in the foregoing shall prevent Employee from investing in a Business that is or becomes publicly traded, if Employee’s ownership is as a passive investor of less than 1% of the outstanding publicly traded stock of the Business.</w:t>
      </w:r>
    </w:p>
    <w:p>
      <w:pPr>
        <w:spacing w:after="0" w:line="11" w:lineRule="exact"/>
        <w:rPr>
          <w:sz w:val="20"/>
          <w:szCs w:val="20"/>
          <w:color w:val="auto"/>
        </w:rPr>
      </w:pPr>
    </w:p>
    <w:p>
      <w:pPr>
        <w:ind w:left="660" w:right="100" w:hanging="652"/>
        <w:spacing w:after="0" w:line="510" w:lineRule="auto"/>
        <w:tabs>
          <w:tab w:leader="none" w:pos="66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set forth in Article 2.A above, shall apply to the full extent permitted by law (i) in all fifty states, and (ii) in each foreign country, possession or territory in which ARAMARK may be engaged in, or have plans to engage in, business</w:t>
      </w:r>
    </w:p>
    <w:p>
      <w:pPr>
        <w:ind w:left="660" w:right="180"/>
        <w:spacing w:after="0" w:line="48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(x) during Employee’s period of employment, or (y) in the case of a termination of employment, as of the effective date of such termination or at any time during the twenty-four month period prior thereto.</w:t>
      </w:r>
    </w:p>
    <w:p>
      <w:pPr>
        <w:spacing w:after="0" w:line="1" w:lineRule="exact"/>
        <w:rPr>
          <w:rFonts w:ascii="Times New Roman" w:cs="Times New Roman" w:eastAsia="Times New Roman" w:hAnsi="Times New Roman"/>
          <w:sz w:val="21"/>
          <w:szCs w:val="21"/>
          <w:color w:val="auto"/>
        </w:rPr>
      </w:pPr>
    </w:p>
    <w:p>
      <w:pPr>
        <w:ind w:left="660" w:right="40" w:hanging="652"/>
        <w:spacing w:after="0" w:line="493" w:lineRule="auto"/>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these restrictions are reasonable and necessary to protect the business interests of ARAMARK, and that enforcement of the provisions set forth in this Article 2 will not unnecessarily or unreasonably impair Employee’s ability to obtain other employment following the termination (voluntary or involuntary) of Employee’s employment with ARAMARK. Further, Employee acknowledges that the provisions set forth in this Article 2 shall apply if Employee’s employment is involuntarily terminated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122" w:right="239" w:bottom="1440" w:gutter="0" w:footer="0" w:header="0"/>
        </w:sectPr>
      </w:pPr>
    </w:p>
    <w:bookmarkStart w:id="132" w:name="page133"/>
    <w:bookmarkEnd w:id="132"/>
    <w:p>
      <w:pPr>
        <w:ind w:left="10200"/>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316" w:lineRule="exact"/>
        <w:rPr>
          <w:sz w:val="20"/>
          <w:szCs w:val="20"/>
          <w:color w:val="auto"/>
        </w:rPr>
      </w:pPr>
    </w:p>
    <w:p>
      <w:pPr>
        <w:ind w:left="660" w:right="200"/>
        <w:spacing w:after="0" w:line="427" w:lineRule="auto"/>
        <w:rPr>
          <w:sz w:val="20"/>
          <w:szCs w:val="20"/>
          <w:color w:val="auto"/>
        </w:rPr>
      </w:pPr>
      <w:r>
        <w:rPr>
          <w:rFonts w:ascii="Times New Roman" w:cs="Times New Roman" w:eastAsia="Times New Roman" w:hAnsi="Times New Roman"/>
          <w:sz w:val="22"/>
          <w:szCs w:val="22"/>
          <w:color w:val="auto"/>
        </w:rPr>
        <w:t>by ARAMARK for Cause; as a result of the elimination of employee’s position; for performance-related issues; or for any other reason or no reason at all.</w:t>
      </w:r>
    </w:p>
    <w:p>
      <w:pPr>
        <w:spacing w:after="0" w:line="1" w:lineRule="exact"/>
        <w:rPr>
          <w:sz w:val="20"/>
          <w:szCs w:val="20"/>
          <w:color w:val="auto"/>
        </w:rPr>
      </w:pPr>
    </w:p>
    <w:p>
      <w:pPr>
        <w:ind w:right="80"/>
        <w:spacing w:after="0" w:line="486" w:lineRule="auto"/>
        <w:rPr>
          <w:sz w:val="20"/>
          <w:szCs w:val="20"/>
          <w:color w:val="auto"/>
        </w:rPr>
      </w:pPr>
      <w:r>
        <w:rPr>
          <w:rFonts w:ascii="Times New Roman" w:cs="Times New Roman" w:eastAsia="Times New Roman" w:hAnsi="Times New Roman"/>
          <w:sz w:val="22"/>
          <w:szCs w:val="22"/>
          <w:b w:val="1"/>
          <w:bCs w:val="1"/>
          <w:u w:val="single" w:color="auto"/>
          <w:color w:val="auto"/>
        </w:rPr>
        <w:t>ARTICLE 3. NON-SOLICITATION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period of Employee’s employment with ARAMARK and for a period of two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years following the termination of Employee’s employment, regardless of the reason for termination, Employee shall not, directly or indirectly: (i) induce or encourage any employee of ARAMARK to leave the employ of ARAMARK, (ii) hire any individual who was an employee of ARAMARK as of the date of Employee’s termination of employment or within a six month period prior to such date, or (iii) induce or encourage any customer, client, supplier or other business relation of ARAMARK to cease or reduce doing business with ARAMARK or in any way interfere with the relationship between any such customer, client, supplier or other business relation and ARAMARK.</w:t>
      </w:r>
    </w:p>
    <w:p>
      <w:pPr>
        <w:spacing w:after="0" w:line="6" w:lineRule="exact"/>
        <w:rPr>
          <w:sz w:val="20"/>
          <w:szCs w:val="20"/>
          <w:color w:val="auto"/>
        </w:rPr>
      </w:pPr>
    </w:p>
    <w:p>
      <w:pPr>
        <w:ind w:right="60"/>
        <w:spacing w:after="0" w:line="490" w:lineRule="auto"/>
        <w:rPr>
          <w:sz w:val="20"/>
          <w:szCs w:val="20"/>
          <w:color w:val="auto"/>
        </w:rPr>
      </w:pPr>
      <w:r>
        <w:rPr>
          <w:rFonts w:ascii="Times New Roman" w:cs="Times New Roman" w:eastAsia="Times New Roman" w:hAnsi="Times New Roman"/>
          <w:sz w:val="22"/>
          <w:szCs w:val="22"/>
          <w:b w:val="1"/>
          <w:bCs w:val="1"/>
          <w:u w:val="single" w:color="auto"/>
          <w:color w:val="auto"/>
        </w:rPr>
        <w:t>ARTICLE 4. DISCOVERIES AND WORKS: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hereby irrevocably assigns, transfers, and conveys to ARAMARK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maximum extent permitted by applicable law Employee’s right, title and interest now or hereinafter acquired, in and to all Discoveries and Works (as defined below) created, invented, designed, developed, improved or contributed to by Employee, either alone or jointly with others, while employed by ARAMARK and within the scope of Employee’s employment and/or with the use of ARAMARK’s resources. The terms “Discoveries and Works” include all works of authorship, inventions, intellectual property, materials, documents, or other work product (including, without limitation, Proprietary Information, patents and patent applications, patentable inventions, research, reports, software, code, databases, systems, applications, presentations, textual works, graphics and audiovisual materials). Employee shall have the burden of proving that any materials or works created, invented, designed, developed, contributed to or improved by Employee that are implicated by or</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345" w:lineRule="exact"/>
        <w:rPr>
          <w:sz w:val="20"/>
          <w:szCs w:val="20"/>
          <w:color w:val="auto"/>
        </w:rPr>
      </w:pPr>
    </w:p>
    <w:p>
      <w:pPr>
        <w:spacing w:after="0" w:line="486" w:lineRule="auto"/>
        <w:rPr>
          <w:sz w:val="20"/>
          <w:szCs w:val="20"/>
          <w:color w:val="auto"/>
        </w:rPr>
      </w:pPr>
      <w:r>
        <w:rPr>
          <w:rFonts w:ascii="Times New Roman" w:cs="Times New Roman" w:eastAsia="Times New Roman" w:hAnsi="Times New Roman"/>
          <w:sz w:val="22"/>
          <w:szCs w:val="22"/>
          <w:color w:val="auto"/>
        </w:rPr>
        <w:t>relevant to employment by ARAMARK are not implicated by this provision. Employee agrees to (i) keep accurate records and promptly notify, make full disclosure to, and execute and deliver any documents and to take any further actions requested by ARAMARK to assist it in validating, effectuating, maintaining, protecting, enforcing, perfecting, recording, patenting or registering any of its rights hereunder, and (ii) renounce any and all claims, including, without limitation, claims of ownership and royalty, with respect to all Discoveries and Works and all other property owned or licensed by ARAMARK. Any Discoveries and Works that, within six months after the termination of Employee’s employment with ARAMARK, are made, disclosed, reduced to a tangible or written form or description, or are reduced to practice by Employee and which pertain to the business carried on or products or services being sold or developed by ARAMARK at the time of such termination shall, as between Employee and ARAMARK, be presumed to have been made during such employment with ARAMARK. Employee acknowledges that, to the fullest extent permitted by law, all Discoveries and Works shall be deemed “works made for hire” under the Copyright Act of 1976, as amended, 17 U.S.C. Section 101. Employee hereby grants ARAMARK a perpetual, nonexclusive, royalty-free, worldwide, assignable, sublicensable license under all rights and intellectual property rights (including patent, industrial property, copyright, trademark, trade secret, unfair competition and related laws) in any Works and Discoveries, for all purposes in connection with ARAMARK’s current and future business, that Employee has created, invented, designed, developed, improved or contributed to prior to Employee’s employment with ARAMARK that are relevant to or implicated by such employment (“Prior Works”). Any Prior Works are disclosed by Employee in Schedule 1.</w:t>
      </w:r>
    </w:p>
    <w:p>
      <w:pPr>
        <w:spacing w:after="0" w:line="11" w:lineRule="exact"/>
        <w:rPr>
          <w:sz w:val="20"/>
          <w:szCs w:val="20"/>
          <w:color w:val="auto"/>
        </w:rPr>
      </w:pPr>
    </w:p>
    <w:p>
      <w:pPr>
        <w:ind w:right="180"/>
        <w:spacing w:after="0" w:line="518" w:lineRule="auto"/>
        <w:rPr>
          <w:sz w:val="20"/>
          <w:szCs w:val="20"/>
          <w:color w:val="auto"/>
        </w:rPr>
      </w:pPr>
      <w:r>
        <w:rPr>
          <w:rFonts w:ascii="Times New Roman" w:cs="Times New Roman" w:eastAsia="Times New Roman" w:hAnsi="Times New Roman"/>
          <w:sz w:val="22"/>
          <w:szCs w:val="22"/>
          <w:b w:val="1"/>
          <w:bCs w:val="1"/>
          <w:u w:val="single" w:color="auto"/>
          <w:color w:val="auto"/>
        </w:rPr>
        <w:t>ARTICLE 5. REMEDIES</w:t>
      </w:r>
      <w:r>
        <w:rPr>
          <w:rFonts w:ascii="Times New Roman" w:cs="Times New Roman" w:eastAsia="Times New Roman" w:hAnsi="Times New Roman"/>
          <w:sz w:val="22"/>
          <w:szCs w:val="22"/>
          <w:color w:val="auto"/>
        </w:rPr>
        <w:t>: Employee acknowledges that in the event of any violation by Employee of the provisions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Articles 1, 2, 3 or 4 above, ARAMARK will sustain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345" w:lineRule="exact"/>
        <w:rPr>
          <w:sz w:val="20"/>
          <w:szCs w:val="20"/>
          <w:color w:val="auto"/>
        </w:rPr>
      </w:pPr>
    </w:p>
    <w:p>
      <w:pPr>
        <w:ind w:right="20"/>
        <w:spacing w:after="0" w:line="486" w:lineRule="auto"/>
        <w:rPr>
          <w:sz w:val="20"/>
          <w:szCs w:val="20"/>
          <w:color w:val="auto"/>
        </w:rPr>
      </w:pPr>
      <w:r>
        <w:rPr>
          <w:rFonts w:ascii="Times New Roman" w:cs="Times New Roman" w:eastAsia="Times New Roman" w:hAnsi="Times New Roman"/>
          <w:sz w:val="22"/>
          <w:szCs w:val="22"/>
          <w:color w:val="auto"/>
        </w:rPr>
        <w:t>serious, irreparable and substantial harm to its business, the extent of which will be difficult to determine and impossible to fully remedy by an action at law for money damages. Accordingly, Employee agrees that, in the event of such violation or threatened violation by Employee, ARAMARK shall be entitled to an injunction before trial before any court of competent jurisdiction as a matter of course upon the posting of not more than a nominal bond, in addition to all such other legal and equitable remedies as may be available to ARAMARK. If ARAMARK is required to enforce the provisions set forth in Articles 2 and 3 above by seeking an injunction, Employee agrees that the relevant time periods set forth in Articles 2 and 3 shall commence with the entry of the injunction. Employee further agrees that, in the event any of the provisions of this Agreement are determined by a court of competent jurisdiction to be invalid, illegal, or for any reason unenforceable as written, such court shall substitute a valid provision which most closely approximates the intent and purpose of the invalid provision and which would be enforceable to the maximum extent permitted by law.</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ARTICLE 6. POST-EMPLOYMENT BENEFITS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660" w:right="60" w:hanging="652"/>
        <w:spacing w:after="0" w:line="484" w:lineRule="auto"/>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Employee’s employment is terminated by ARAMARK for any reason other than Cause, Employee shall be entitled to the following post-employment benefits:</w:t>
      </w:r>
    </w:p>
    <w:p>
      <w:pPr>
        <w:spacing w:after="0" w:line="2" w:lineRule="exact"/>
        <w:rPr>
          <w:rFonts w:ascii="Times New Roman" w:cs="Times New Roman" w:eastAsia="Times New Roman" w:hAnsi="Times New Roman"/>
          <w:sz w:val="22"/>
          <w:szCs w:val="22"/>
          <w:color w:val="auto"/>
        </w:rPr>
      </w:pPr>
    </w:p>
    <w:p>
      <w:pPr>
        <w:ind w:left="1960" w:right="20" w:hanging="1304"/>
        <w:spacing w:after="0" w:line="518" w:lineRule="auto"/>
        <w:tabs>
          <w:tab w:leader="none" w:pos="196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Severance Pay: </w:t>
      </w:r>
      <w:r>
        <w:rPr>
          <w:rFonts w:ascii="Times New Roman" w:cs="Times New Roman" w:eastAsia="Times New Roman" w:hAnsi="Times New Roman"/>
          <w:sz w:val="22"/>
          <w:szCs w:val="22"/>
          <w:color w:val="auto"/>
        </w:rPr>
        <w:t>Employee shall receive severance payments equivalent to Employee’s weekly base salary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effective date of termination for the number of weeks set forth on the following schedule: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122" w:right="2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353" w:lineRule="exact"/>
        <w:rPr>
          <w:sz w:val="20"/>
          <w:szCs w:val="20"/>
          <w:color w:val="auto"/>
        </w:rPr>
      </w:pPr>
    </w:p>
    <w:tbl>
      <w:tblPr>
        <w:tblLayout w:type="fixed"/>
        <w:tblInd w:w="834" w:type="dxa"/>
        <w:tblCellMar>
          <w:top w:w="0" w:type="dxa"/>
          <w:left w:w="0" w:type="dxa"/>
          <w:bottom w:w="0" w:type="dxa"/>
          <w:right w:w="0" w:type="dxa"/>
        </w:tblCellMar>
      </w:tblPr>
      <w:tr>
        <w:trPr>
          <w:trHeight w:val="243"/>
        </w:trPr>
        <w:tc>
          <w:tcPr>
            <w:tcW w:w="40" w:type="dxa"/>
            <w:vAlign w:val="bottom"/>
            <w:tcBorders>
              <w:top w:val="single" w:sz="8" w:color="00000A"/>
              <w:left w:val="single" w:sz="8" w:color="00000A"/>
            </w:tcBorders>
          </w:tcPr>
          <w:p>
            <w:pPr>
              <w:spacing w:after="0"/>
              <w:rPr>
                <w:sz w:val="21"/>
                <w:szCs w:val="21"/>
                <w:color w:val="auto"/>
              </w:rPr>
            </w:pPr>
          </w:p>
        </w:tc>
        <w:tc>
          <w:tcPr>
            <w:tcW w:w="4540" w:type="dxa"/>
            <w:vAlign w:val="bottom"/>
            <w:tcBorders>
              <w:top w:val="single" w:sz="8" w:color="00000A"/>
              <w:right w:val="single" w:sz="8" w:color="00000A"/>
            </w:tcBorders>
            <w:gridSpan w:val="4"/>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Years of Continuous Service with ARAMARK</w:t>
            </w:r>
          </w:p>
        </w:tc>
        <w:tc>
          <w:tcPr>
            <w:tcW w:w="3520" w:type="dxa"/>
            <w:vAlign w:val="bottom"/>
            <w:tcBorders>
              <w:top w:val="single" w:sz="8" w:color="00000A"/>
              <w:right w:val="single" w:sz="8" w:color="00000A"/>
            </w:tcBorders>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Weeks of Severance Pay</w:t>
            </w:r>
          </w:p>
        </w:tc>
      </w:tr>
      <w:tr>
        <w:trPr>
          <w:trHeight w:val="20"/>
        </w:trPr>
        <w:tc>
          <w:tcPr>
            <w:tcW w:w="40" w:type="dxa"/>
            <w:vAlign w:val="bottom"/>
            <w:tcBorders>
              <w:left w:val="single" w:sz="8" w:color="00000A"/>
            </w:tcBorders>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0A"/>
            </w:tcBorders>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300" w:type="dxa"/>
            <w:vAlign w:val="bottom"/>
            <w:tcBorders>
              <w:right w:val="single" w:sz="8" w:color="00000A"/>
            </w:tcBorders>
          </w:tcPr>
          <w:p>
            <w:pPr>
              <w:spacing w:after="0" w:line="20" w:lineRule="exact"/>
              <w:rPr>
                <w:sz w:val="1"/>
                <w:szCs w:val="1"/>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4540" w:type="dxa"/>
            <w:vAlign w:val="bottom"/>
            <w:tcBorders>
              <w:right w:val="single" w:sz="8" w:color="00000A"/>
            </w:tcBorders>
            <w:gridSpan w:val="4"/>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(or with any of its Predecessor Corporations or</w:t>
            </w:r>
          </w:p>
        </w:tc>
        <w:tc>
          <w:tcPr>
            <w:tcW w:w="2220" w:type="dxa"/>
            <w:vAlign w:val="bottom"/>
          </w:tcPr>
          <w:p>
            <w:pPr>
              <w:spacing w:after="0"/>
              <w:rPr>
                <w:sz w:val="19"/>
                <w:szCs w:val="19"/>
                <w:color w:val="auto"/>
              </w:rPr>
            </w:pPr>
          </w:p>
        </w:tc>
        <w:tc>
          <w:tcPr>
            <w:tcW w:w="1300" w:type="dxa"/>
            <w:vAlign w:val="bottom"/>
            <w:tcBorders>
              <w:right w:val="single" w:sz="8" w:color="00000A"/>
            </w:tcBorders>
          </w:tcPr>
          <w:p>
            <w:pPr>
              <w:spacing w:after="0"/>
              <w:rPr>
                <w:sz w:val="19"/>
                <w:szCs w:val="19"/>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4340" w:type="dxa"/>
            <w:vAlign w:val="bottom"/>
            <w:tcBorders>
              <w:top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its Parent) Completed from Last Hire Date</w:t>
            </w:r>
          </w:p>
        </w:tc>
        <w:tc>
          <w:tcPr>
            <w:tcW w:w="200" w:type="dxa"/>
            <w:vAlign w:val="bottom"/>
            <w:tcBorders>
              <w:right w:val="single" w:sz="8" w:color="00000A"/>
            </w:tcBorders>
          </w:tcPr>
          <w:p>
            <w:pPr>
              <w:spacing w:after="0"/>
              <w:rPr>
                <w:sz w:val="19"/>
                <w:szCs w:val="19"/>
                <w:color w:val="auto"/>
              </w:rPr>
            </w:pPr>
          </w:p>
        </w:tc>
        <w:tc>
          <w:tcPr>
            <w:tcW w:w="2220" w:type="dxa"/>
            <w:vAlign w:val="bottom"/>
          </w:tcPr>
          <w:p>
            <w:pPr>
              <w:spacing w:after="0"/>
              <w:rPr>
                <w:sz w:val="19"/>
                <w:szCs w:val="19"/>
                <w:color w:val="auto"/>
              </w:rPr>
            </w:pPr>
          </w:p>
        </w:tc>
        <w:tc>
          <w:tcPr>
            <w:tcW w:w="1300" w:type="dxa"/>
            <w:vAlign w:val="bottom"/>
            <w:tcBorders>
              <w:right w:val="single" w:sz="8" w:color="00000A"/>
            </w:tcBorders>
          </w:tcPr>
          <w:p>
            <w:pPr>
              <w:spacing w:after="0"/>
              <w:rPr>
                <w:sz w:val="19"/>
                <w:szCs w:val="19"/>
                <w:color w:val="auto"/>
              </w:rPr>
            </w:pP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3940" w:type="dxa"/>
            <w:vAlign w:val="bottom"/>
            <w:tcBorders>
              <w:top w:val="single" w:sz="8" w:color="auto"/>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200" w:type="dxa"/>
            <w:vAlign w:val="bottom"/>
            <w:tcBorders>
              <w:bottom w:val="single" w:sz="8" w:color="00000A"/>
              <w:right w:val="single" w:sz="8" w:color="00000A"/>
            </w:tcBorders>
          </w:tcPr>
          <w:p>
            <w:pPr>
              <w:spacing w:after="0"/>
              <w:rPr>
                <w:sz w:val="4"/>
                <w:szCs w:val="4"/>
                <w:color w:val="auto"/>
              </w:rPr>
            </w:pPr>
          </w:p>
        </w:tc>
        <w:tc>
          <w:tcPr>
            <w:tcW w:w="2220" w:type="dxa"/>
            <w:vAlign w:val="bottom"/>
            <w:tcBorders>
              <w:bottom w:val="single" w:sz="8" w:color="00000A"/>
            </w:tcBorders>
          </w:tcPr>
          <w:p>
            <w:pPr>
              <w:spacing w:after="0"/>
              <w:rPr>
                <w:sz w:val="4"/>
                <w:szCs w:val="4"/>
                <w:color w:val="auto"/>
              </w:rPr>
            </w:pPr>
          </w:p>
        </w:tc>
        <w:tc>
          <w:tcPr>
            <w:tcW w:w="1300" w:type="dxa"/>
            <w:vAlign w:val="bottom"/>
            <w:tcBorders>
              <w:bottom w:val="single" w:sz="8" w:color="00000A"/>
              <w:right w:val="single" w:sz="8" w:color="00000A"/>
            </w:tcBorders>
          </w:tcPr>
          <w:p>
            <w:pPr>
              <w:spacing w:after="0"/>
              <w:rPr>
                <w:sz w:val="4"/>
                <w:szCs w:val="4"/>
                <w:color w:val="auto"/>
              </w:rPr>
            </w:pPr>
          </w:p>
        </w:tc>
      </w:tr>
      <w:tr>
        <w:trPr>
          <w:trHeight w:val="284"/>
        </w:trPr>
        <w:tc>
          <w:tcPr>
            <w:tcW w:w="40" w:type="dxa"/>
            <w:vAlign w:val="bottom"/>
            <w:tcBorders>
              <w:left w:val="single" w:sz="8" w:color="00000A"/>
              <w:bottom w:val="single" w:sz="8" w:color="00000A"/>
            </w:tcBorders>
          </w:tcPr>
          <w:p>
            <w:pPr>
              <w:spacing w:after="0"/>
              <w:rPr>
                <w:sz w:val="24"/>
                <w:szCs w:val="24"/>
                <w:color w:val="auto"/>
              </w:rPr>
            </w:pPr>
          </w:p>
        </w:tc>
        <w:tc>
          <w:tcPr>
            <w:tcW w:w="4540" w:type="dxa"/>
            <w:vAlign w:val="bottom"/>
            <w:tcBorders>
              <w:bottom w:val="single" w:sz="8" w:color="00000A"/>
              <w:right w:val="single" w:sz="8" w:color="00000A"/>
            </w:tcBorders>
            <w:gridSpan w:val="4"/>
          </w:tcPr>
          <w:p>
            <w:pPr>
              <w:spacing w:after="0"/>
              <w:rPr>
                <w:sz w:val="20"/>
                <w:szCs w:val="20"/>
                <w:color w:val="auto"/>
              </w:rPr>
            </w:pPr>
            <w:r>
              <w:rPr>
                <w:rFonts w:ascii="Times New Roman" w:cs="Times New Roman" w:eastAsia="Times New Roman" w:hAnsi="Times New Roman"/>
                <w:sz w:val="22"/>
                <w:szCs w:val="22"/>
                <w:color w:val="auto"/>
              </w:rPr>
              <w:t>Less than 2</w:t>
            </w:r>
          </w:p>
        </w:tc>
        <w:tc>
          <w:tcPr>
            <w:tcW w:w="222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22"/>
                <w:szCs w:val="22"/>
                <w:color w:val="auto"/>
              </w:rPr>
              <w:t>26</w:t>
            </w:r>
          </w:p>
        </w:tc>
        <w:tc>
          <w:tcPr>
            <w:tcW w:w="1300" w:type="dxa"/>
            <w:vAlign w:val="bottom"/>
            <w:tcBorders>
              <w:bottom w:val="single" w:sz="8" w:color="00000A"/>
              <w:right w:val="single" w:sz="8" w:color="00000A"/>
            </w:tcBorders>
          </w:tcPr>
          <w:p>
            <w:pPr>
              <w:spacing w:after="0"/>
              <w:rPr>
                <w:sz w:val="24"/>
                <w:szCs w:val="24"/>
                <w:color w:val="auto"/>
              </w:rPr>
            </w:pPr>
          </w:p>
        </w:tc>
      </w:tr>
      <w:tr>
        <w:trPr>
          <w:trHeight w:val="291"/>
        </w:trPr>
        <w:tc>
          <w:tcPr>
            <w:tcW w:w="3980" w:type="dxa"/>
            <w:vAlign w:val="bottom"/>
            <w:tcBorders>
              <w:left w:val="single" w:sz="8" w:color="00000A"/>
              <w:bottom w:val="single" w:sz="8" w:color="00000A"/>
            </w:tcBorders>
            <w:gridSpan w:val="2"/>
          </w:tcPr>
          <w:p>
            <w:pPr>
              <w:ind w:left="40"/>
              <w:spacing w:after="0"/>
              <w:rPr>
                <w:sz w:val="20"/>
                <w:szCs w:val="20"/>
                <w:color w:val="auto"/>
              </w:rPr>
            </w:pPr>
            <w:r>
              <w:rPr>
                <w:rFonts w:ascii="Times New Roman" w:cs="Times New Roman" w:eastAsia="Times New Roman" w:hAnsi="Times New Roman"/>
                <w:sz w:val="22"/>
                <w:szCs w:val="22"/>
                <w:color w:val="auto"/>
              </w:rPr>
              <w:t>2</w:t>
            </w: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c>
          <w:tcPr>
            <w:tcW w:w="222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22"/>
                <w:szCs w:val="22"/>
                <w:color w:val="auto"/>
              </w:rPr>
              <w:t>32</w:t>
            </w:r>
          </w:p>
        </w:tc>
        <w:tc>
          <w:tcPr>
            <w:tcW w:w="1300" w:type="dxa"/>
            <w:vAlign w:val="bottom"/>
            <w:tcBorders>
              <w:bottom w:val="single" w:sz="8" w:color="00000A"/>
              <w:right w:val="single" w:sz="8" w:color="00000A"/>
            </w:tcBorders>
          </w:tcPr>
          <w:p>
            <w:pPr>
              <w:spacing w:after="0"/>
              <w:rPr>
                <w:sz w:val="24"/>
                <w:szCs w:val="24"/>
                <w:color w:val="auto"/>
              </w:rPr>
            </w:pPr>
          </w:p>
        </w:tc>
      </w:tr>
      <w:tr>
        <w:trPr>
          <w:trHeight w:val="291"/>
        </w:trPr>
        <w:tc>
          <w:tcPr>
            <w:tcW w:w="3980" w:type="dxa"/>
            <w:vAlign w:val="bottom"/>
            <w:tcBorders>
              <w:left w:val="single" w:sz="8" w:color="00000A"/>
              <w:bottom w:val="single" w:sz="8" w:color="00000A"/>
            </w:tcBorders>
            <w:gridSpan w:val="2"/>
          </w:tcPr>
          <w:p>
            <w:pPr>
              <w:ind w:left="40"/>
              <w:spacing w:after="0"/>
              <w:rPr>
                <w:sz w:val="20"/>
                <w:szCs w:val="20"/>
                <w:color w:val="auto"/>
              </w:rPr>
            </w:pPr>
            <w:r>
              <w:rPr>
                <w:rFonts w:ascii="Times New Roman" w:cs="Times New Roman" w:eastAsia="Times New Roman" w:hAnsi="Times New Roman"/>
                <w:sz w:val="22"/>
                <w:szCs w:val="22"/>
                <w:color w:val="auto"/>
              </w:rPr>
              <w:t>3</w:t>
            </w: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c>
          <w:tcPr>
            <w:tcW w:w="222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22"/>
                <w:szCs w:val="22"/>
                <w:color w:val="auto"/>
              </w:rPr>
              <w:t>39</w:t>
            </w:r>
          </w:p>
        </w:tc>
        <w:tc>
          <w:tcPr>
            <w:tcW w:w="1300" w:type="dxa"/>
            <w:vAlign w:val="bottom"/>
            <w:tcBorders>
              <w:bottom w:val="single" w:sz="8" w:color="00000A"/>
              <w:right w:val="single" w:sz="8" w:color="00000A"/>
            </w:tcBorders>
          </w:tcPr>
          <w:p>
            <w:pPr>
              <w:spacing w:after="0"/>
              <w:rPr>
                <w:sz w:val="24"/>
                <w:szCs w:val="24"/>
                <w:color w:val="auto"/>
              </w:rPr>
            </w:pPr>
          </w:p>
        </w:tc>
      </w:tr>
      <w:tr>
        <w:trPr>
          <w:trHeight w:val="291"/>
        </w:trPr>
        <w:tc>
          <w:tcPr>
            <w:tcW w:w="3980" w:type="dxa"/>
            <w:vAlign w:val="bottom"/>
            <w:tcBorders>
              <w:left w:val="single" w:sz="8" w:color="00000A"/>
              <w:bottom w:val="single" w:sz="8" w:color="00000A"/>
            </w:tcBorders>
            <w:gridSpan w:val="2"/>
          </w:tcPr>
          <w:p>
            <w:pPr>
              <w:ind w:left="40"/>
              <w:spacing w:after="0"/>
              <w:rPr>
                <w:sz w:val="20"/>
                <w:szCs w:val="20"/>
                <w:color w:val="auto"/>
              </w:rPr>
            </w:pPr>
            <w:r>
              <w:rPr>
                <w:rFonts w:ascii="Times New Roman" w:cs="Times New Roman" w:eastAsia="Times New Roman" w:hAnsi="Times New Roman"/>
                <w:sz w:val="22"/>
                <w:szCs w:val="22"/>
                <w:color w:val="auto"/>
              </w:rPr>
              <w:t>4</w:t>
            </w: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45</w:t>
            </w:r>
          </w:p>
        </w:tc>
        <w:tc>
          <w:tcPr>
            <w:tcW w:w="1300" w:type="dxa"/>
            <w:vAlign w:val="bottom"/>
            <w:tcBorders>
              <w:bottom w:val="single" w:sz="8" w:color="auto"/>
              <w:right w:val="single" w:sz="8" w:color="00000A"/>
            </w:tcBorders>
          </w:tcPr>
          <w:p>
            <w:pPr>
              <w:spacing w:after="0"/>
              <w:rPr>
                <w:sz w:val="24"/>
                <w:szCs w:val="24"/>
                <w:color w:val="auto"/>
              </w:rPr>
            </w:pPr>
          </w:p>
        </w:tc>
      </w:tr>
      <w:tr>
        <w:trPr>
          <w:trHeight w:val="291"/>
        </w:trPr>
        <w:tc>
          <w:tcPr>
            <w:tcW w:w="40" w:type="dxa"/>
            <w:vAlign w:val="bottom"/>
            <w:tcBorders>
              <w:left w:val="single" w:sz="8" w:color="00000A"/>
              <w:bottom w:val="single" w:sz="8" w:color="00000A"/>
            </w:tcBorders>
          </w:tcPr>
          <w:p>
            <w:pPr>
              <w:spacing w:after="0"/>
              <w:rPr>
                <w:sz w:val="24"/>
                <w:szCs w:val="24"/>
                <w:color w:val="auto"/>
              </w:rPr>
            </w:pPr>
          </w:p>
        </w:tc>
        <w:tc>
          <w:tcPr>
            <w:tcW w:w="4540" w:type="dxa"/>
            <w:vAlign w:val="bottom"/>
            <w:tcBorders>
              <w:bottom w:val="single" w:sz="8" w:color="00000A"/>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5 or More</w:t>
            </w: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52</w:t>
            </w:r>
          </w:p>
        </w:tc>
        <w:tc>
          <w:tcPr>
            <w:tcW w:w="1300" w:type="dxa"/>
            <w:vAlign w:val="bottom"/>
            <w:tcBorders>
              <w:bottom w:val="single" w:sz="8" w:color="auto"/>
              <w:right w:val="single" w:sz="8" w:color="auto"/>
            </w:tcBorders>
          </w:tcPr>
          <w:p>
            <w:pPr>
              <w:spacing w:after="0"/>
              <w:rPr>
                <w:sz w:val="24"/>
                <w:szCs w:val="24"/>
                <w:color w:val="auto"/>
              </w:rPr>
            </w:pPr>
          </w:p>
        </w:tc>
      </w:tr>
    </w:tbl>
    <w:p>
      <w:pPr>
        <w:spacing w:after="0" w:line="108" w:lineRule="exact"/>
        <w:rPr>
          <w:sz w:val="20"/>
          <w:szCs w:val="20"/>
          <w:color w:val="auto"/>
        </w:rPr>
      </w:pPr>
    </w:p>
    <w:p>
      <w:pPr>
        <w:jc w:val="both"/>
        <w:ind w:left="644" w:right="720"/>
        <w:spacing w:after="0" w:line="485" w:lineRule="auto"/>
        <w:rPr>
          <w:sz w:val="20"/>
          <w:szCs w:val="20"/>
          <w:color w:val="auto"/>
        </w:rPr>
      </w:pPr>
      <w:r>
        <w:rPr>
          <w:rFonts w:ascii="Times New Roman" w:cs="Times New Roman" w:eastAsia="Times New Roman" w:hAnsi="Times New Roman"/>
          <w:sz w:val="22"/>
          <w:szCs w:val="22"/>
          <w:color w:val="auto"/>
        </w:rPr>
        <w:t>Severance payments shall commence with the Employee’s effective date of termination and shall be made in accordance with ARAMARK’s normal payroll cycle. The period during which Employee receives severance payments shall be referred to as the “Severance Pay Period.”</w:t>
      </w:r>
    </w:p>
    <w:p>
      <w:pPr>
        <w:spacing w:after="0" w:line="2" w:lineRule="exact"/>
        <w:rPr>
          <w:sz w:val="20"/>
          <w:szCs w:val="20"/>
          <w:color w:val="auto"/>
        </w:rPr>
      </w:pPr>
    </w:p>
    <w:p>
      <w:pPr>
        <w:ind w:left="384" w:hanging="384"/>
        <w:spacing w:after="0"/>
        <w:tabs>
          <w:tab w:leader="none" w:pos="38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Post-Employment Benefits</w:t>
      </w:r>
    </w:p>
    <w:p>
      <w:pPr>
        <w:spacing w:after="0" w:line="264" w:lineRule="exact"/>
        <w:rPr>
          <w:rFonts w:ascii="Times New Roman" w:cs="Times New Roman" w:eastAsia="Times New Roman" w:hAnsi="Times New Roman"/>
          <w:sz w:val="22"/>
          <w:szCs w:val="22"/>
          <w:color w:val="auto"/>
        </w:rPr>
      </w:pPr>
    </w:p>
    <w:p>
      <w:pPr>
        <w:ind w:left="1304" w:hanging="655"/>
        <w:spacing w:after="0" w:line="490" w:lineRule="auto"/>
        <w:tabs>
          <w:tab w:leader="none" w:pos="1304"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Basic Group medical and life insurance coverages shall continue under then prevailing terms during the Severance Pay Period; provided, however, that if Employee becomes employed by a new employer during that period, continuing coverage from ARAMARK will become secondary to any coverage afforded by the new employer. Employee’s share of the premiums will be deducted from Employee’s severance payments. Basic Group medical coverage provided during such period shall be applied against ARAMARK’s obligation to continue group medical coverage under the Consolidated Omnibus Budget Reconciliation Act of 1985 (“COBRA”). Upon termination of basic group medical and life coverages, Employee may convert such coverages to individual policies to the extent allowable under the terms of the plans providing such coverages.</w:t>
      </w:r>
    </w:p>
    <w:p>
      <w:pPr>
        <w:spacing w:after="0" w:line="65"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764"/>
          </w:cols>
          <w:pgMar w:left="896" w:top="122" w:right="2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345" w:lineRule="exact"/>
        <w:rPr>
          <w:sz w:val="20"/>
          <w:szCs w:val="20"/>
          <w:color w:val="auto"/>
        </w:rPr>
      </w:pPr>
    </w:p>
    <w:p>
      <w:pPr>
        <w:ind w:left="760" w:right="140" w:hanging="655"/>
        <w:spacing w:after="0" w:line="486" w:lineRule="auto"/>
        <w:tabs>
          <w:tab w:leader="none" w:pos="7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termination, ARAMARK is providing Employee with a leased vehicle, then ARAMARK will continue to provide the leased vehicle through the Severance Pay Period under the same terms and conditions as in effect at the time of the Employee’s termination. At the expiration of the Severance Pay Period, Employee must return the leased vehicle to ARAMARK unless the Employee elects to purchase the vehicle in accordance with the Executive Leadership Council policy then in effect. If Employee is receiving a car allowance at the time of the Employee’s termination, such car allowance will continue to be paid through the Severance Pay Period. At the expiration of the Severance Pay Period, the Employee will cease being paid a car allowance.</w:t>
      </w:r>
    </w:p>
    <w:p>
      <w:pPr>
        <w:spacing w:after="0" w:line="7" w:lineRule="exact"/>
        <w:rPr>
          <w:rFonts w:ascii="Times New Roman" w:cs="Times New Roman" w:eastAsia="Times New Roman" w:hAnsi="Times New Roman"/>
          <w:sz w:val="22"/>
          <w:szCs w:val="22"/>
          <w:color w:val="auto"/>
        </w:rPr>
      </w:pPr>
    </w:p>
    <w:p>
      <w:pPr>
        <w:ind w:left="760" w:right="40" w:hanging="655"/>
        <w:spacing w:after="0" w:line="515" w:lineRule="auto"/>
        <w:tabs>
          <w:tab w:leader="none" w:pos="76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eligibility to participate in all other benefit and compensation plans, including, but not limited to the Management Incentive Bonus, Long Term Disability, any nonqualified retirement plans and any stock option or ownership plans, shall terminate as of the effective date of Employee’s termination unless provided otherwise under the terms of a particular plan, provided, however, that participation in plans and programs made available solely to Executive Leadership Council members, including, but not limited to the Executive Leadership Council Medical Plan, shall cease as of the effective date of termination or the date Employee’s Executive Leadership Council membership ceases, whichever occurs first. Employee, however, shall have certain rights to continue the Executive Leadership Council Medical Plan under COBRA.</w:t>
      </w:r>
    </w:p>
    <w:p>
      <w:pPr>
        <w:spacing w:after="0" w:line="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220"/>
          </w:cols>
          <w:pgMar w:left="1440" w:top="122" w:right="2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345" w:lineRule="exact"/>
        <w:rPr>
          <w:sz w:val="20"/>
          <w:szCs w:val="20"/>
          <w:color w:val="auto"/>
        </w:rPr>
      </w:pPr>
    </w:p>
    <w:p>
      <w:pPr>
        <w:ind w:left="660" w:right="60" w:hanging="652"/>
        <w:spacing w:after="0" w:line="486" w:lineRule="auto"/>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for “Cause” shall be defined as termination of employment due to: (i) conviction of or entry of a plea of guilty or nolo contendere to a felony (or any similar crime for purposes of laws outside the United States), (ii) fraud or dishonesty, (iii) willful failure to perform assigned duties, (iv) willful violation of ARAMARK’s Business Conduct Policy, or (v) intentionally working against the best interests of ARAMARK.</w:t>
      </w:r>
    </w:p>
    <w:p>
      <w:pPr>
        <w:spacing w:after="0" w:line="3" w:lineRule="exact"/>
        <w:rPr>
          <w:rFonts w:ascii="Times New Roman" w:cs="Times New Roman" w:eastAsia="Times New Roman" w:hAnsi="Times New Roman"/>
          <w:sz w:val="22"/>
          <w:szCs w:val="22"/>
          <w:color w:val="auto"/>
        </w:rPr>
      </w:pPr>
    </w:p>
    <w:p>
      <w:pPr>
        <w:ind w:left="660" w:right="40" w:hanging="652"/>
        <w:spacing w:after="0" w:line="486" w:lineRule="auto"/>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is terminated by ARAMARK for reasons other than Cause, Employee will receive the severance payments and other post-employment benefits during the Severance Pay Period even if Employee commences other employment during such period provided such employment does not violate the terms of Article 2.</w:t>
      </w:r>
    </w:p>
    <w:p>
      <w:pPr>
        <w:spacing w:after="0" w:line="2" w:lineRule="exact"/>
        <w:rPr>
          <w:rFonts w:ascii="Times New Roman" w:cs="Times New Roman" w:eastAsia="Times New Roman" w:hAnsi="Times New Roman"/>
          <w:sz w:val="22"/>
          <w:szCs w:val="22"/>
          <w:color w:val="auto"/>
        </w:rPr>
      </w:pPr>
    </w:p>
    <w:p>
      <w:pPr>
        <w:ind w:left="660" w:right="360" w:hanging="652"/>
        <w:spacing w:after="0" w:line="486" w:lineRule="auto"/>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remedies set forth in Article 5, ARAMARK reserves the right to terminate all severance payments and other post-employment benefits if Employee violates the covenants set forth in Articles 1, 2, 3 or 4 above.</w:t>
      </w:r>
    </w:p>
    <w:p>
      <w:pPr>
        <w:spacing w:after="0" w:line="1" w:lineRule="exact"/>
        <w:rPr>
          <w:rFonts w:ascii="Times New Roman" w:cs="Times New Roman" w:eastAsia="Times New Roman" w:hAnsi="Times New Roman"/>
          <w:sz w:val="22"/>
          <w:szCs w:val="22"/>
          <w:color w:val="auto"/>
        </w:rPr>
      </w:pPr>
    </w:p>
    <w:p>
      <w:pPr>
        <w:ind w:left="660" w:right="40" w:hanging="652"/>
        <w:spacing w:after="0" w:line="515" w:lineRule="auto"/>
        <w:tabs>
          <w:tab w:leader="none" w:pos="66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receipt of severance and other post-employment benefits under this Agreement is contingent on (i) Employee’s compliance with the provisions of Articles 1, 2, 3 and 4 and (ii) Employee’s execution of a release in a form reasonably acceptable to ARAMARK, except that such release shall not include any claims by Employee to enforce Employee’s rights under, or with respect to, this Agreement or any ARAMARK benefit plan pursuant to its terms, and (ii) the expiration of the applicable Age Discrimination in Employment Act revocation period without such release being revoked by Employee. For the avoidance of doubt, notwithstanding anything else contained in this Article 6 to the contrary, ARAMARK may choose not to commence (or may choose to discontinue) providing any payment or benefit hereunder unless and until Employee executes and delivers, without revocation, the foregoing release within 60 days following</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121" w:right="239" w:bottom="1440" w:gutter="0" w:footer="0" w:header="0"/>
        </w:sectPr>
      </w:pPr>
    </w:p>
    <w:bookmarkStart w:id="138" w:name="page139"/>
    <w:bookmarkEnd w:id="138"/>
    <w:p>
      <w:pPr>
        <w:ind w:left="10200"/>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312" w:lineRule="exact"/>
        <w:rPr>
          <w:sz w:val="20"/>
          <w:szCs w:val="20"/>
          <w:color w:val="auto"/>
        </w:rPr>
      </w:pPr>
    </w:p>
    <w:p>
      <w:pPr>
        <w:ind w:left="660" w:right="280"/>
        <w:spacing w:after="0" w:line="422" w:lineRule="auto"/>
        <w:rPr>
          <w:sz w:val="20"/>
          <w:szCs w:val="20"/>
          <w:color w:val="auto"/>
        </w:rPr>
      </w:pPr>
      <w:r>
        <w:rPr>
          <w:rFonts w:ascii="Times New Roman" w:cs="Times New Roman" w:eastAsia="Times New Roman" w:hAnsi="Times New Roman"/>
          <w:sz w:val="22"/>
          <w:szCs w:val="22"/>
          <w:color w:val="auto"/>
        </w:rPr>
        <w:t xml:space="preserve">Employee’s termination of employment;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subject to receipt of such executed release, ARAMARK shall commence providing such payments and benefits within 75 days following the date of termination of Employee’s employment.</w:t>
      </w:r>
    </w:p>
    <w:p>
      <w:pPr>
        <w:spacing w:after="0" w:line="3" w:lineRule="exact"/>
        <w:rPr>
          <w:sz w:val="20"/>
          <w:szCs w:val="20"/>
          <w:color w:val="auto"/>
        </w:rPr>
      </w:pPr>
    </w:p>
    <w:p>
      <w:pPr>
        <w:ind w:right="60"/>
        <w:spacing w:after="0" w:line="486" w:lineRule="auto"/>
        <w:rPr>
          <w:sz w:val="20"/>
          <w:szCs w:val="20"/>
          <w:color w:val="auto"/>
        </w:rPr>
      </w:pPr>
      <w:r>
        <w:rPr>
          <w:rFonts w:ascii="Times New Roman" w:cs="Times New Roman" w:eastAsia="Times New Roman" w:hAnsi="Times New Roman"/>
          <w:sz w:val="22"/>
          <w:szCs w:val="22"/>
          <w:b w:val="1"/>
          <w:bCs w:val="1"/>
          <w:u w:val="single" w:color="auto"/>
          <w:color w:val="auto"/>
        </w:rPr>
        <w:t>ARTICLE 7. TERM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acknowledges that ARAMARK has the right to terminate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at any time for any reason whatsoever, provided, however, that any termination by ARAMARK for reasons other than Cause shall result in the severance and the post-employment benefits described in Article 6 above, to become due in accordance with the terms of this Agreement subject to the conditions set forth in this Agreement. Employee further acknowledges that the severance payments made and other benefits provided by ARAMARK are in full satisfaction of any obligations ARAMARK may have resulting from ARAMARK’s exercise of its right to terminate Employee’s employment, except for those obligations which are intended to survive termination such as the payments to be made pursuant to retirement plans, deferred compensation plans and conversion of insurance.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ARTICLE 8. MISCELLANEOUS</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ind w:left="660" w:right="340" w:hanging="652"/>
        <w:spacing w:after="0" w:line="486" w:lineRule="auto"/>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throughout this Agreement, ARAMARK includes ARAMARK Corporation and its subsidiaries and affiliates or any corporation, joint venture, or other entity in which ARAMARK Corporation or its subsidiaries or affiliates have an equity interest in excess of ten percent (10%).</w:t>
      </w:r>
    </w:p>
    <w:p>
      <w:pPr>
        <w:spacing w:after="0" w:line="2" w:lineRule="exact"/>
        <w:rPr>
          <w:rFonts w:ascii="Times New Roman" w:cs="Times New Roman" w:eastAsia="Times New Roman" w:hAnsi="Times New Roman"/>
          <w:sz w:val="22"/>
          <w:szCs w:val="22"/>
          <w:color w:val="auto"/>
        </w:rPr>
      </w:pPr>
    </w:p>
    <w:p>
      <w:pPr>
        <w:ind w:left="660" w:right="840" w:hanging="652"/>
        <w:spacing w:after="0" w:line="486" w:lineRule="auto"/>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supersede and substitute for any previous post-employment or severance agreement between Employee and ARAMARK.</w:t>
      </w:r>
    </w:p>
    <w:p>
      <w:pPr>
        <w:spacing w:after="0" w:line="1" w:lineRule="exact"/>
        <w:rPr>
          <w:rFonts w:ascii="Times New Roman" w:cs="Times New Roman" w:eastAsia="Times New Roman" w:hAnsi="Times New Roman"/>
          <w:sz w:val="22"/>
          <w:szCs w:val="22"/>
          <w:color w:val="auto"/>
        </w:rPr>
      </w:pPr>
    </w:p>
    <w:p>
      <w:pPr>
        <w:ind w:left="660" w:right="200" w:hanging="652"/>
        <w:spacing w:after="0" w:line="500" w:lineRule="auto"/>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Employee’s employment with ARAMARK terminates solely by reason of a transfer of stock or assets of, or a merger or other disposition of, a subsidiary of ARAMARK (whether direct or indirect), such termination shall not be deemed a termination of</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121" w:right="239" w:bottom="1440" w:gutter="0" w:footer="0" w:header="0"/>
        </w:sectPr>
      </w:pPr>
    </w:p>
    <w:bookmarkStart w:id="139" w:name="page140"/>
    <w:bookmarkEnd w:id="139"/>
    <w:p>
      <w:pPr>
        <w:ind w:left="10200"/>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316" w:lineRule="exact"/>
        <w:rPr>
          <w:sz w:val="20"/>
          <w:szCs w:val="20"/>
          <w:color w:val="auto"/>
        </w:rPr>
      </w:pPr>
    </w:p>
    <w:p>
      <w:pPr>
        <w:ind w:left="660" w:right="80"/>
        <w:spacing w:after="0" w:line="414" w:lineRule="auto"/>
        <w:rPr>
          <w:sz w:val="20"/>
          <w:szCs w:val="20"/>
          <w:color w:val="auto"/>
        </w:rPr>
      </w:pPr>
      <w:r>
        <w:rPr>
          <w:rFonts w:ascii="Times New Roman" w:cs="Times New Roman" w:eastAsia="Times New Roman" w:hAnsi="Times New Roman"/>
          <w:sz w:val="22"/>
          <w:szCs w:val="22"/>
          <w:color w:val="auto"/>
        </w:rPr>
        <w:t>employment by ARAMARK for purposes of this Agreement, provided that ARAMARK requires the subsequent employer, by agreement, to expressly assume and agree to perform this Agreement in the same manner and to the same extent that ARAMARK would be required to perform it if no such transaction had taken place. Employee acknowledges and agrees that ARAMARK may assign this Agreement and ARAMARK’s rights hereunder, and particularly Articles 1, 2, 3 and 4, in its sole discretion and without advance approval by Employee. In such case, Employee agrees that ARAMARK may assign this Agreement and all references to “ARAMARK” contained in this Agreement shall thereafter be deemed to refer to the subsequent employer.</w:t>
      </w:r>
    </w:p>
    <w:p>
      <w:pPr>
        <w:spacing w:after="0" w:line="11" w:lineRule="exact"/>
        <w:rPr>
          <w:sz w:val="20"/>
          <w:szCs w:val="20"/>
          <w:color w:val="auto"/>
        </w:rPr>
      </w:pPr>
    </w:p>
    <w:p>
      <w:pPr>
        <w:ind w:left="660" w:right="300" w:hanging="652"/>
        <w:spacing w:after="0" w:line="486" w:lineRule="auto"/>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not be required to mitigate damages or the amount of any payment provided for under this Agreement by seeking other employment or otherwise.</w:t>
      </w:r>
    </w:p>
    <w:p>
      <w:pPr>
        <w:spacing w:after="0" w:line="1" w:lineRule="exact"/>
        <w:rPr>
          <w:rFonts w:ascii="Times New Roman" w:cs="Times New Roman" w:eastAsia="Times New Roman" w:hAnsi="Times New Roman"/>
          <w:sz w:val="22"/>
          <w:szCs w:val="22"/>
          <w:color w:val="auto"/>
        </w:rPr>
      </w:pPr>
    </w:p>
    <w:p>
      <w:pPr>
        <w:jc w:val="both"/>
        <w:ind w:left="660" w:right="80" w:hanging="652"/>
        <w:spacing w:after="0" w:line="510" w:lineRule="auto"/>
        <w:tabs>
          <w:tab w:leader="none" w:pos="66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one or more of the provisions of this Agreement shall be or become invalid, illegal or unenforceable in any respect, the validity, legality and enforceability of the remaining provisions of this Agreement shall not be affected thereby.</w:t>
      </w:r>
    </w:p>
    <w:p>
      <w:pPr>
        <w:ind w:left="660" w:right="60" w:hanging="652"/>
        <w:spacing w:after="0" w:line="491" w:lineRule="auto"/>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it is reasonably determined by ARAMARK that, as a result of the new deferred compensation tax rules under Section 409A of the Internal Revenue Code of 1986, as amended (and any related regulations or other pronouncements thereunder) (“the Deferred Compensation Tax Rules”), any of the payments or benefits that Employee is entitled to under the terms of this Agreement (or any other nonqualified deferred compensation plan or arrangement maintained by ARAMARK in which Employee participates) may not be made at the time contemplated by the terms hereof or thereof, as the case may be, without causing Employee to be subject to tax under the Deferred Compensation Tax Rules, ARAMARK shall, in lieu of providing such payment or benefit</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122" w:right="239" w:bottom="1440" w:gutter="0" w:footer="0" w:header="0"/>
        </w:sectPr>
      </w:pPr>
    </w:p>
    <w:bookmarkStart w:id="140" w:name="page141"/>
    <w:bookmarkEnd w:id="140"/>
    <w:p>
      <w:pPr>
        <w:ind w:left="9540"/>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316" w:lineRule="exact"/>
        <w:rPr>
          <w:sz w:val="20"/>
          <w:szCs w:val="20"/>
          <w:color w:val="auto"/>
        </w:rPr>
      </w:pPr>
    </w:p>
    <w:p>
      <w:pPr>
        <w:ind w:right="20"/>
        <w:spacing w:after="0" w:line="411" w:lineRule="auto"/>
        <w:rPr>
          <w:sz w:val="20"/>
          <w:szCs w:val="20"/>
          <w:color w:val="auto"/>
        </w:rPr>
      </w:pPr>
      <w:r>
        <w:rPr>
          <w:rFonts w:ascii="Times New Roman" w:cs="Times New Roman" w:eastAsia="Times New Roman" w:hAnsi="Times New Roman"/>
          <w:sz w:val="22"/>
          <w:szCs w:val="22"/>
          <w:color w:val="auto"/>
        </w:rPr>
        <w:t>when otherwise due under this Agreement (or any other nonqualified deferred compensation plan or arrangement maintained by ARAMARK in which Employee participates), instead provide such payment or benefit on the first day on which such provision would not result in Employee incurring any tax liability under the Deferred Compensation Tax Rules; which day, if Employee is a “specified employee” within the meaning of the Deferred Compensation Tax Rules, shall be the first day following the six-month period beginning on the date of Employee’s termination of employment; provided, further, that to the extent that the amount of payments due under Article 6.A are not subject to the Deferred Compensation Tax Rules by virtue of the application of Treas. Reg. Sec. 1.409A-1(b)(9)(iii)(A), such payments may be made prior to the expiration of such six-month period. In the event that any payments or benefits that ARAMARK would otherwise be required to provide under this Agreement (or any other nonqualified deferred compensation plan or arrangement maintained by ARAMARK in which Employee participates) cannot be provided in the manner contemplated herein without subjecting Employee to tax under the Deferred Tax Rules, ARAMARK shall provide such intended payments or benefits to Employee in an alternative manner that conveys an equivalent economic benefit to Employee as soon as practicable as may otherwise be permitted under the Deferred Compensation Tax Rules. In addition to the foregoing, for purposes of the Deferred Compensation Tax Rules, each payment made under this Agreement (including, without limitation, each installment payment due under Article 6.A) shall be designated as a “separate payment” within the meaning of the Deferred Compensation Tax Rules.</w:t>
      </w:r>
    </w:p>
    <w:p>
      <w:pPr>
        <w:spacing w:after="0" w:line="1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760"/>
          </w:cols>
          <w:pgMar w:left="900" w:top="122" w:right="2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345" w:lineRule="exact"/>
        <w:rPr>
          <w:sz w:val="20"/>
          <w:szCs w:val="20"/>
          <w:color w:val="auto"/>
        </w:rPr>
      </w:pPr>
    </w:p>
    <w:p>
      <w:pPr>
        <w:ind w:left="660" w:right="240" w:hanging="652"/>
        <w:spacing w:after="0" w:line="486" w:lineRule="auto"/>
        <w:tabs>
          <w:tab w:leader="none" w:pos="6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hereby represents to ARAMARK that the execution and delivery of this Agreement by Employee and ARAMARK and the performance by Employee of Employee’s duties hereunder shall not constitute a breach of, or otherwise contravene, the terms of any employment agreement or other agreement or policy to which Employee is a party or is otherwise bound.</w:t>
      </w:r>
    </w:p>
    <w:p>
      <w:pPr>
        <w:spacing w:after="0" w:line="3" w:lineRule="exact"/>
        <w:rPr>
          <w:rFonts w:ascii="Times New Roman" w:cs="Times New Roman" w:eastAsia="Times New Roman" w:hAnsi="Times New Roman"/>
          <w:sz w:val="22"/>
          <w:szCs w:val="22"/>
          <w:color w:val="auto"/>
        </w:rPr>
      </w:pPr>
    </w:p>
    <w:p>
      <w:pPr>
        <w:ind w:left="660" w:hanging="652"/>
        <w:spacing w:after="0" w:line="510" w:lineRule="auto"/>
        <w:tabs>
          <w:tab w:leader="none" w:pos="66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terms of this Agreement shall be governed by the laws of the Commonwealth of Pennsylvania, without regard to conflicts of laws principles thereof. For purposes of any action or proceeding, Employee irrevocably submits to the non-exclusive jurisdiction of the courts of Pennsylvania and the courts of the United States of America located in Pennsylvania for the purpose of any judicial proceeding arising out of or relating to this Agreement, and acknowledges that the designated </w:t>
      </w:r>
      <w:r>
        <w:rPr>
          <w:rFonts w:ascii="Times New Roman" w:cs="Times New Roman" w:eastAsia="Times New Roman" w:hAnsi="Times New Roman"/>
          <w:sz w:val="21"/>
          <w:szCs w:val="21"/>
          <w:i w:val="1"/>
          <w:iCs w:val="1"/>
          <w:color w:val="auto"/>
        </w:rPr>
        <w:t xml:space="preserve">fora </w:t>
      </w:r>
      <w:r>
        <w:rPr>
          <w:rFonts w:ascii="Times New Roman" w:cs="Times New Roman" w:eastAsia="Times New Roman" w:hAnsi="Times New Roman"/>
          <w:sz w:val="21"/>
          <w:szCs w:val="21"/>
          <w:color w:val="auto"/>
        </w:rPr>
        <w:t>have a reasonable relation to the Agreement and to the parties’ relationship with one another. Notwithstanding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provisions of this Article 8.H, ARAMARK may, in its discretion, bring an action or special proceeding in any court of competent jurisdiction for the purpose of seeking temporary or preliminary relief pending resolution of a dispute.</w:t>
      </w:r>
    </w:p>
    <w:p>
      <w:pPr>
        <w:ind w:left="660" w:right="120" w:hanging="652"/>
        <w:spacing w:after="0" w:line="492" w:lineRule="auto"/>
        <w:tabs>
          <w:tab w:leader="none" w:pos="6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expressly consents to the application of Article 8.H to any judicial action or proceeding arising out of or relating to this Agreement. ARAMARK shall have the right to serve legal process upon Employee in any manner permitted by law. In addition, Employee irrevocably appoints the General Counsel of ARAMARK Corporation (or any successor) as Employee’s agent for service of legal process in connection with any such action or proceeding and Employee agrees that service of legal process upon such agent, who shall promptly advise Employee of any such service of legal process at the address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122" w:right="239" w:bottom="1440" w:gutter="0" w:footer="0" w:header="0"/>
        </w:sectPr>
      </w:pPr>
    </w:p>
    <w:bookmarkStart w:id="142" w:name="page143"/>
    <w:bookmarkEnd w:id="142"/>
    <w:p>
      <w:pPr>
        <w:ind w:left="10200"/>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316" w:lineRule="exact"/>
        <w:rPr>
          <w:sz w:val="20"/>
          <w:szCs w:val="20"/>
          <w:color w:val="auto"/>
        </w:rPr>
      </w:pPr>
    </w:p>
    <w:p>
      <w:pPr>
        <w:ind w:left="660" w:right="320"/>
        <w:spacing w:after="0" w:line="429" w:lineRule="auto"/>
        <w:rPr>
          <w:sz w:val="20"/>
          <w:szCs w:val="20"/>
          <w:color w:val="auto"/>
        </w:rPr>
      </w:pPr>
      <w:r>
        <w:rPr>
          <w:rFonts w:ascii="Times New Roman" w:cs="Times New Roman" w:eastAsia="Times New Roman" w:hAnsi="Times New Roman"/>
          <w:sz w:val="22"/>
          <w:szCs w:val="22"/>
          <w:color w:val="auto"/>
        </w:rPr>
        <w:t>of Employee then in the records of ARAMARK, shall be deemed in every respect effective service of legal process upon Employee in any such action or proceeding.</w:t>
      </w:r>
    </w:p>
    <w:p>
      <w:pPr>
        <w:jc w:val="both"/>
        <w:ind w:left="660" w:right="280" w:hanging="652"/>
        <w:spacing w:after="0" w:line="486"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hereby waives, to the fullest extent permitted by applicable law, any objection that Employee now or hereafter may have to personal jurisdiction or to the laying of venue of any action or proceeding brought in any court referenced in Article 8.H and hereby agrees not to plead or claim the same.</w:t>
      </w:r>
    </w:p>
    <w:p>
      <w:pPr>
        <w:spacing w:after="0" w:line="2" w:lineRule="exact"/>
        <w:rPr>
          <w:rFonts w:ascii="Times New Roman" w:cs="Times New Roman" w:eastAsia="Times New Roman" w:hAnsi="Times New Roman"/>
          <w:sz w:val="22"/>
          <w:szCs w:val="22"/>
          <w:color w:val="auto"/>
        </w:rPr>
      </w:pPr>
    </w:p>
    <w:p>
      <w:pPr>
        <w:ind w:left="660" w:right="900" w:hanging="652"/>
        <w:spacing w:after="0" w:line="510" w:lineRule="auto"/>
        <w:tabs>
          <w:tab w:leader="none" w:pos="6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ARAMARK may, to the extent required by law, withhold applicable federal, state and local income and other taxes from any payments due to Employee hereunder.</w:t>
      </w:r>
    </w:p>
    <w:p>
      <w:pPr>
        <w:ind w:left="660" w:right="540" w:hanging="652"/>
        <w:spacing w:after="0" w:line="486"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and ARAMARK acknowledge that for purposes of Article 6, Employee’s last hire date with ARAMARK is October 13, 1990.</w:t>
      </w:r>
    </w:p>
    <w:p>
      <w:pPr>
        <w:spacing w:after="0" w:line="1" w:lineRule="exact"/>
        <w:rPr>
          <w:rFonts w:ascii="Times New Roman" w:cs="Times New Roman" w:eastAsia="Times New Roman" w:hAnsi="Times New Roman"/>
          <w:sz w:val="22"/>
          <w:szCs w:val="22"/>
          <w:color w:val="auto"/>
        </w:rPr>
      </w:pPr>
    </w:p>
    <w:p>
      <w:pPr>
        <w:ind w:left="660" w:right="120" w:hanging="652"/>
        <w:spacing w:after="0" w:line="510" w:lineRule="auto"/>
        <w:tabs>
          <w:tab w:leader="none" w:pos="6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binding upon, inure to the benefit of and be enforceable by the Company and Employee, and their respective heirs, legal representatives, successors and assigns. Employee acknowledges and agrees that this Agreement, including its provisions on post-employment restrictions, is specifically assignable by ARAMARK. Employee hereby</w:t>
      </w:r>
    </w:p>
    <w:p>
      <w:pPr>
        <w:ind w:left="660"/>
        <w:spacing w:after="0"/>
        <w:rPr>
          <w:sz w:val="20"/>
          <w:szCs w:val="20"/>
          <w:color w:val="auto"/>
        </w:rPr>
      </w:pPr>
      <w:r>
        <w:rPr>
          <w:rFonts w:ascii="Times New Roman" w:cs="Times New Roman" w:eastAsia="Times New Roman" w:hAnsi="Times New Roman"/>
          <w:sz w:val="22"/>
          <w:szCs w:val="22"/>
          <w:color w:val="auto"/>
        </w:rPr>
        <w:t>consents to such future assignment and agrees not to challenge the validity of such future assignment.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and intending to be legally bound, the parties hereto have caused this Agreement to be signed.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gridSpan w:val="3"/>
          </w:tcPr>
          <w:p>
            <w:pPr>
              <w:ind w:left="940"/>
              <w:spacing w:after="0"/>
              <w:rPr>
                <w:sz w:val="20"/>
                <w:szCs w:val="20"/>
                <w:color w:val="auto"/>
              </w:rPr>
            </w:pPr>
            <w:r>
              <w:rPr>
                <w:rFonts w:ascii="Times New Roman" w:cs="Times New Roman" w:eastAsia="Times New Roman" w:hAnsi="Times New Roman"/>
                <w:sz w:val="22"/>
                <w:szCs w:val="22"/>
                <w:b w:val="1"/>
                <w:bCs w:val="1"/>
                <w:color w:val="auto"/>
                <w:w w:val="97"/>
              </w:rPr>
              <w:t>ARAMARK CORPORATION</w:t>
            </w:r>
          </w:p>
        </w:tc>
      </w:tr>
      <w:tr>
        <w:trPr>
          <w:trHeight w:val="42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November 26, 2013</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87"/>
              </w:rPr>
              <w:t>By:</w:t>
            </w:r>
          </w:p>
        </w:tc>
        <w:tc>
          <w:tcPr>
            <w:tcW w:w="37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/s/ Lynn B. McKee</w:t>
            </w:r>
          </w:p>
        </w:tc>
      </w:tr>
      <w:tr>
        <w:trPr>
          <w:trHeight w:val="20"/>
        </w:trPr>
        <w:tc>
          <w:tcPr>
            <w:tcW w:w="7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9"/>
        </w:trPr>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gridSpan w:val="3"/>
          </w:tcPr>
          <w:p>
            <w:pPr>
              <w:ind w:left="1600"/>
              <w:spacing w:after="0"/>
              <w:rPr>
                <w:sz w:val="20"/>
                <w:szCs w:val="20"/>
                <w:color w:val="auto"/>
              </w:rPr>
            </w:pPr>
            <w:r>
              <w:rPr>
                <w:rFonts w:ascii="Times New Roman" w:cs="Times New Roman" w:eastAsia="Times New Roman" w:hAnsi="Times New Roman"/>
                <w:sz w:val="22"/>
                <w:szCs w:val="22"/>
                <w:color w:val="auto"/>
              </w:rPr>
              <w:t>Lynn B. McKee</w:t>
            </w:r>
          </w:p>
        </w:tc>
      </w:tr>
      <w:tr>
        <w:trPr>
          <w:trHeight w:val="569"/>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2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October 18, 2013</w:t>
            </w:r>
          </w:p>
        </w:tc>
        <w:tc>
          <w:tcPr>
            <w:tcW w:w="22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3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Keith Bethel</w:t>
            </w:r>
          </w:p>
        </w:tc>
      </w:tr>
      <w:tr>
        <w:trPr>
          <w:trHeight w:val="20"/>
        </w:trPr>
        <w:tc>
          <w:tcPr>
            <w:tcW w:w="7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289"/>
        </w:trPr>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gridSpan w:val="3"/>
          </w:tcPr>
          <w:p>
            <w:pPr>
              <w:ind w:left="1600"/>
              <w:spacing w:after="0"/>
              <w:rPr>
                <w:sz w:val="20"/>
                <w:szCs w:val="20"/>
                <w:color w:val="auto"/>
              </w:rPr>
            </w:pPr>
            <w:r>
              <w:rPr>
                <w:rFonts w:ascii="Times New Roman" w:cs="Times New Roman" w:eastAsia="Times New Roman" w:hAnsi="Times New Roman"/>
                <w:sz w:val="22"/>
                <w:szCs w:val="22"/>
                <w:color w:val="auto"/>
              </w:rPr>
              <w:t>Keith Bethel</w:t>
            </w:r>
          </w:p>
        </w:tc>
      </w:tr>
      <w:tr>
        <w:trPr>
          <w:trHeight w:val="473"/>
        </w:trPr>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15</w:t>
            </w: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w:t>
      </w:r>
    </w:p>
    <w:p>
      <w:pPr>
        <w:spacing w:after="0" w:line="21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Prior Works</w:t>
      </w:r>
      <w:r>
        <w:rPr>
          <w:rFonts w:ascii="Times New Roman" w:cs="Times New Roman" w:eastAsia="Times New Roman" w:hAnsi="Times New Roman"/>
          <w:sz w:val="28"/>
          <w:szCs w:val="28"/>
          <w:b w:val="1"/>
          <w:bCs w:val="1"/>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24" w:lineRule="exact"/>
        <w:rPr>
          <w:sz w:val="20"/>
          <w:szCs w:val="20"/>
          <w:color w:val="auto"/>
        </w:rPr>
      </w:pPr>
    </w:p>
    <w:p>
      <w:pPr>
        <w:ind w:left="5600" w:right="5460" w:hanging="5592"/>
        <w:spacing w:after="0" w:line="725" w:lineRule="auto"/>
        <w:tabs>
          <w:tab w:leader="none" w:pos="164"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no Prior Works are listed, Employee certifies that there are none. 16</w:t>
      </w:r>
    </w:p>
    <w:p>
      <w:pPr>
        <w:sectPr>
          <w:pgSz w:w="11900" w:h="16838" w:orient="portrait"/>
          <w:cols w:equalWidth="0" w:num="1">
            <w:col w:w="11420"/>
          </w:cols>
          <w:pgMar w:left="240" w:top="122" w:right="2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 A. Harrington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Lauren: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pleased to inform you of your promotion within the Executive Leadership Council (ELC).</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Enclosed are three copies of the Offer Detail Summary highlighting the compensation terms and conditions associated with your new role. We ask that you please retain one copy for your records and return two signed copies of this letter to Erin Duclos, Vice President, Talent Acquisition.</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with this promotion, you are required to sign a new Agreement Relating to Employment and Post-Employment Competition. This new agreement will supersede and replace the Non-Competition Agreement you signed on August 25, 2009. Please sign, date, and return both copies with the signed Offer Detail Summary. We will return a fully executed copy for your records.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promotion is contingent on the successful completion of a background check and drug screening.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if I may be of any help to you, please do not hesitate to call me at 215.238.3201. Congratulations!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Lynn McKee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Lynn McKee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Human Resources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sign and date below acknowledging that you have received this letter and accepted our offer.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Accept:</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Lauren Harrington</w:t>
            </w:r>
          </w:p>
        </w:tc>
        <w:tc>
          <w:tcPr>
            <w:tcW w:w="364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37"/>
        </w:trPr>
        <w:tc>
          <w:tcPr>
            <w:tcW w:w="1700" w:type="dxa"/>
            <w:vAlign w:val="bottom"/>
          </w:tcPr>
          <w:p>
            <w:pPr>
              <w:spacing w:after="0"/>
              <w:rPr>
                <w:sz w:val="20"/>
                <w:szCs w:val="20"/>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(Please Print Name)</w:t>
            </w:r>
          </w:p>
        </w:tc>
        <w:tc>
          <w:tcPr>
            <w:tcW w:w="3640" w:type="dxa"/>
            <w:vAlign w:val="bottom"/>
          </w:tcPr>
          <w:p>
            <w:pPr>
              <w:spacing w:after="0"/>
              <w:rPr>
                <w:sz w:val="20"/>
                <w:szCs w:val="20"/>
                <w:color w:val="auto"/>
              </w:rPr>
            </w:pPr>
          </w:p>
        </w:tc>
      </w:tr>
      <w:tr>
        <w:trPr>
          <w:trHeight w:val="567"/>
        </w:trPr>
        <w:tc>
          <w:tcPr>
            <w:tcW w:w="1700" w:type="dxa"/>
            <w:vAlign w:val="bottom"/>
          </w:tcPr>
          <w:p>
            <w:pPr>
              <w:spacing w:after="0"/>
              <w:rPr>
                <w:sz w:val="24"/>
                <w:szCs w:val="24"/>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Lauren Harrington</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2019</w:t>
            </w:r>
          </w:p>
        </w:tc>
      </w:tr>
      <w:tr>
        <w:trPr>
          <w:trHeight w:val="27"/>
        </w:trPr>
        <w:tc>
          <w:tcPr>
            <w:tcW w:w="17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spacing w:after="0"/>
              <w:rPr>
                <w:sz w:val="20"/>
                <w:szCs w:val="20"/>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(Please Sign Name)</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bl>
    <w:p>
      <w:pPr>
        <w:sectPr>
          <w:pgSz w:w="11900" w:h="16838" w:orient="portrait"/>
          <w:cols w:equalWidth="0" w:num="1">
            <w:col w:w="11420"/>
          </w:cols>
          <w:pgMar w:left="240" w:top="117" w:right="2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Lauren A. Harrington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Offer Detail Summary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February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190500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14"/>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r>
        <w:trPr>
          <w:trHeight w:val="234"/>
        </w:trPr>
        <w:tc>
          <w:tcPr>
            <w:tcW w:w="2040" w:type="dxa"/>
            <w:vAlign w:val="bottom"/>
            <w:tcBorders>
              <w:right w:val="single" w:sz="8" w:color="auto"/>
            </w:tcBorders>
          </w:tcPr>
          <w:p>
            <w:pPr>
              <w:spacing w:after="0"/>
              <w:rPr>
                <w:sz w:val="20"/>
                <w:szCs w:val="20"/>
                <w:color w:val="auto"/>
              </w:rPr>
            </w:pP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Aramark</w:t>
            </w:r>
          </w:p>
        </w:tc>
      </w:tr>
      <w:tr>
        <w:trPr>
          <w:trHeight w:val="441"/>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Leadership Council</w:t>
            </w:r>
          </w:p>
        </w:tc>
      </w:tr>
      <w:tr>
        <w:trPr>
          <w:trHeight w:val="234"/>
        </w:trPr>
        <w:tc>
          <w:tcPr>
            <w:tcW w:w="2040" w:type="dxa"/>
            <w:vAlign w:val="bottom"/>
            <w:tcBorders>
              <w:right w:val="single" w:sz="8" w:color="auto"/>
            </w:tcBorders>
          </w:tcPr>
          <w:p>
            <w:pPr>
              <w:spacing w:after="0"/>
              <w:rPr>
                <w:sz w:val="20"/>
                <w:szCs w:val="20"/>
                <w:color w:val="auto"/>
              </w:rPr>
            </w:pP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Band 2</w:t>
            </w:r>
          </w:p>
        </w:tc>
      </w:tr>
      <w:tr>
        <w:trPr>
          <w:trHeight w:val="441"/>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Reports To:</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Eric Foss, Chairman, President &amp; CEO</w:t>
            </w:r>
          </w:p>
        </w:tc>
      </w:tr>
      <w:tr>
        <w:trPr>
          <w:trHeight w:val="234"/>
        </w:trPr>
        <w:tc>
          <w:tcPr>
            <w:tcW w:w="2040" w:type="dxa"/>
            <w:vAlign w:val="bottom"/>
            <w:tcBorders>
              <w:right w:val="single" w:sz="8" w:color="auto"/>
            </w:tcBorders>
          </w:tcPr>
          <w:p>
            <w:pPr>
              <w:spacing w:after="0"/>
              <w:rPr>
                <w:sz w:val="20"/>
                <w:szCs w:val="20"/>
                <w:color w:val="auto"/>
              </w:rPr>
            </w:pP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Aramark</w:t>
            </w:r>
          </w:p>
        </w:tc>
      </w:tr>
      <w:tr>
        <w:trPr>
          <w:trHeight w:val="459"/>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Philadelphia, PA</w:t>
            </w:r>
          </w:p>
        </w:tc>
      </w:tr>
      <w:tr>
        <w:trPr>
          <w:trHeight w:val="567"/>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4, 2019</w:t>
            </w:r>
          </w:p>
        </w:tc>
      </w:tr>
      <w:tr>
        <w:trPr>
          <w:trHeight w:val="459"/>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$435,000</w:t>
            </w:r>
          </w:p>
        </w:tc>
      </w:tr>
      <w:tr>
        <w:trPr>
          <w:trHeight w:val="441"/>
        </w:trPr>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Bonus:</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You will continue to be eligible to participate in Aramark’s</w:t>
            </w:r>
          </w:p>
        </w:tc>
      </w:tr>
      <w:tr>
        <w:trPr>
          <w:trHeight w:val="216"/>
        </w:trPr>
        <w:tc>
          <w:tcPr>
            <w:tcW w:w="2040" w:type="dxa"/>
            <w:vAlign w:val="bottom"/>
            <w:tcBorders>
              <w:right w:val="single" w:sz="8" w:color="auto"/>
            </w:tcBorders>
          </w:tcPr>
          <w:p>
            <w:pPr>
              <w:spacing w:after="0"/>
              <w:rPr>
                <w:sz w:val="18"/>
                <w:szCs w:val="18"/>
                <w:color w:val="auto"/>
              </w:rPr>
            </w:pP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Incentive Bonus (MIB) Plan for Fiscal Year</w:t>
            </w:r>
          </w:p>
        </w:tc>
      </w:tr>
      <w:tr>
        <w:trPr>
          <w:trHeight w:val="216"/>
        </w:trPr>
        <w:tc>
          <w:tcPr>
            <w:tcW w:w="2040" w:type="dxa"/>
            <w:vAlign w:val="bottom"/>
            <w:tcBorders>
              <w:right w:val="single" w:sz="8" w:color="auto"/>
            </w:tcBorders>
          </w:tcPr>
          <w:p>
            <w:pPr>
              <w:spacing w:after="0"/>
              <w:rPr>
                <w:sz w:val="18"/>
                <w:szCs w:val="18"/>
                <w:color w:val="auto"/>
              </w:rPr>
            </w:pP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 As further described in the Plan, if you are eligible to</w:t>
            </w:r>
          </w:p>
        </w:tc>
      </w:tr>
      <w:tr>
        <w:trPr>
          <w:trHeight w:val="216"/>
        </w:trPr>
        <w:tc>
          <w:tcPr>
            <w:tcW w:w="2040" w:type="dxa"/>
            <w:vAlign w:val="bottom"/>
            <w:tcBorders>
              <w:right w:val="single" w:sz="8" w:color="auto"/>
            </w:tcBorders>
          </w:tcPr>
          <w:p>
            <w:pPr>
              <w:spacing w:after="0"/>
              <w:rPr>
                <w:sz w:val="18"/>
                <w:szCs w:val="18"/>
                <w:color w:val="auto"/>
              </w:rPr>
            </w:pP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receive a Management Incentive Bonus, the amount of your</w:t>
            </w:r>
          </w:p>
        </w:tc>
      </w:tr>
      <w:tr>
        <w:trPr>
          <w:trHeight w:val="216"/>
        </w:trPr>
        <w:tc>
          <w:tcPr>
            <w:tcW w:w="2040" w:type="dxa"/>
            <w:vAlign w:val="bottom"/>
            <w:tcBorders>
              <w:right w:val="single" w:sz="8" w:color="auto"/>
            </w:tcBorders>
          </w:tcPr>
          <w:p>
            <w:pPr>
              <w:spacing w:after="0"/>
              <w:rPr>
                <w:sz w:val="18"/>
                <w:szCs w:val="18"/>
                <w:color w:val="auto"/>
              </w:rPr>
            </w:pP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Bonus will be determined on the basis of both the performance</w:t>
            </w:r>
          </w:p>
        </w:tc>
      </w:tr>
      <w:tr>
        <w:trPr>
          <w:trHeight w:val="216"/>
        </w:trPr>
        <w:tc>
          <w:tcPr>
            <w:tcW w:w="2040" w:type="dxa"/>
            <w:vAlign w:val="bottom"/>
            <w:tcBorders>
              <w:right w:val="single" w:sz="8" w:color="auto"/>
            </w:tcBorders>
          </w:tcPr>
          <w:p>
            <w:pPr>
              <w:spacing w:after="0"/>
              <w:rPr>
                <w:sz w:val="18"/>
                <w:szCs w:val="18"/>
                <w:color w:val="auto"/>
              </w:rPr>
            </w:pP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Aramark and your performance measured against certain</w:t>
            </w:r>
          </w:p>
        </w:tc>
      </w:tr>
      <w:tr>
        <w:trPr>
          <w:trHeight w:val="216"/>
        </w:trPr>
        <w:tc>
          <w:tcPr>
            <w:tcW w:w="2040" w:type="dxa"/>
            <w:vAlign w:val="bottom"/>
            <w:tcBorders>
              <w:right w:val="single" w:sz="8" w:color="auto"/>
            </w:tcBorders>
          </w:tcPr>
          <w:p>
            <w:pPr>
              <w:spacing w:after="0"/>
              <w:rPr>
                <w:sz w:val="18"/>
                <w:szCs w:val="18"/>
                <w:color w:val="auto"/>
              </w:rPr>
            </w:pP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financial and non-financial goals. The current guideline</w:t>
            </w:r>
          </w:p>
        </w:tc>
      </w:tr>
      <w:tr>
        <w:trPr>
          <w:trHeight w:val="216"/>
        </w:trPr>
        <w:tc>
          <w:tcPr>
            <w:tcW w:w="2040" w:type="dxa"/>
            <w:vAlign w:val="bottom"/>
            <w:tcBorders>
              <w:right w:val="single" w:sz="8" w:color="auto"/>
            </w:tcBorders>
          </w:tcPr>
          <w:p>
            <w:pPr>
              <w:spacing w:after="0"/>
              <w:rPr>
                <w:sz w:val="18"/>
                <w:szCs w:val="18"/>
                <w:color w:val="auto"/>
              </w:rPr>
            </w:pP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your position is a target bonus of 85% of base salary. Your</w:t>
            </w:r>
          </w:p>
        </w:tc>
      </w:tr>
      <w:tr>
        <w:trPr>
          <w:trHeight w:val="216"/>
        </w:trPr>
        <w:tc>
          <w:tcPr>
            <w:tcW w:w="2040" w:type="dxa"/>
            <w:vAlign w:val="bottom"/>
            <w:tcBorders>
              <w:right w:val="single" w:sz="8" w:color="auto"/>
            </w:tcBorders>
          </w:tcPr>
          <w:p>
            <w:pPr>
              <w:spacing w:after="0"/>
              <w:rPr>
                <w:sz w:val="18"/>
                <w:szCs w:val="18"/>
                <w:color w:val="auto"/>
              </w:rPr>
            </w:pP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actual bonus paid for Fiscal Year 2019 will be prorated as</w:t>
            </w:r>
          </w:p>
        </w:tc>
      </w:tr>
      <w:tr>
        <w:trPr>
          <w:trHeight w:val="234"/>
        </w:trPr>
        <w:tc>
          <w:tcPr>
            <w:tcW w:w="2040" w:type="dxa"/>
            <w:vAlign w:val="bottom"/>
            <w:tcBorders>
              <w:right w:val="single" w:sz="8" w:color="auto"/>
            </w:tcBorders>
          </w:tcPr>
          <w:p>
            <w:pPr>
              <w:spacing w:after="0"/>
              <w:rPr>
                <w:sz w:val="20"/>
                <w:szCs w:val="20"/>
                <w:color w:val="auto"/>
              </w:rPr>
            </w:pP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appropriate.</w:t>
            </w:r>
          </w:p>
        </w:tc>
      </w:tr>
      <w:tr>
        <w:trPr>
          <w:trHeight w:val="216"/>
        </w:trPr>
        <w:tc>
          <w:tcPr>
            <w:tcW w:w="2040" w:type="dxa"/>
            <w:vAlign w:val="bottom"/>
            <w:tcBorders>
              <w:right w:val="single" w:sz="8" w:color="auto"/>
            </w:tcBorders>
          </w:tcPr>
          <w:p>
            <w:pPr>
              <w:spacing w:after="0"/>
              <w:rPr>
                <w:sz w:val="18"/>
                <w:szCs w:val="18"/>
                <w:color w:val="auto"/>
              </w:rPr>
            </w:pPr>
          </w:p>
        </w:tc>
        <w:tc>
          <w:tcPr>
            <w:tcW w:w="4600" w:type="dxa"/>
            <w:vAlign w:val="bottom"/>
          </w:tcPr>
          <w:p>
            <w:pPr>
              <w:spacing w:after="0"/>
              <w:rPr>
                <w:sz w:val="18"/>
                <w:szCs w:val="18"/>
                <w:color w:val="auto"/>
              </w:rPr>
            </w:pPr>
          </w:p>
        </w:tc>
      </w:tr>
    </w:tbl>
    <w:p>
      <w:pPr>
        <w:sectPr>
          <w:pgSz w:w="11900" w:h="16838" w:orient="portrait"/>
          <w:cols w:equalWidth="0" w:num="1">
            <w:col w:w="11380"/>
          </w:cols>
          <w:pgMar w:left="280" w:top="117" w:right="2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Equity Incentives:</w:t>
            </w: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 will recommend to the Compensation and Human</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Resources Committee that you be awarded equity grants with a</w:t>
            </w:r>
          </w:p>
        </w:tc>
      </w:tr>
      <w:tr>
        <w:trPr>
          <w:trHeight w:val="234"/>
        </w:trPr>
        <w:tc>
          <w:tcPr>
            <w:tcW w:w="2080" w:type="dxa"/>
            <w:vAlign w:val="bottom"/>
            <w:tcBorders>
              <w:right w:val="single" w:sz="8" w:color="auto"/>
            </w:tcBorders>
          </w:tcPr>
          <w:p>
            <w:pPr>
              <w:spacing w:after="0"/>
              <w:rPr>
                <w:sz w:val="20"/>
                <w:szCs w:val="20"/>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value of $500,000.</w:t>
            </w:r>
          </w:p>
        </w:tc>
      </w:tr>
      <w:tr>
        <w:trPr>
          <w:trHeight w:val="414"/>
        </w:trPr>
        <w:tc>
          <w:tcPr>
            <w:tcW w:w="2080" w:type="dxa"/>
            <w:vAlign w:val="bottom"/>
            <w:tcBorders>
              <w:right w:val="single" w:sz="8" w:color="auto"/>
            </w:tcBorders>
          </w:tcPr>
          <w:p>
            <w:pPr>
              <w:spacing w:after="0"/>
              <w:rPr>
                <w:sz w:val="24"/>
                <w:szCs w:val="24"/>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Aramark’s current practice sets the value of these awards as</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follows:</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 time based non-qualified stock options, 50% performance</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units and 20% time based restricted stock units. Please</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 that Aramark reserves the right to modify such practice at</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time. The value of the time based non-qualified stock</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will be based on their Black Scholes value as</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determined by Aramark. The exercise price of the stock options</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 be equal to the fair market value of Aramark stock on the</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 of grant, as such fair market value is defined under the</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 Stock Incentive Plan. The value of the restricted stock</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units and performance stock units will be based on the fair</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 value of the restricted stock units and the target number</w:t>
            </w:r>
          </w:p>
        </w:tc>
      </w:tr>
      <w:tr>
        <w:trPr>
          <w:trHeight w:val="234"/>
        </w:trPr>
        <w:tc>
          <w:tcPr>
            <w:tcW w:w="2080" w:type="dxa"/>
            <w:vAlign w:val="bottom"/>
            <w:tcBorders>
              <w:right w:val="single" w:sz="8" w:color="auto"/>
            </w:tcBorders>
          </w:tcPr>
          <w:p>
            <w:pPr>
              <w:spacing w:after="0"/>
              <w:rPr>
                <w:sz w:val="20"/>
                <w:szCs w:val="20"/>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performance stock units.</w:t>
            </w:r>
          </w:p>
        </w:tc>
      </w:tr>
      <w:tr>
        <w:trPr>
          <w:trHeight w:val="414"/>
        </w:trPr>
        <w:tc>
          <w:tcPr>
            <w:tcW w:w="2080" w:type="dxa"/>
            <w:vAlign w:val="bottom"/>
            <w:tcBorders>
              <w:right w:val="single" w:sz="8" w:color="auto"/>
            </w:tcBorders>
          </w:tcPr>
          <w:p>
            <w:pPr>
              <w:spacing w:after="0"/>
              <w:rPr>
                <w:sz w:val="24"/>
                <w:szCs w:val="24"/>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stock options will generally vest over 4 years, 25% each</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The performance stock units have a vesting period of 3</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years, with the number of performance stock units that are</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eligible to vest determined based on achievement by Aramark</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applicable performance targets as provided in the</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stock unit award. The restricted stock units will</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generally vest over 4 years, 25% each year. The actual terms</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conditions of the stock options, performance stock units</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(including the performance targets) and restricted stock units,</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each case including the vesting terms, will be set forth in the</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award agreement and grant details for each such instrument that</w:t>
            </w:r>
          </w:p>
        </w:tc>
      </w:tr>
      <w:tr>
        <w:trPr>
          <w:trHeight w:val="234"/>
        </w:trPr>
        <w:tc>
          <w:tcPr>
            <w:tcW w:w="2080" w:type="dxa"/>
            <w:vAlign w:val="bottom"/>
            <w:tcBorders>
              <w:right w:val="single" w:sz="8" w:color="auto"/>
            </w:tcBorders>
          </w:tcPr>
          <w:p>
            <w:pPr>
              <w:spacing w:after="0"/>
              <w:rPr>
                <w:sz w:val="20"/>
                <w:szCs w:val="20"/>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 be provided to you electronically following the grant.</w:t>
            </w:r>
          </w:p>
        </w:tc>
      </w:tr>
      <w:tr>
        <w:trPr>
          <w:trHeight w:val="414"/>
        </w:trPr>
        <w:tc>
          <w:tcPr>
            <w:tcW w:w="2080" w:type="dxa"/>
            <w:vAlign w:val="bottom"/>
            <w:tcBorders>
              <w:right w:val="single" w:sz="8" w:color="auto"/>
            </w:tcBorders>
          </w:tcPr>
          <w:p>
            <w:pPr>
              <w:spacing w:after="0"/>
              <w:rPr>
                <w:sz w:val="24"/>
                <w:szCs w:val="24"/>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Your equity grants described above are subject to approval and</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generally will be granted around the time of a future quarterly</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and Human Resources Committee meeting</w:t>
            </w:r>
          </w:p>
        </w:tc>
      </w:tr>
      <w:tr>
        <w:trPr>
          <w:trHeight w:val="234"/>
        </w:trPr>
        <w:tc>
          <w:tcPr>
            <w:tcW w:w="2080" w:type="dxa"/>
            <w:vAlign w:val="bottom"/>
            <w:tcBorders>
              <w:right w:val="single" w:sz="8" w:color="auto"/>
            </w:tcBorders>
          </w:tcPr>
          <w:p>
            <w:pPr>
              <w:spacing w:after="0"/>
              <w:rPr>
                <w:sz w:val="20"/>
                <w:szCs w:val="20"/>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where awards are considered.</w:t>
            </w:r>
          </w:p>
        </w:tc>
      </w:tr>
      <w:tr>
        <w:trPr>
          <w:trHeight w:val="684"/>
        </w:trPr>
        <w:tc>
          <w:tcPr>
            <w:tcW w:w="2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You will continue to be eligible to participate in the standard</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Aramark Benefits Program, as well as the Benefits/Perquisites</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Programs in place for ELC members, which are subject to</w:t>
            </w:r>
          </w:p>
        </w:tc>
      </w:tr>
      <w:tr>
        <w:trPr>
          <w:trHeight w:val="234"/>
        </w:trPr>
        <w:tc>
          <w:tcPr>
            <w:tcW w:w="2080" w:type="dxa"/>
            <w:vAlign w:val="bottom"/>
            <w:tcBorders>
              <w:right w:val="single" w:sz="8" w:color="auto"/>
            </w:tcBorders>
          </w:tcPr>
          <w:p>
            <w:pPr>
              <w:spacing w:after="0"/>
              <w:rPr>
                <w:sz w:val="20"/>
                <w:szCs w:val="20"/>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from time to time.</w:t>
            </w:r>
          </w:p>
        </w:tc>
      </w:tr>
      <w:tr>
        <w:trPr>
          <w:trHeight w:val="468"/>
        </w:trPr>
        <w:tc>
          <w:tcPr>
            <w:tcW w:w="2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Auto Allowance:</w:t>
            </w: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You will be eligible to receive an auto allowance of $1,100 per</w:t>
            </w:r>
          </w:p>
        </w:tc>
      </w:tr>
      <w:tr>
        <w:trPr>
          <w:trHeight w:val="216"/>
        </w:trPr>
        <w:tc>
          <w:tcPr>
            <w:tcW w:w="2080" w:type="dxa"/>
            <w:vAlign w:val="bottom"/>
            <w:tcBorders>
              <w:right w:val="single" w:sz="8" w:color="auto"/>
            </w:tcBorders>
          </w:tcPr>
          <w:p>
            <w:pPr>
              <w:spacing w:after="0"/>
              <w:rPr>
                <w:sz w:val="18"/>
                <w:szCs w:val="18"/>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month. This amount is subject to all applicable withholding</w:t>
            </w:r>
          </w:p>
        </w:tc>
      </w:tr>
      <w:tr>
        <w:trPr>
          <w:trHeight w:val="234"/>
        </w:trPr>
        <w:tc>
          <w:tcPr>
            <w:tcW w:w="2080" w:type="dxa"/>
            <w:vAlign w:val="bottom"/>
            <w:tcBorders>
              <w:right w:val="single" w:sz="8" w:color="auto"/>
            </w:tcBorders>
          </w:tcPr>
          <w:p>
            <w:pPr>
              <w:spacing w:after="0"/>
              <w:rPr>
                <w:sz w:val="20"/>
                <w:szCs w:val="20"/>
                <w:color w:val="auto"/>
              </w:rPr>
            </w:pPr>
          </w:p>
        </w:tc>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is paid monthly and is not pro-rated.</w:t>
            </w:r>
          </w:p>
        </w:tc>
      </w:tr>
      <w:tr>
        <w:trPr>
          <w:trHeight w:val="156"/>
        </w:trPr>
        <w:tc>
          <w:tcPr>
            <w:tcW w:w="2080" w:type="dxa"/>
            <w:vAlign w:val="bottom"/>
            <w:tcBorders>
              <w:bottom w:val="single" w:sz="8" w:color="auto"/>
              <w:right w:val="single" w:sz="8" w:color="auto"/>
            </w:tcBorders>
          </w:tcPr>
          <w:p>
            <w:pPr>
              <w:spacing w:after="0"/>
              <w:rPr>
                <w:sz w:val="13"/>
                <w:szCs w:val="13"/>
                <w:color w:val="auto"/>
              </w:rPr>
            </w:pPr>
          </w:p>
        </w:tc>
        <w:tc>
          <w:tcPr>
            <w:tcW w:w="9340" w:type="dxa"/>
            <w:vAlign w:val="bottom"/>
            <w:tcBorders>
              <w:bottom w:val="single" w:sz="8" w:color="auto"/>
            </w:tcBorders>
          </w:tcPr>
          <w:p>
            <w:pPr>
              <w:spacing w:after="0"/>
              <w:rPr>
                <w:sz w:val="13"/>
                <w:szCs w:val="13"/>
                <w:color w:val="auto"/>
              </w:rPr>
            </w:pPr>
          </w:p>
        </w:tc>
      </w:tr>
    </w:tbl>
    <w:p>
      <w:pPr>
        <w:spacing w:after="0" w:line="9" w:lineRule="exact"/>
        <w:rPr>
          <w:sz w:val="20"/>
          <w:szCs w:val="20"/>
          <w:color w:val="auto"/>
        </w:rPr>
      </w:pPr>
    </w:p>
    <w:p>
      <w:pPr>
        <w:ind w:left="40" w:right="5020"/>
        <w:spacing w:after="0" w:line="261" w:lineRule="auto"/>
        <w:rPr>
          <w:sz w:val="20"/>
          <w:szCs w:val="20"/>
          <w:color w:val="auto"/>
        </w:rPr>
      </w:pPr>
      <w:r>
        <w:rPr>
          <w:rFonts w:ascii="Times New Roman" w:cs="Times New Roman" w:eastAsia="Times New Roman" w:hAnsi="Times New Roman"/>
          <w:sz w:val="18"/>
          <w:szCs w:val="18"/>
          <w:color w:val="auto"/>
        </w:rPr>
        <w:t>This offer letter, along with the agreements referenced herein, sets forth the entire understanding of the parties with respect to all aspects of the offer. Any and all previous agreements or understandings between or among the parties regarding the subject matter hereof, whether written or oral, are superseded by this offer letter.</w:t>
      </w:r>
    </w:p>
    <w:p>
      <w:pPr>
        <w:sectPr>
          <w:pgSz w:w="11900" w:h="16838" w:orient="portrait"/>
          <w:cols w:equalWidth="0" w:num="1">
            <w:col w:w="11420"/>
          </w:cols>
          <w:pgMar w:left="240" w:top="117" w:right="2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ARAMARK AGREEMENT RELATING TO EMPLOYMENT AND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POST-EMPLOYMENT COMPETITION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is between the undersigned individual (“Employee”) and Aramark.</w:t>
      </w:r>
    </w:p>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ind w:right="340" w:firstLine="648"/>
        <w:spacing w:after="0" w:line="295" w:lineRule="auto"/>
        <w:rPr>
          <w:sz w:val="20"/>
          <w:szCs w:val="20"/>
          <w:color w:val="auto"/>
        </w:rPr>
      </w:pPr>
      <w:r>
        <w:rPr>
          <w:rFonts w:ascii="Times New Roman" w:cs="Times New Roman" w:eastAsia="Times New Roman" w:hAnsi="Times New Roman"/>
          <w:sz w:val="21"/>
          <w:szCs w:val="21"/>
          <w:color w:val="auto"/>
        </w:rPr>
        <w:t>WHEREAS, Aramark is a leading provider of managed services to business and industry, private and public institutions, and the general public, in the following business groups: food and support services and uniform and career apparel;</w:t>
      </w:r>
    </w:p>
    <w:p>
      <w:pPr>
        <w:spacing w:after="0" w:line="13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WHEREAS, Aramark has a proprietary interest in its business and financial plans and systems, methods of operation and other secret and confidential information, knowledge and data (“Proprietary Information”) which includes, but is not limited to, all confidential, proprietary or non-public information, ideas and concepts; annual and strategic business plans; financial plans, reports and systems including, profit and loss statements, sales, accounting forms and procedures and other information regarding costs, pricing and the financial condition of Aramark and its business segments and groups; management development reviews, including information regarding the capabilities and experience of Aramark employees; intellectual property, including patents, inventions, discoveries, research and development, compounds, recipes, formulae, reports, protocols, computer software and databases; information regarding Aramark’s relationships with its clients, customers, and suppliers and prospective clients, partners, customers and suppliers; policy and procedure manuals, information regarding materials and documents in any form or medium (including oral, written, tangible, intangible, or electronic) concerning any of the above, or any past, current or future business activities of Aramark that is not publicly available; compensation, recruiting and training, and human resource policies and procedures; and data compilations, research, reports, structures, compounds, techniques, methods, processes, and know-how;</w:t>
      </w:r>
    </w:p>
    <w:p>
      <w:pPr>
        <w:spacing w:after="0" w:line="196"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WHEREAS, all such Proprietary Information is developed at great expense to Aramark and is considered by Aramark to be confidential trade secrets;</w:t>
      </w:r>
    </w:p>
    <w:p>
      <w:pPr>
        <w:spacing w:after="0" w:line="158" w:lineRule="exact"/>
        <w:rPr>
          <w:sz w:val="20"/>
          <w:szCs w:val="20"/>
          <w:color w:val="auto"/>
        </w:rPr>
      </w:pPr>
    </w:p>
    <w:p>
      <w:pPr>
        <w:ind w:right="240" w:firstLine="648"/>
        <w:spacing w:after="0" w:line="252" w:lineRule="auto"/>
        <w:rPr>
          <w:sz w:val="20"/>
          <w:szCs w:val="20"/>
          <w:color w:val="auto"/>
        </w:rPr>
      </w:pPr>
      <w:r>
        <w:rPr>
          <w:rFonts w:ascii="Times New Roman" w:cs="Times New Roman" w:eastAsia="Times New Roman" w:hAnsi="Times New Roman"/>
          <w:sz w:val="22"/>
          <w:szCs w:val="22"/>
          <w:color w:val="auto"/>
        </w:rPr>
        <w:t>WHEREAS, Employee, as Senior Vice President and General Counsel of Aramark, has access to Aramark’s Proprietary Information, directly in the course of Employee’s employment, and indirectly through interaction with and presentations by other Aramark senior managers at the Executive Leadership Institute, Executive Leadership Council meetings, Presidents’ Council meetings and the like;</w:t>
      </w:r>
    </w:p>
    <w:p>
      <w:pPr>
        <w:spacing w:after="0" w:line="180" w:lineRule="exact"/>
        <w:rPr>
          <w:sz w:val="20"/>
          <w:szCs w:val="20"/>
          <w:color w:val="auto"/>
        </w:rPr>
      </w:pPr>
    </w:p>
    <w:p>
      <w:pPr>
        <w:ind w:right="480" w:firstLine="648"/>
        <w:spacing w:after="0" w:line="257" w:lineRule="auto"/>
        <w:rPr>
          <w:sz w:val="20"/>
          <w:szCs w:val="20"/>
          <w:color w:val="auto"/>
        </w:rPr>
      </w:pPr>
      <w:r>
        <w:rPr>
          <w:rFonts w:ascii="Times New Roman" w:cs="Times New Roman" w:eastAsia="Times New Roman" w:hAnsi="Times New Roman"/>
          <w:sz w:val="22"/>
          <w:szCs w:val="22"/>
          <w:color w:val="auto"/>
        </w:rPr>
        <w:t>WHEREAS, Aramark from time to time introduces Employee to Aramark clients, customers, suppliers and others, and encourages, and provides resources for, Employee to develop professional relationships with Aramark’s clients, customers, suppliers and others;</w:t>
      </w:r>
    </w:p>
    <w:p>
      <w:pPr>
        <w:spacing w:after="0" w:line="173" w:lineRule="exact"/>
        <w:rPr>
          <w:sz w:val="20"/>
          <w:szCs w:val="20"/>
          <w:color w:val="auto"/>
        </w:rPr>
      </w:pPr>
    </w:p>
    <w:p>
      <w:pPr>
        <w:ind w:right="420" w:firstLine="648"/>
        <w:spacing w:after="0" w:line="295" w:lineRule="auto"/>
        <w:rPr>
          <w:sz w:val="20"/>
          <w:szCs w:val="20"/>
          <w:color w:val="auto"/>
        </w:rPr>
      </w:pPr>
      <w:r>
        <w:rPr>
          <w:rFonts w:ascii="Times New Roman" w:cs="Times New Roman" w:eastAsia="Times New Roman" w:hAnsi="Times New Roman"/>
          <w:sz w:val="21"/>
          <w:szCs w:val="21"/>
          <w:color w:val="auto"/>
        </w:rPr>
        <w:t>WHEREAS, Aramark provides specialized training and skills to Employee in connection with the performance of Employee’s duties at Aramark which training involves the disclosure by Aramark to Employee of Proprietary Information; and</w:t>
      </w:r>
    </w:p>
    <w:p>
      <w:pPr>
        <w:sectPr>
          <w:pgSz w:w="11900" w:h="16838" w:orient="portrait"/>
          <w:cols w:equalWidth="0" w:num="1">
            <w:col w:w="11420"/>
          </w:cols>
          <w:pgMar w:left="240" w:top="121" w:right="239" w:bottom="1440" w:gutter="0" w:footer="0" w:header="0"/>
        </w:sectPr>
      </w:pPr>
    </w:p>
    <w:bookmarkStart w:id="148" w:name="page149"/>
    <w:bookmarkEnd w:id="148"/>
    <w:p>
      <w:pPr>
        <w:ind w:left="1020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35" w:lineRule="exact"/>
        <w:rPr>
          <w:sz w:val="20"/>
          <w:szCs w:val="20"/>
          <w:color w:val="auto"/>
        </w:rPr>
      </w:pPr>
    </w:p>
    <w:p>
      <w:pPr>
        <w:jc w:val="both"/>
        <w:ind w:right="500" w:firstLine="648"/>
        <w:spacing w:after="0" w:line="257" w:lineRule="auto"/>
        <w:rPr>
          <w:sz w:val="20"/>
          <w:szCs w:val="20"/>
          <w:color w:val="auto"/>
        </w:rPr>
      </w:pPr>
      <w:r>
        <w:rPr>
          <w:rFonts w:ascii="Times New Roman" w:cs="Times New Roman" w:eastAsia="Times New Roman" w:hAnsi="Times New Roman"/>
          <w:sz w:val="22"/>
          <w:szCs w:val="22"/>
          <w:color w:val="auto"/>
        </w:rPr>
        <w:t>WHEREAS, Aramark will be vulnerable to unfair post-employment competition by Employee because Employee has access to and knowledge of Aramark’s Proprietary Information, has a personal relationship with Aramark’s clients, customers, suppliers and others, and generates good will which Employee acknowledges belongs to Aramark.</w:t>
      </w:r>
    </w:p>
    <w:p>
      <w:pPr>
        <w:spacing w:after="0" w:line="173"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color w:val="auto"/>
        </w:rPr>
        <w:t>NOW, THEREFORE, in consideration of Employee’s continued employment with Aramark, the opportunity to receive the grant of options to purchase common stock of Aramark from time to time, severance and other post-employment benefits provided for herein (including pursuant to Exhibit B hereto to which Employee acknowledges Employee is not otherwise entitled), and for other good and valuable consideration, the receipt and sufficiency of which are hereby acknowledged, Employee agrees to enter into this Agreement with Aramark as a condition of employment pursuant to which Aramark will limit Employee’s right to compete against Aramark during and following termination of employment on the terms set forth in this Agreement. Intending to be legally bound, the parties agree as follows: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NON-DISCLOSURE AND NON-DISPARAGEMENT</w:t>
      </w:r>
    </w:p>
    <w:p>
      <w:pPr>
        <w:spacing w:after="0" w:line="236" w:lineRule="exact"/>
        <w:rPr>
          <w:sz w:val="20"/>
          <w:szCs w:val="20"/>
          <w:color w:val="auto"/>
        </w:rPr>
      </w:pPr>
    </w:p>
    <w:p>
      <w:pPr>
        <w:ind w:right="260" w:firstLine="648"/>
        <w:spacing w:after="0" w:line="249" w:lineRule="auto"/>
        <w:rPr>
          <w:sz w:val="20"/>
          <w:szCs w:val="20"/>
          <w:color w:val="auto"/>
        </w:rPr>
      </w:pPr>
      <w:r>
        <w:rPr>
          <w:rFonts w:ascii="Times New Roman" w:cs="Times New Roman" w:eastAsia="Times New Roman" w:hAnsi="Times New Roman"/>
          <w:sz w:val="22"/>
          <w:szCs w:val="22"/>
          <w:color w:val="auto"/>
        </w:rPr>
        <w:t>Employee shall not, during or after termination of employment, directly or indirectly, in any manner utilize or disclose to any person, firm, corporation, association or other entity, except where required by law, any Proprietary Information which is not generally known to the public, or has not otherwise been disclosed or recognized as standard practice in the industries in which Aramark is engaged. Employee shall, during and after termination of employment, refrain from making any statements or comments of a defamatory or disparaging nature to any third party regarding Aramark, or any of Aramark’s officers, directors, personnel, policies or products, other than to comply with law.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NON-COMPETITION</w:t>
      </w:r>
    </w:p>
    <w:p>
      <w:pPr>
        <w:spacing w:after="0" w:line="209" w:lineRule="exact"/>
        <w:rPr>
          <w:sz w:val="20"/>
          <w:szCs w:val="20"/>
          <w:color w:val="auto"/>
        </w:rPr>
      </w:pPr>
    </w:p>
    <w:p>
      <w:pPr>
        <w:ind w:right="200" w:firstLine="656"/>
        <w:spacing w:after="0" w:line="210" w:lineRule="auto"/>
        <w:tabs>
          <w:tab w:leader="none" w:pos="150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Article 2.B. below, Employee, during Employee’s period of employment with Aramark, and for a period of two years following the voluntary or involuntary termination of employment, shall not, without Aramark’s written permission, which shall be granted or denied in Aramark’s sole discretion, directly or indirectly, associate with (including, but not limited to, association as a sole proprietor, owner, employer, partner, principal, investor, joint venturer, shareholder, associate, employee, member, consultant, contractor or otherwise), or acquire or maintain ownership interest in, any Business which is competitive with that conducted by or developed for later implementation by Aramark at any time during the term of Employee’s employment,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Employee’s employment is involuntarily terminated by Aramark for any reason other than Cause (as defined herein), or (ii) terminated by Employee for Good Reason (as defined in Exhibit B) at any time following a Change of Control (as defined in Exhibit B) occurring after the date of this Agreement, then the term of the non-competition provision set forth herein will be modified to be eighteen months following such termination of employment. For purposes of this Agreement, “Business” shall be defined as a person, corporation, firm, LLC, partnership, joint venture or other entity. Nothing in the foregoing shall</w:t>
      </w:r>
    </w:p>
    <w:p>
      <w:pPr>
        <w:sectPr>
          <w:pgSz w:w="11900" w:h="16838" w:orient="portrait"/>
          <w:cols w:equalWidth="0" w:num="1">
            <w:col w:w="11420"/>
          </w:cols>
          <w:pgMar w:left="240" w:top="122" w:right="239" w:bottom="1440" w:gutter="0" w:footer="0" w:header="0"/>
        </w:sectPr>
      </w:pPr>
    </w:p>
    <w:bookmarkStart w:id="149" w:name="page150"/>
    <w:bookmarkEnd w:id="149"/>
    <w:p>
      <w:pPr>
        <w:ind w:left="1020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prevent Employee from investing in a Business that is or becomes publicly traded, if Employee’s ownership is as a passive investor of less than 1% of the outstanding publicly traded stock of the Business.</w:t>
      </w:r>
    </w:p>
    <w:p>
      <w:pPr>
        <w:spacing w:after="0" w:line="191" w:lineRule="exact"/>
        <w:rPr>
          <w:sz w:val="20"/>
          <w:szCs w:val="20"/>
          <w:color w:val="auto"/>
        </w:rPr>
      </w:pPr>
    </w:p>
    <w:p>
      <w:pPr>
        <w:ind w:right="100" w:firstLine="656"/>
        <w:spacing w:after="0" w:line="220" w:lineRule="auto"/>
        <w:tabs>
          <w:tab w:leader="none" w:pos="149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set forth in Article 2.A above, shall apply to the full extent permitted by law (i) in all fifty states, and (ii) each foreign country, possession or territory in which Aramark may be engaged in, or have plans to engage in, business (x) during Employee’s period of employment, or (y) in the case of a termination of employment, as of the effective date of such termination or at any time during the twenty-four month period prior thereto.</w:t>
      </w:r>
    </w:p>
    <w:p>
      <w:pPr>
        <w:spacing w:after="0" w:line="193" w:lineRule="exact"/>
        <w:rPr>
          <w:rFonts w:ascii="Times New Roman" w:cs="Times New Roman" w:eastAsia="Times New Roman" w:hAnsi="Times New Roman"/>
          <w:sz w:val="22"/>
          <w:szCs w:val="22"/>
          <w:color w:val="auto"/>
        </w:rPr>
      </w:pPr>
    </w:p>
    <w:p>
      <w:pPr>
        <w:ind w:right="320" w:firstLine="656"/>
        <w:spacing w:after="0" w:line="215" w:lineRule="auto"/>
        <w:tabs>
          <w:tab w:leader="none" w:pos="149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these restrictions are reasonable and necessary to protect the business interests of Aramark, and that enforcement of the provisions set forth in this Article 2 will not unnecessarily or unreasonably impair Employee’s ability to obtain other employment following the termination (voluntary or involuntary) of Employee’s employment with Aramark. Further, Employee acknowledges that the provisions set forth in this Article 2 shall apply if Employee’s employment is involuntarily terminated by Aramark for Cause; as a result of the elimination of employee’s position; for performance-related issues; or for any other reason or no reason at all.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NON-SOLICITATION</w:t>
      </w:r>
    </w:p>
    <w:p>
      <w:pPr>
        <w:spacing w:after="0" w:line="236"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2"/>
          <w:szCs w:val="22"/>
          <w:color w:val="auto"/>
        </w:rPr>
        <w:t>During the period of Employee’s employment with Aramark and for a period of two years following the termination of Employee’s employment, regardless of the reason for termination, Employee shall not, directly or indirectly: (i) induce or encourage any employee of Aramark to leave the employ of Aramark, (ii) hire any individual who was an employee of Aramark as of the date of Employee’s termination of employment or within a six month period prior to such date, or (iii) induce or encourage any customer, client, supplier or other business relation of Aramark to cease or reduce doing business with Aramark or in any way interfere with the relationship between any such customer, client, supplier or other business relation and Aramark.</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DISCOVERIES AND WORKS</w:t>
      </w:r>
    </w:p>
    <w:p>
      <w:pPr>
        <w:spacing w:after="0" w:line="236"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auto"/>
        </w:rPr>
        <w:t>Employee hereby irrevocably assigns, transfers, and conveys to Aramark to the maximum extent permitted by applicable law Employee’s right, title and interest now or hereinafter acquired, in and to all Discoveries and Works (as defined below) created, invented, designed, developed, improved or contributed to by Employee, either alone or jointly with others, while employed by Aramark and within the scope of Employee’s employment and/or with the use of Aramark’s resources. The terms “Discoveries and Works” include all works of authorship, inventions, intellectual property, materials, documents, or other work product (including, without limitation, Proprietary Information, patents and patent applications, patentable inventions, research, reports, software, code, databases, systems, applications, presentations, textual works, graphics and audiovisual materials). Employee shall have the burden of proving that any materials or works created, invented, designed, developed, contributed to or improved by</w:t>
      </w:r>
    </w:p>
    <w:p>
      <w:pPr>
        <w:sectPr>
          <w:pgSz w:w="11900" w:h="16838" w:orient="portrait"/>
          <w:cols w:equalWidth="0" w:num="1">
            <w:col w:w="11420"/>
          </w:cols>
          <w:pgMar w:left="240" w:top="122" w:right="239" w:bottom="1440" w:gutter="0" w:footer="0" w:header="0"/>
        </w:sectPr>
      </w:pPr>
    </w:p>
    <w:bookmarkStart w:id="150" w:name="page151"/>
    <w:bookmarkEnd w:id="150"/>
    <w:p>
      <w:pPr>
        <w:ind w:left="1020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that are implicated by or relevant to employment by Aramark are not implicated by this provision. Employee agrees to</w:t>
      </w:r>
    </w:p>
    <w:p>
      <w:pPr>
        <w:spacing w:after="0" w:line="28" w:lineRule="exact"/>
        <w:rPr>
          <w:sz w:val="20"/>
          <w:szCs w:val="20"/>
          <w:color w:val="auto"/>
        </w:rPr>
      </w:pPr>
    </w:p>
    <w:p>
      <w:pPr>
        <w:ind w:right="40" w:firstLine="8"/>
        <w:spacing w:after="0" w:line="243" w:lineRule="auto"/>
        <w:tabs>
          <w:tab w:leader="none" w:pos="25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accurate records and promptly notify, make full disclosure to, and execute and deliver any documents and to take any further actions requested by Aramark to assist it in validating, effectuating, maintaining, protecting, enforcing, perfecting, recording, patenting or registering any of its rights hereunder, and (ii) renounce any and all claims, including, without limitation, claims of ownership and royalty, with respect to all Discoveries and Works and all other property owned or licensed by Aramark. Any Discoveries and Works that, within six months after the termination of Employee’s employment with Aramark, are made, disclosed, reduced to a tangible or written form or description, or are reduced to practice by Employee and which pertain to the business carried on or products or services being sold or developed by Aramark at the time of such termination shall, as between Employee and Aramark, be presumed to have been made during such employment with Aramark. Employee acknowledges that, to the fullest extent permitted by law, all Discoveries and Works shall be deemed “works made for hire” under the Copyright Act of 1976, as amended, 17 U.S.C. Section 101. Employee hereby grants Aramark a perpetual, nonexclusive, royalty-free, worldwide, assignable, sublicensable license under all rights and intellectual property rights (including patent, industrial property, copyright, trademark, trade secret, unfair competition and related laws) in any Works and Discoveries, for all purposes in connection with Aramark’s current and future business, that Employee has created, invented, designed, developed, improved or contributed to prior to Employee’s employment with Aramark that are relevant to or implicated by such employment (“Prior Works”). Any Prior Works are disclosed by Employee in Schedule 1.</w:t>
      </w:r>
    </w:p>
    <w:p>
      <w:pPr>
        <w:spacing w:after="0" w:line="19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u w:val="single" w:color="auto"/>
          <w:color w:val="auto"/>
        </w:rPr>
        <w:t>REMEDIES</w:t>
      </w:r>
    </w:p>
    <w:p>
      <w:pPr>
        <w:spacing w:after="0" w:line="236"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22"/>
          <w:szCs w:val="22"/>
          <w:color w:val="auto"/>
        </w:rPr>
        <w:t>Employee acknowledges that in the event of any violation by Employee of the provisions set forth in Articles 1, 2, 3 or 4 above, Aramark will sustain serious, irreparable and substantial harm to its business, the extent of which will be difficult to determine and impossible to fully remedy by an action at law for money damages. Accordingly, Employee agrees that, in the event of such violation or threatened violation by Employee, Aramark shall be entitled to an injunction before trial before any court of competent jurisdiction as a matter of course upon the posting of not more than a nominal bond, in addition to all such other legal and equitable remedies as may be available to Aramark. If Aramark is required to enforce the provisions set forth in Articles 2 and 3 above by seeking an injunction, Employee agrees that the relevant time periods set forth in Articles 2 and 3 shall commence with the entry of the injunction. Employee further agrees that, in the event any of the provisions of this Agreement are determined by a court of competent jurisdiction to be invalid, illegal, or for any reason unenforceable as written, such court shall substitute a valid provision which most closely approximates the intent and purpose of the invalid provision and which would be enforceable to the maximum extent permitted by law.</w:t>
      </w:r>
    </w:p>
    <w:p>
      <w:pPr>
        <w:sectPr>
          <w:pgSz w:w="11900" w:h="16838" w:orient="portrait"/>
          <w:cols w:equalWidth="0" w:num="1">
            <w:col w:w="11420"/>
          </w:cols>
          <w:pgMar w:left="240" w:top="122" w:right="2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POST-EMPLOYMENT BENEFITS</w:t>
      </w:r>
    </w:p>
    <w:p>
      <w:pPr>
        <w:spacing w:after="0" w:line="209" w:lineRule="exact"/>
        <w:rPr>
          <w:sz w:val="20"/>
          <w:szCs w:val="20"/>
          <w:color w:val="auto"/>
        </w:rPr>
      </w:pPr>
    </w:p>
    <w:p>
      <w:pPr>
        <w:ind w:right="80" w:firstLine="656"/>
        <w:spacing w:after="0" w:line="236" w:lineRule="auto"/>
        <w:tabs>
          <w:tab w:leader="none" w:pos="150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Employee’s employment is terminated by Aramark for any reason other than Cause, Employee shall be entitled to the following post-employment benefits:</w:t>
      </w:r>
    </w:p>
    <w:p>
      <w:pPr>
        <w:spacing w:after="0" w:line="187" w:lineRule="exact"/>
        <w:rPr>
          <w:rFonts w:ascii="Times New Roman" w:cs="Times New Roman" w:eastAsia="Times New Roman" w:hAnsi="Times New Roman"/>
          <w:sz w:val="22"/>
          <w:szCs w:val="22"/>
          <w:color w:val="auto"/>
        </w:rPr>
      </w:pPr>
    </w:p>
    <w:p>
      <w:pPr>
        <w:jc w:val="both"/>
        <w:ind w:firstLine="1305"/>
        <w:spacing w:after="0" w:line="221" w:lineRule="auto"/>
        <w:tabs>
          <w:tab w:leader="none" w:pos="2107"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Pay: </w:t>
      </w:r>
      <w:r>
        <w:rPr>
          <w:rFonts w:ascii="Times New Roman" w:cs="Times New Roman" w:eastAsia="Times New Roman" w:hAnsi="Times New Roman"/>
          <w:sz w:val="22"/>
          <w:szCs w:val="22"/>
          <w:color w:val="auto"/>
        </w:rPr>
        <w:t>Employee shall receive severance payments equivalent to Employee’s monthly base 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effective date of termination for eighteen (18) months. Severance payments shall commence with the Employee’s effective date of termination and shall be made in accordance with Aramark’s normal payroll cycle. The period during which Employee receives severance payments shall be referred to as the “Severance Pay Period.”</w:t>
      </w:r>
    </w:p>
    <w:p>
      <w:pPr>
        <w:spacing w:after="0" w:line="189" w:lineRule="exact"/>
        <w:rPr>
          <w:rFonts w:ascii="Times New Roman" w:cs="Times New Roman" w:eastAsia="Times New Roman" w:hAnsi="Times New Roman"/>
          <w:sz w:val="22"/>
          <w:szCs w:val="22"/>
          <w:b w:val="1"/>
          <w:bCs w:val="1"/>
          <w:color w:val="auto"/>
        </w:rPr>
      </w:pPr>
    </w:p>
    <w:p>
      <w:pPr>
        <w:ind w:left="2120" w:hanging="815"/>
        <w:spacing w:after="0"/>
        <w:tabs>
          <w:tab w:leader="none" w:pos="2120"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Post-Employment Benefits</w:t>
      </w:r>
    </w:p>
    <w:p>
      <w:pPr>
        <w:spacing w:after="0" w:line="223" w:lineRule="exact"/>
        <w:rPr>
          <w:rFonts w:ascii="Times New Roman" w:cs="Times New Roman" w:eastAsia="Times New Roman" w:hAnsi="Times New Roman"/>
          <w:sz w:val="22"/>
          <w:szCs w:val="22"/>
          <w:b w:val="1"/>
          <w:bCs w:val="1"/>
          <w:color w:val="auto"/>
        </w:rPr>
      </w:pPr>
    </w:p>
    <w:p>
      <w:pPr>
        <w:ind w:firstLine="1953"/>
        <w:spacing w:after="0" w:line="214" w:lineRule="auto"/>
        <w:tabs>
          <w:tab w:leader="none" w:pos="2743"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Basic Group medical and life insurance coverages shall continue under then prevailing terms during the Severance Pay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Employee becomes employed by a new employer during that period, continuing coverage from Aramark will become secondary to any coverage afforded by the new employer. Employee’s share of the premiums will be deducted from Employee’s severance payments. Basic Group medical coverage provided during such period shall be applied against Aramark’s obligation to continue group medical coverage under the Consolidated Omnibus Budget Reconciliation Act of 1985 (“COBRA”). Upon termination of basic group medical and life coverages, Employee may convert such coverages to individual policies to the extent allowable under the terms of the plans providing such coverages.</w:t>
      </w:r>
    </w:p>
    <w:p>
      <w:pPr>
        <w:spacing w:after="0" w:line="190" w:lineRule="exact"/>
        <w:rPr>
          <w:rFonts w:ascii="Times New Roman" w:cs="Times New Roman" w:eastAsia="Times New Roman" w:hAnsi="Times New Roman"/>
          <w:sz w:val="22"/>
          <w:szCs w:val="22"/>
          <w:color w:val="auto"/>
        </w:rPr>
      </w:pPr>
    </w:p>
    <w:p>
      <w:pPr>
        <w:ind w:right="20" w:firstLine="1953"/>
        <w:spacing w:after="0" w:line="214" w:lineRule="auto"/>
        <w:tabs>
          <w:tab w:leader="none" w:pos="2755"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termination, Aramark is providing Employee with a leased vehicle, then Aramark will continue to provide the leased vehicle through the Severance Pay Period under the same terms and conditions as in effect at the time of the Employee’s termination. At the expiration of the Severance Pay Period, Employee must return the leased vehicle to Aramark unless the Employee elects to purchase the vehicle in accordance with the Executive Leadership Council policy then in effect. If Employee is receiving a car allowance at the time of the Employee’s termination, such car allowance will continue to be paid through the Severance Pay Period. At the expiration of the Severance Pay Period, the Employee will cease being paid a car allowance.</w:t>
      </w:r>
    </w:p>
    <w:p>
      <w:pPr>
        <w:spacing w:after="0" w:line="190" w:lineRule="exact"/>
        <w:rPr>
          <w:rFonts w:ascii="Times New Roman" w:cs="Times New Roman" w:eastAsia="Times New Roman" w:hAnsi="Times New Roman"/>
          <w:sz w:val="22"/>
          <w:szCs w:val="22"/>
          <w:color w:val="auto"/>
        </w:rPr>
      </w:pPr>
    </w:p>
    <w:p>
      <w:pPr>
        <w:ind w:firstLine="1953"/>
        <w:spacing w:after="0" w:line="214" w:lineRule="auto"/>
        <w:tabs>
          <w:tab w:leader="none" w:pos="2743"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Employee’s eligibility to participate in all other benefit and compensation plans, including, but not limited to the Management Incentive Bonus, Long Term Disability, any nonqualified retirement plans, and any stock option or ownership plans, shall terminate as of the effective date of Employee’s termination unless provided otherwise under the terms of a particular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participation in plans and programs made available solely to Executive Leadership Council members, including, but not limited to the Executive Leadership Council Medical Plan, shall cease as of the effective date of termination or the date Employee’s Executive Leadership Committee membership ceases, whichever occurs first. Employee, however, shall have certain rights to continue the Executive Leadership Council Medical Plan under COBRA.</w:t>
      </w:r>
    </w:p>
    <w:p>
      <w:pPr>
        <w:sectPr>
          <w:pgSz w:w="11900" w:h="16838" w:orient="portrait"/>
          <w:cols w:equalWidth="0" w:num="1">
            <w:col w:w="11420"/>
          </w:cols>
          <w:pgMar w:left="240" w:top="121" w:right="2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197" w:lineRule="exact"/>
        <w:rPr>
          <w:sz w:val="20"/>
          <w:szCs w:val="20"/>
          <w:color w:val="auto"/>
        </w:rPr>
      </w:pPr>
    </w:p>
    <w:p>
      <w:pPr>
        <w:ind w:firstLine="656"/>
        <w:spacing w:after="0" w:line="214" w:lineRule="auto"/>
        <w:tabs>
          <w:tab w:leader="none" w:pos="149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for “Cause” shall be defined as termination of employment due to: (i) conviction or plea of guilty or nolo contendere to a felony, (ii) intentional fraud or dishonesty with respect to Aramark that causes material and demonstrable harm to Aramark, (iii) willful and continuous failure to perform lawfully assigned duties that are consistent with the Employee’s position with Aramark, (iv) willful violation of Aramark’s Business Conduct Policy that causes material harm to Aramark or its business reputation, or (v) intentionally working against the best interests of Aramark; in any case of conduct described in clause (ii)-(v), only if such conduct continues beyond ten business days after receipt by the Employee from Aramark of a written demand to cure such conduct.</w:t>
      </w:r>
    </w:p>
    <w:p>
      <w:pPr>
        <w:spacing w:after="0" w:line="190" w:lineRule="exact"/>
        <w:rPr>
          <w:rFonts w:ascii="Times New Roman" w:cs="Times New Roman" w:eastAsia="Times New Roman" w:hAnsi="Times New Roman"/>
          <w:sz w:val="22"/>
          <w:szCs w:val="22"/>
          <w:color w:val="auto"/>
        </w:rPr>
      </w:pPr>
    </w:p>
    <w:p>
      <w:pPr>
        <w:ind w:right="180" w:firstLine="656"/>
        <w:spacing w:after="0" w:line="236" w:lineRule="auto"/>
        <w:tabs>
          <w:tab w:leader="none" w:pos="149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is terminated by Aramark for reasons other than Cause, Employee will receive the severance payments and other post-employment benefits during the Severance Pay Period even if Employee commences other employment during such period provided such employment does not violate the terms of Article 2, and subject to the provisions of Article 6.E.</w:t>
      </w:r>
    </w:p>
    <w:p>
      <w:pPr>
        <w:spacing w:after="0" w:line="219"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anything else contained in this Article 6 to the contrary, Aramark may choose not to commence (or to discontinue) providing any payment or benefit unless and until Employee executes and delivers, without revocation, a release in form reasonably acceptable to Aramark, as described in Article 6.E within 60 days following Employee’s termination of employment;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subject to receipt of such executed release, Aramark shall commence providing such payments and benefits within 75 days following the date of termination of Employee’s employment.</w:t>
      </w:r>
    </w:p>
    <w:p>
      <w:pPr>
        <w:spacing w:after="0" w:line="154" w:lineRule="exact"/>
        <w:rPr>
          <w:sz w:val="20"/>
          <w:szCs w:val="20"/>
          <w:color w:val="auto"/>
        </w:rPr>
      </w:pPr>
    </w:p>
    <w:p>
      <w:pPr>
        <w:ind w:right="220" w:firstLine="656"/>
        <w:spacing w:after="0" w:line="226" w:lineRule="auto"/>
        <w:tabs>
          <w:tab w:leader="none" w:pos="150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remedies set forth in Article 5, Aramark reserves the right to terminate all severance payments and other post-employment benefits if Employee violates the covenants set forth in Articles 1, 2, 3 or 4 above in any material respect.</w:t>
      </w:r>
    </w:p>
    <w:p>
      <w:pPr>
        <w:spacing w:after="0" w:line="190" w:lineRule="exact"/>
        <w:rPr>
          <w:rFonts w:ascii="Times New Roman" w:cs="Times New Roman" w:eastAsia="Times New Roman" w:hAnsi="Times New Roman"/>
          <w:sz w:val="22"/>
          <w:szCs w:val="22"/>
          <w:color w:val="auto"/>
        </w:rPr>
      </w:pPr>
    </w:p>
    <w:p>
      <w:pPr>
        <w:ind w:right="240" w:firstLine="656"/>
        <w:spacing w:after="0" w:line="212" w:lineRule="auto"/>
        <w:tabs>
          <w:tab w:leader="none" w:pos="148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receipt of severance and other post-employment benefits under this Agreement is contingent on (i) Employee’s execution and non-revocation of a release in a form reasonably acceptable to Aramark, except that such release shall not include any claims by Employee to enforce Employee’s rights under, or with respect to, (1) this Agreement (including the attached Exhibit B), (2) the Certificate of Incorporation and By-laws of Aramark, (3) any indemnification agreement between the Employee and Aramark, (4) any Stockholders Agreement among Aramark and the holders party thereto (the “Stockholders Agreement”) and any other agreement referenced therein, or (5) any Aramark benefit plan pursuant to its terms, and (ii) the expiration of the applicable Age Discrimination in Employment Act revocation period without such release being revoked by Employee.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 OF EMPLOYMENT</w:t>
      </w:r>
    </w:p>
    <w:p>
      <w:pPr>
        <w:spacing w:after="0" w:line="4"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22"/>
          <w:szCs w:val="22"/>
          <w:color w:val="auto"/>
        </w:rPr>
        <w:t xml:space="preserve">Employee acknowledges that Aramark has the right to terminate Employee’s employment at any time for any reason whatsoever,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termination by Aramark for reasons other than Cause shall result in the severance and the post-employment benefits described in Article 6 above, to become due in accordance with the terms of this Agreement subject to the conditions set forth in this Agreement. Employee further acknowledges that the</w:t>
      </w:r>
    </w:p>
    <w:p>
      <w:pPr>
        <w:sectPr>
          <w:pgSz w:w="11900" w:h="16838" w:orient="portrait"/>
          <w:cols w:equalWidth="0" w:num="1">
            <w:col w:w="11420"/>
          </w:cols>
          <w:pgMar w:left="240" w:top="121" w:right="239" w:bottom="1440" w:gutter="0" w:footer="0" w:header="0"/>
        </w:sectPr>
      </w:pPr>
    </w:p>
    <w:bookmarkStart w:id="153" w:name="page154"/>
    <w:bookmarkEnd w:id="153"/>
    <w:p>
      <w:pPr>
        <w:ind w:left="1020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35"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22"/>
          <w:szCs w:val="22"/>
          <w:color w:val="auto"/>
        </w:rPr>
        <w:t>severance payments made and other benefits provided by Aramark are in full satisfaction of any obligations Aramark may have resulting from Aramark’s exercise of its right to terminate Employee’s employment, except for those obligations which are intended to survive termination such as the payments to be made pursuant to retirement plans, deferred compensation plans, conversion of insurance, and the plans and other documents and agreements referred to in Article 6.E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09" w:lineRule="exact"/>
        <w:rPr>
          <w:sz w:val="20"/>
          <w:szCs w:val="20"/>
          <w:color w:val="auto"/>
        </w:rPr>
      </w:pPr>
    </w:p>
    <w:p>
      <w:pPr>
        <w:ind w:right="360" w:firstLine="656"/>
        <w:spacing w:after="0" w:line="226" w:lineRule="auto"/>
        <w:tabs>
          <w:tab w:leader="none" w:pos="150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throughout this Agreement, “Aramark” includes Aramark and its subsidiaries and affiliates or any corporation, joint venture, or other entity in which Aramark or its subsidiaries or affiliates has an equity interest in excess of ten percent (10%).</w:t>
      </w:r>
    </w:p>
    <w:p>
      <w:pPr>
        <w:spacing w:after="0" w:line="190" w:lineRule="exact"/>
        <w:rPr>
          <w:rFonts w:ascii="Times New Roman" w:cs="Times New Roman" w:eastAsia="Times New Roman" w:hAnsi="Times New Roman"/>
          <w:sz w:val="22"/>
          <w:szCs w:val="22"/>
          <w:color w:val="auto"/>
        </w:rPr>
      </w:pPr>
    </w:p>
    <w:p>
      <w:pPr>
        <w:ind w:right="80" w:firstLine="656"/>
        <w:spacing w:after="0" w:line="214" w:lineRule="auto"/>
        <w:tabs>
          <w:tab w:leader="none" w:pos="14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Employee shall, after termination of employment for Good Reason by Employee or other than for Cause by Aramark, retain all rights to indemnification under applicable law or any agreement (including, without limitation, the Stockholders Agreement), or under Aramark’s or any parent corporation’s Certificate of Incorporation or By-Laws at a level that is at least as favorable to the Employee as that currently provided. In addition, the Company shall maintain Director’s and Officer’s liability insurance on behalf of Employee, at the level in effect immediately prior to such date of termination, for the three-year period following the date of termination, and throughout the period of any applicable statute of limitations.</w:t>
      </w:r>
    </w:p>
    <w:p>
      <w:pPr>
        <w:spacing w:after="0" w:line="190" w:lineRule="exact"/>
        <w:rPr>
          <w:rFonts w:ascii="Times New Roman" w:cs="Times New Roman" w:eastAsia="Times New Roman" w:hAnsi="Times New Roman"/>
          <w:sz w:val="22"/>
          <w:szCs w:val="22"/>
          <w:color w:val="auto"/>
        </w:rPr>
      </w:pPr>
    </w:p>
    <w:p>
      <w:pPr>
        <w:ind w:right="20" w:firstLine="656"/>
        <w:spacing w:after="0" w:line="208" w:lineRule="auto"/>
        <w:tabs>
          <w:tab w:leader="none" w:pos="14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it is reasonably determined by Aramark that, as a result of the deferred compensation tax rules under Section 409A of the Internal Revenue Code of 1986, as amended (and any related regulations or other pronouncements thereunder) (“</w:t>
      </w:r>
      <w:r>
        <w:rPr>
          <w:rFonts w:ascii="Times New Roman" w:cs="Times New Roman" w:eastAsia="Times New Roman" w:hAnsi="Times New Roman"/>
          <w:sz w:val="22"/>
          <w:szCs w:val="22"/>
          <w:u w:val="single" w:color="auto"/>
          <w:color w:val="auto"/>
        </w:rPr>
        <w:t>the Deferred Compensation Tax Rules</w:t>
      </w:r>
      <w:r>
        <w:rPr>
          <w:rFonts w:ascii="Times New Roman" w:cs="Times New Roman" w:eastAsia="Times New Roman" w:hAnsi="Times New Roman"/>
          <w:sz w:val="22"/>
          <w:szCs w:val="22"/>
          <w:color w:val="auto"/>
        </w:rPr>
        <w:t xml:space="preserve">”), any of the payments and benefits that Employee is entitled to under the terms of this Agreement (including under Exhibit B) may not be made at the time contemplated by the terms hereof or thereof, as the case may be, without causing Employee to be subject to tax under the Deferred Compensation Tax Rules, Aramark shall, in lieu of providing such payment or benefit when otherwise due under this Agreement, instead provide such payment or benefit on the first day on which such provision would not result in Employee incurring any tax liability under the Deferred Compensation Tax Rules; which day, if Employee is a “specified employee” within the meaning of the Deferred Compensation Tax Rules, shall be the first day of the seventh month following the date of Employee’s termination of employment (or the earliest date as is permitted under the Deferred Compensation Tax Rules, without any accelerated or additional tax);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to the extent that the amount of payments due under Article 6.A (or Exhibit B, as applicable) are not subject to the Deferred Compensation Tax Rules by virtue of the application of Treas. Reg. Sec. 1.409A-1(b)(9)(iii)(A), such payments may be made prior to the expiration of such six-month period. In addition, if the commencement of any payment or benefit provided under Article 6 that constitutes “deferred compensation” under the Deferred Compensation Tax Rules could, by application of the terms conditioning such payment or benefit upon the execution and non-revocation of a release set forth in Article 6, occur in one of two taxable years, then the commencement of such payment shall begin on the</w:t>
      </w:r>
    </w:p>
    <w:p>
      <w:pPr>
        <w:sectPr>
          <w:pgSz w:w="11900" w:h="16838" w:orient="portrait"/>
          <w:cols w:equalWidth="0" w:num="1">
            <w:col w:w="11420"/>
          </w:cols>
          <w:pgMar w:left="240" w:top="122" w:right="239" w:bottom="1440" w:gutter="0" w:footer="0" w:header="0"/>
        </w:sectPr>
      </w:pPr>
    </w:p>
    <w:bookmarkStart w:id="154" w:name="page155"/>
    <w:bookmarkEnd w:id="154"/>
    <w:p>
      <w:pPr>
        <w:ind w:left="1020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8" w:lineRule="exact"/>
        <w:rPr>
          <w:sz w:val="20"/>
          <w:szCs w:val="20"/>
          <w:color w:val="auto"/>
        </w:rPr>
      </w:pPr>
    </w:p>
    <w:p>
      <w:pPr>
        <w:ind w:right="40"/>
        <w:spacing w:after="0" w:line="207" w:lineRule="auto"/>
        <w:rPr>
          <w:sz w:val="20"/>
          <w:szCs w:val="20"/>
          <w:color w:val="auto"/>
        </w:rPr>
      </w:pPr>
      <w:r>
        <w:rPr>
          <w:rFonts w:ascii="Times New Roman" w:cs="Times New Roman" w:eastAsia="Times New Roman" w:hAnsi="Times New Roman"/>
          <w:sz w:val="22"/>
          <w:szCs w:val="22"/>
          <w:color w:val="auto"/>
        </w:rPr>
        <w:t xml:space="preserve">first payroll date occurring in January of such second taxable year. To the extent any reimbursements or in-kind benefits due to Employee under this Agreement constitute “deferred compensation” under the Deferred Compensation Tax Rules, any such reimbursements or in-kind benefits shall be paid to Employee in a manner consistent with Treas. Reg. Section 1.409A-3(i)(1)(iv). Additionally, to the extent that Employee’s receipt of any in-kind benefits from Aramark or its affiliates must be delayed pursuant to this Section due to Employee’s status as a “specified employee,” Employee may elect to instead purchase and receive such benefits during the period in which the provision of benefits would otherwise be delayed by paying the Aramark (or its affiliates) for the fair market value of such benefits (as determined by Aramark in good faith) during such period. Any amounts paid by Employee pursuant to the preceding sentence shall be reimbursed to Employee (with interest thereon) as described above on the date that is the first day of the seventh month following Employee’s separation from service. In the event that any payments or benefits that Aramark would otherwise be required to provide under this Agreement cannot be provided in the manner contemplated herein without subjecting Employee to tax under the Deferred Compensation Tax Rules, Aramark shall provide such intended payments or benefits to Employee in an alternative manner that conveys an equivalent economic benefit to Employee as soon as practicable as may otherwise be permitted under the Deferred Compensation Tax Rules. Without limiting the generality of the foregoing, Employee may notify Aramark if she believes that any provision of this Agreement (or of any award of compensation including equity compensation or benefits) would cause Employee to incur any additional tax under Section 409A and, if Aramark concurs with such belief after good faith review or Aramark independently makes such determination, Aramark shall, after consulting with Employee, use reasonable best efforts to reform such provision to comply with Section 409A through good faith modifications to the minimum extent reasonably appropriate to conform the Deferred Compensation Tax Rules;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Aramark nor any of its employees or representatives shall have any liability to Employee with respect thereto. For purposes of the Deferred Compensation Tax Rules, each payment made under this Agreement (including, without limitation, each installment payment due under Article 6.A and Exhibit B, as applicable) shall be designated as a “separate payment” within the meaning of the Deferred Compensation Tax Rules, and references herein to Employee’s “termination of employment” shall refer to Employee’s separation from service with Aramark and its affiliates within the meaning of the Deferred Compensation Tax Rules.</w:t>
      </w:r>
    </w:p>
    <w:p>
      <w:pPr>
        <w:spacing w:after="0" w:line="206" w:lineRule="exact"/>
        <w:rPr>
          <w:sz w:val="20"/>
          <w:szCs w:val="20"/>
          <w:color w:val="auto"/>
        </w:rPr>
      </w:pPr>
    </w:p>
    <w:p>
      <w:pPr>
        <w:ind w:right="20" w:firstLine="656"/>
        <w:spacing w:after="0" w:line="217" w:lineRule="auto"/>
        <w:tabs>
          <w:tab w:leader="none" w:pos="150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of Control as defined in the attached Exhibit B, the provisions of Exhibit B shall apply to Employee. Further, pursuant to the Deferred Compensation Tax Rules, Aramark, in its discretion, is permitted to accelerate the time and form of payments provided under the deferred compensation arrangement set forth in this Agreement (including Exhibit B), where the right to the payment arises due to a termination of the arrangement within the 30 days preceding or the 12 months following a change in control event (as defined in the Deferred Compensation Tax Rules).</w:t>
      </w:r>
    </w:p>
    <w:p>
      <w:pPr>
        <w:spacing w:after="0" w:line="193" w:lineRule="exact"/>
        <w:rPr>
          <w:rFonts w:ascii="Times New Roman" w:cs="Times New Roman" w:eastAsia="Times New Roman" w:hAnsi="Times New Roman"/>
          <w:sz w:val="22"/>
          <w:szCs w:val="22"/>
          <w:color w:val="auto"/>
        </w:rPr>
      </w:pPr>
    </w:p>
    <w:p>
      <w:pPr>
        <w:ind w:right="140" w:firstLine="656"/>
        <w:spacing w:after="0" w:line="220" w:lineRule="auto"/>
        <w:tabs>
          <w:tab w:leader="none" w:pos="148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Employee’s employment with Aramark terminates solely by reason of a transfer of stock or assets of, or a merger or other disposition of, a subsidiary of Aramark (whether direct or indirect), such termination shall not be deemed a termination of employment by Aramark for purposes of this Agreement, provided that Aramark requires the subsequent employer, by</w:t>
      </w:r>
    </w:p>
    <w:p>
      <w:pPr>
        <w:sectPr>
          <w:pgSz w:w="11900" w:h="16838" w:orient="portrait"/>
          <w:cols w:equalWidth="0" w:num="1">
            <w:col w:w="11420"/>
          </w:cols>
          <w:pgMar w:left="240" w:top="122" w:right="239" w:bottom="1440" w:gutter="0" w:footer="0" w:header="0"/>
        </w:sectPr>
      </w:pPr>
    </w:p>
    <w:bookmarkStart w:id="155" w:name="page156"/>
    <w:bookmarkEnd w:id="155"/>
    <w:p>
      <w:pPr>
        <w:ind w:left="1020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8" w:lineRule="exact"/>
        <w:rPr>
          <w:sz w:val="20"/>
          <w:szCs w:val="20"/>
          <w:color w:val="auto"/>
        </w:rPr>
      </w:pPr>
    </w:p>
    <w:p>
      <w:pPr>
        <w:ind w:right="280"/>
        <w:spacing w:after="0" w:line="227" w:lineRule="auto"/>
        <w:rPr>
          <w:sz w:val="20"/>
          <w:szCs w:val="20"/>
          <w:color w:val="auto"/>
        </w:rPr>
      </w:pPr>
      <w:r>
        <w:rPr>
          <w:rFonts w:ascii="Times New Roman" w:cs="Times New Roman" w:eastAsia="Times New Roman" w:hAnsi="Times New Roman"/>
          <w:sz w:val="21"/>
          <w:szCs w:val="21"/>
          <w:color w:val="auto"/>
        </w:rPr>
        <w:t>agreement, to expressly assume and agree to perform this Agreement in the same manner and to the same extent that Aramark would be required to perform it if no such transaction had taken place. In such case, Employee acknowledges and agrees that Aramark may assign this Agreement and Aramark’s rights hereunder, and particularly Articles 1, 2, 3 and 4, in its sole discretion and without advance approval by Employee. In such case, Employee agrees that Aramark may assign this Agreement and all references to “Aramark” contained in this Agreement shall thereafter be deemed to refer to the subsequent employer.</w:t>
      </w:r>
    </w:p>
    <w:p>
      <w:pPr>
        <w:spacing w:after="0" w:line="195" w:lineRule="exact"/>
        <w:rPr>
          <w:sz w:val="20"/>
          <w:szCs w:val="20"/>
          <w:color w:val="auto"/>
        </w:rPr>
      </w:pPr>
    </w:p>
    <w:p>
      <w:pPr>
        <w:ind w:right="780" w:firstLine="656"/>
        <w:spacing w:after="0" w:line="236" w:lineRule="auto"/>
        <w:tabs>
          <w:tab w:leader="none" w:pos="145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not be required to mitigate damages or the amount of any payment provided for under this Agreement by seeking other employment or otherwise.</w:t>
      </w:r>
    </w:p>
    <w:p>
      <w:pPr>
        <w:spacing w:after="0" w:line="191" w:lineRule="exact"/>
        <w:rPr>
          <w:rFonts w:ascii="Times New Roman" w:cs="Times New Roman" w:eastAsia="Times New Roman" w:hAnsi="Times New Roman"/>
          <w:sz w:val="22"/>
          <w:szCs w:val="22"/>
          <w:color w:val="auto"/>
        </w:rPr>
      </w:pPr>
    </w:p>
    <w:p>
      <w:pPr>
        <w:ind w:right="760" w:firstLine="656"/>
        <w:spacing w:after="0" w:line="236" w:lineRule="auto"/>
        <w:tabs>
          <w:tab w:leader="none" w:pos="150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supersede and substitute for any previous post-employment or severance agreement between Employee and Aramark.</w:t>
      </w:r>
    </w:p>
    <w:p>
      <w:pPr>
        <w:spacing w:after="0" w:line="191" w:lineRule="exact"/>
        <w:rPr>
          <w:rFonts w:ascii="Times New Roman" w:cs="Times New Roman" w:eastAsia="Times New Roman" w:hAnsi="Times New Roman"/>
          <w:sz w:val="22"/>
          <w:szCs w:val="22"/>
          <w:color w:val="auto"/>
        </w:rPr>
      </w:pPr>
    </w:p>
    <w:p>
      <w:pPr>
        <w:ind w:right="380" w:firstLine="656"/>
        <w:spacing w:after="0" w:line="226" w:lineRule="auto"/>
        <w:tabs>
          <w:tab w:leader="none" w:pos="150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one or more of the provisions of this Agreement shall be or become invalid, illegal or unenforceable in any respect, the validity, legality and enforceability of the remaining provisions of this Agreement shall not be affected thereby.</w:t>
      </w:r>
    </w:p>
    <w:p>
      <w:pPr>
        <w:spacing w:after="0" w:line="190" w:lineRule="exact"/>
        <w:rPr>
          <w:rFonts w:ascii="Times New Roman" w:cs="Times New Roman" w:eastAsia="Times New Roman" w:hAnsi="Times New Roman"/>
          <w:sz w:val="22"/>
          <w:szCs w:val="22"/>
          <w:color w:val="auto"/>
        </w:rPr>
      </w:pPr>
    </w:p>
    <w:p>
      <w:pPr>
        <w:ind w:right="80" w:firstLine="656"/>
        <w:spacing w:after="0" w:line="214" w:lineRule="auto"/>
        <w:tabs>
          <w:tab w:leader="none" w:pos="142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this Agreement shall be governed by the laws of the Commonwealth of Pennsylvania, without regard to conflicts of laws principles thereof. For purposes of any action or proceeding, Employee irrevocably submits to the non-exclusive jurisdiction of the courts of Pennsylvania and the courts of the United States of America located in Pennsylvania for the purpose of any judicial proceeding arising out of or relating to this Agreement, and acknowledges that the designated </w:t>
      </w:r>
      <w:r>
        <w:rPr>
          <w:rFonts w:ascii="Times New Roman" w:cs="Times New Roman" w:eastAsia="Times New Roman" w:hAnsi="Times New Roman"/>
          <w:sz w:val="22"/>
          <w:szCs w:val="22"/>
          <w:i w:val="1"/>
          <w:iCs w:val="1"/>
          <w:color w:val="auto"/>
        </w:rPr>
        <w:t>fora</w:t>
      </w:r>
      <w:r>
        <w:rPr>
          <w:rFonts w:ascii="Times New Roman" w:cs="Times New Roman" w:eastAsia="Times New Roman" w:hAnsi="Times New Roman"/>
          <w:sz w:val="22"/>
          <w:szCs w:val="22"/>
          <w:color w:val="auto"/>
        </w:rPr>
        <w:t xml:space="preserve"> have a reasonable relation to the Agreement and to the parties’ relationship with one another. Notwithstanding the provisions of this Article 8.I, Aramark may, in its discretion, bring an action or special proceeding in any court of competent jurisdiction for the purpose of seeking temporary or preliminary relief pending resolution of a dispute.</w:t>
      </w:r>
    </w:p>
    <w:p>
      <w:pPr>
        <w:spacing w:after="0" w:line="190" w:lineRule="exact"/>
        <w:rPr>
          <w:rFonts w:ascii="Times New Roman" w:cs="Times New Roman" w:eastAsia="Times New Roman" w:hAnsi="Times New Roman"/>
          <w:sz w:val="22"/>
          <w:szCs w:val="22"/>
          <w:color w:val="auto"/>
        </w:rPr>
      </w:pPr>
    </w:p>
    <w:p>
      <w:pPr>
        <w:ind w:firstLine="656"/>
        <w:spacing w:after="0" w:line="214" w:lineRule="auto"/>
        <w:tabs>
          <w:tab w:leader="none" w:pos="143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expressly consents to the application of Article 8.I to any judicial action or proceeding arising out of or relating to this Agreement. Aramark shall have the right to serve legal process upon Employee in any manner permitted by law. In addition, Employee irrevocably appoints the Executive Vice President, Human Resources of Aramark (or any successor) as Employee’s agent for service of legal process in connection with any such action or proceeding and Employee agrees that service of legal process upon such agent, who shall promptly advise Employee of any such service of legal process at the address of Employee then in the records of Aramark, shall be deemed in every respect effective service of legal process upon Employee in any such action or proceeding.</w:t>
      </w:r>
    </w:p>
    <w:p>
      <w:pPr>
        <w:spacing w:after="0" w:line="190" w:lineRule="exact"/>
        <w:rPr>
          <w:rFonts w:ascii="Times New Roman" w:cs="Times New Roman" w:eastAsia="Times New Roman" w:hAnsi="Times New Roman"/>
          <w:sz w:val="22"/>
          <w:szCs w:val="22"/>
          <w:color w:val="auto"/>
        </w:rPr>
      </w:pPr>
    </w:p>
    <w:p>
      <w:pPr>
        <w:ind w:right="100" w:firstLine="656"/>
        <w:spacing w:after="0" w:line="226" w:lineRule="auto"/>
        <w:tabs>
          <w:tab w:leader="none" w:pos="150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hereby waives, to the fullest extent permitted by applicable law, any objection that Employee now or hereafter may have to personal jurisdiction or to the laying of venue of any action or proceeding brought in any court referenced in Article 8.I and hereby agrees not to plead or claim the same.</w:t>
      </w:r>
    </w:p>
    <w:p>
      <w:pPr>
        <w:sectPr>
          <w:pgSz w:w="11900" w:h="16838" w:orient="portrait"/>
          <w:cols w:equalWidth="0" w:num="1">
            <w:col w:w="11420"/>
          </w:cols>
          <w:pgMar w:left="240" w:top="122" w:right="2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197" w:lineRule="exact"/>
        <w:rPr>
          <w:sz w:val="20"/>
          <w:szCs w:val="20"/>
          <w:color w:val="auto"/>
        </w:rPr>
      </w:pPr>
    </w:p>
    <w:p>
      <w:pPr>
        <w:ind w:right="400" w:firstLine="656"/>
        <w:spacing w:after="0" w:line="236" w:lineRule="auto"/>
        <w:tabs>
          <w:tab w:leader="none" w:pos="148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Aramark may, to the extent required by law, withhold applicable federal, state and local income and other taxes from any payments due to Employee hereunder.</w:t>
      </w:r>
    </w:p>
    <w:p>
      <w:pPr>
        <w:spacing w:after="0" w:line="191"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and Aramark acknowledge that for purposes of Article 6, Employee’s last hire date with Aramark is [ ].</w:t>
      </w:r>
    </w:p>
    <w:p>
      <w:pPr>
        <w:spacing w:after="0" w:line="231" w:lineRule="exact"/>
        <w:rPr>
          <w:rFonts w:ascii="Times New Roman" w:cs="Times New Roman" w:eastAsia="Times New Roman" w:hAnsi="Times New Roman"/>
          <w:sz w:val="21"/>
          <w:szCs w:val="21"/>
          <w:color w:val="auto"/>
        </w:rPr>
      </w:pPr>
    </w:p>
    <w:p>
      <w:pPr>
        <w:ind w:firstLine="656"/>
        <w:spacing w:after="0" w:line="226" w:lineRule="auto"/>
        <w:tabs>
          <w:tab w:leader="none" w:pos="150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Employee expressly acknowledges and agrees that the </w:t>
      </w:r>
      <w:r>
        <w:rPr>
          <w:rFonts w:ascii="Times New Roman" w:cs="Times New Roman" w:eastAsia="Times New Roman" w:hAnsi="Times New Roman"/>
          <w:sz w:val="22"/>
          <w:szCs w:val="22"/>
          <w:u w:val="single" w:color="auto"/>
          <w:color w:val="auto"/>
        </w:rPr>
        <w:t>Incentive Compensation Recoupment Policy</w:t>
      </w:r>
      <w:r>
        <w:rPr>
          <w:rFonts w:ascii="Times New Roman" w:cs="Times New Roman" w:eastAsia="Times New Roman" w:hAnsi="Times New Roman"/>
          <w:sz w:val="22"/>
          <w:szCs w:val="22"/>
          <w:color w:val="auto"/>
        </w:rPr>
        <w:t xml:space="preserve"> set forth in Exhibit to this Agreement, as the same may be amended from time to time, is binding on Employee and that Employee is a Covered Employee as defined in that policy</w:t>
      </w:r>
    </w:p>
    <w:p>
      <w:pPr>
        <w:spacing w:after="0" w:line="190" w:lineRule="exact"/>
        <w:rPr>
          <w:rFonts w:ascii="Times New Roman" w:cs="Times New Roman" w:eastAsia="Times New Roman" w:hAnsi="Times New Roman"/>
          <w:sz w:val="22"/>
          <w:szCs w:val="22"/>
          <w:color w:val="auto"/>
        </w:rPr>
      </w:pPr>
    </w:p>
    <w:p>
      <w:pPr>
        <w:ind w:right="80" w:firstLine="656"/>
        <w:spacing w:after="0" w:line="220" w:lineRule="auto"/>
        <w:tabs>
          <w:tab w:leader="none" w:pos="150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inure to the benefit of and be enforceable by Aramark and Employee, and their respective heirs, legal representatives, successors and assigns. Employee acknowledges and agrees that this Agreement, including its provisions on post-employment restrictions, is specifically assignable by Aramark. Employee hereby consents to such future assignment and agrees not to challenge the validity of such future assignment.</w:t>
      </w:r>
    </w:p>
    <w:p>
      <w:pPr>
        <w:spacing w:after="0" w:line="220"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and intending to be legally bound, the parties hereto have caused this Agreement to be signed this 25th date of August, 2019.</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Lauren Harrington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Lauren Harrington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ARAMARK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Lynn B. McKee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Lynn B. McKee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Vice President, Human Resources</w:t>
      </w:r>
    </w:p>
    <w:p>
      <w:pPr>
        <w:sectPr>
          <w:pgSz w:w="11900" w:h="16838" w:orient="portrait"/>
          <w:cols w:equalWidth="0" w:num="1">
            <w:col w:w="11420"/>
          </w:cols>
          <w:pgMar w:left="240" w:top="122" w:right="2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w:t>
      </w:r>
    </w:p>
    <w:p>
      <w:pPr>
        <w:spacing w:after="0" w:line="22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1"/>
          <w:szCs w:val="21"/>
          <w:b w:val="1"/>
          <w:bCs w:val="1"/>
          <w:color w:val="auto"/>
        </w:rPr>
        <w:t>Prior Works</w:t>
      </w:r>
    </w:p>
    <w:p>
      <w:pPr>
        <w:sectPr>
          <w:pgSz w:w="11900" w:h="16838" w:orient="portrait"/>
          <w:cols w:equalWidth="0" w:num="1">
            <w:col w:w="10220"/>
          </w:cols>
          <w:pgMar w:left="1440" w:top="121" w:right="2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200" w:lineRule="exact"/>
        <w:rPr>
          <w:sz w:val="20"/>
          <w:szCs w:val="20"/>
          <w:color w:val="auto"/>
        </w:rPr>
      </w:pPr>
    </w:p>
    <w:p>
      <w:pPr>
        <w:spacing w:after="0" w:line="27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Aramark</w:t>
      </w:r>
    </w:p>
    <w:p>
      <w:pPr>
        <w:spacing w:after="0" w:line="22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1"/>
          <w:szCs w:val="21"/>
          <w:b w:val="1"/>
          <w:bCs w:val="1"/>
          <w:u w:val="single" w:color="auto"/>
          <w:color w:val="auto"/>
        </w:rPr>
        <w:t>Incentive Compensation Recoupment Policy</w:t>
      </w:r>
    </w:p>
    <w:p>
      <w:pPr>
        <w:spacing w:after="0" w:line="23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i w:val="1"/>
          <w:iCs w:val="1"/>
          <w:color w:val="auto"/>
        </w:rPr>
        <w:t>[to be attached upon delivery]</w:t>
      </w:r>
    </w:p>
    <w:p>
      <w:pPr>
        <w:sectPr>
          <w:pgSz w:w="11900" w:h="16838" w:orient="portrait"/>
          <w:cols w:equalWidth="0" w:num="1">
            <w:col w:w="10220"/>
          </w:cols>
          <w:pgMar w:left="1440" w:top="122" w:right="2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 PROTECTION PROVISIONS</w:t>
      </w:r>
    </w:p>
    <w:p>
      <w:pPr>
        <w:spacing w:after="0" w:line="224" w:lineRule="exact"/>
        <w:rPr>
          <w:sz w:val="20"/>
          <w:szCs w:val="20"/>
          <w:color w:val="auto"/>
        </w:rPr>
      </w:pPr>
    </w:p>
    <w:p>
      <w:pPr>
        <w:ind w:right="700" w:firstLine="648"/>
        <w:spacing w:after="0" w:line="271" w:lineRule="auto"/>
        <w:rPr>
          <w:sz w:val="20"/>
          <w:szCs w:val="20"/>
          <w:color w:val="auto"/>
        </w:rPr>
      </w:pPr>
      <w:r>
        <w:rPr>
          <w:rFonts w:ascii="Times New Roman" w:cs="Times New Roman" w:eastAsia="Times New Roman" w:hAnsi="Times New Roman"/>
          <w:sz w:val="22"/>
          <w:szCs w:val="22"/>
          <w:color w:val="auto"/>
        </w:rPr>
        <w:t>This is an Exhibit B to, and forms a part of, the Aramark Agreement Relating to Employment and Post-Employment Competition between Lauren Harrington (the “Executive”) and Aramark.</w:t>
      </w:r>
    </w:p>
    <w:p>
      <w:pPr>
        <w:spacing w:after="0" w:line="131" w:lineRule="exact"/>
        <w:rPr>
          <w:sz w:val="20"/>
          <w:szCs w:val="20"/>
          <w:color w:val="auto"/>
        </w:rPr>
      </w:pPr>
    </w:p>
    <w:p>
      <w:pPr>
        <w:ind w:left="2120" w:hanging="815"/>
        <w:spacing w:after="0"/>
        <w:tabs>
          <w:tab w:leader="none" w:pos="21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p>
    <w:p>
      <w:pPr>
        <w:spacing w:after="0" w:line="14"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22"/>
          <w:szCs w:val="22"/>
          <w:color w:val="auto"/>
        </w:rPr>
        <w:t>Unless otherwise indicated, capitalized terms used in this Exhibit which are defined in Schedule A shall have the meanings set forth in Schedule A.</w:t>
      </w:r>
    </w:p>
    <w:p>
      <w:pPr>
        <w:spacing w:after="0" w:line="155" w:lineRule="exact"/>
        <w:rPr>
          <w:sz w:val="20"/>
          <w:szCs w:val="20"/>
          <w:color w:val="auto"/>
        </w:rPr>
      </w:pPr>
    </w:p>
    <w:p>
      <w:pPr>
        <w:ind w:left="2120" w:hanging="815"/>
        <w:spacing w:after="0"/>
        <w:tabs>
          <w:tab w:leader="none" w:pos="21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Term</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both"/>
        <w:ind w:right="200" w:firstLine="648"/>
        <w:spacing w:after="0" w:line="246" w:lineRule="auto"/>
        <w:rPr>
          <w:sz w:val="20"/>
          <w:szCs w:val="20"/>
          <w:color w:val="auto"/>
        </w:rPr>
      </w:pPr>
      <w:r>
        <w:rPr>
          <w:rFonts w:ascii="Times New Roman" w:cs="Times New Roman" w:eastAsia="Times New Roman" w:hAnsi="Times New Roman"/>
          <w:sz w:val="22"/>
          <w:szCs w:val="22"/>
          <w:color w:val="auto"/>
        </w:rPr>
        <w:t>This Exhibit shall be effective as of the 25th date of August, 2019 (the “Effective Date) and shall remain in effect until the later of three years following a Change of Control and the date that all of the Company’s obligations under this Exhibit have been satisfied in full.</w:t>
      </w:r>
    </w:p>
    <w:p>
      <w:pPr>
        <w:spacing w:after="0" w:line="157" w:lineRule="exact"/>
        <w:rPr>
          <w:sz w:val="20"/>
          <w:szCs w:val="20"/>
          <w:color w:val="auto"/>
        </w:rPr>
      </w:pPr>
    </w:p>
    <w:p>
      <w:pPr>
        <w:ind w:left="2120" w:hanging="815"/>
        <w:spacing w:after="0"/>
        <w:tabs>
          <w:tab w:leader="none" w:pos="21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 Benefits</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2"/>
          <w:szCs w:val="22"/>
          <w:color w:val="auto"/>
        </w:rPr>
        <w:t>If Executive’s employment with the Company is terminated at any time within the two years following a Change of Control by the Company without Cause, or by Executive for Good Reason (the effective date of either such termination hereafter referred to as the “Termination Date”), Executive shall be entitled to the payments and benefits provided hereafter in this Section 3 and as set forth in this Exhibit. If Executive’s employment by the Company is terminated prior to a Change of Control by the Company (i) at the request of a party (other than the Company) involved in the Change of Control or (ii) otherwise in connection with or in anticipation of a Change of Control that subsequently occurs, Executive shall be entitled to the benefits provided hereafter in this Section 3 and as set forth in this Exhibit, and Executive’s Termination Date shall be deemed to have occurred immediately following the Change of Control. Payment of benefits under this Exhibit shall be in lieu of any benefits payable under the Aramark Agreement relating to Employment and Post-Employment Competition of which this Exhibit is a part, except as provided in Section 3(b) hereof. Notice of termination without Cause or for Good Reason shall be given in accordance with Section 13, and shall indicate the specific termination provision hereunder relied upon, the relevant facts and circumstances and the Termination Date.</w:t>
      </w:r>
    </w:p>
    <w:p>
      <w:pPr>
        <w:spacing w:after="0" w:line="171" w:lineRule="exact"/>
        <w:rPr>
          <w:sz w:val="20"/>
          <w:szCs w:val="20"/>
          <w:color w:val="auto"/>
        </w:rPr>
      </w:pPr>
    </w:p>
    <w:p>
      <w:pPr>
        <w:ind w:left="2760" w:hanging="807"/>
        <w:spacing w:after="0"/>
        <w:tabs>
          <w:tab w:leader="none" w:pos="2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Payments</w:t>
      </w:r>
      <w:r>
        <w:rPr>
          <w:rFonts w:ascii="Times New Roman" w:cs="Times New Roman" w:eastAsia="Times New Roman" w:hAnsi="Times New Roman"/>
          <w:sz w:val="22"/>
          <w:szCs w:val="22"/>
          <w:color w:val="auto"/>
        </w:rPr>
        <w:t>. The Company shall pay Executive cash benefits equal to:</w:t>
      </w:r>
    </w:p>
    <w:p>
      <w:pPr>
        <w:spacing w:after="0" w:line="220" w:lineRule="exact"/>
        <w:rPr>
          <w:sz w:val="20"/>
          <w:szCs w:val="20"/>
          <w:color w:val="auto"/>
        </w:rPr>
      </w:pPr>
    </w:p>
    <w:p>
      <w:pPr>
        <w:ind w:right="420" w:firstLine="1953"/>
        <w:spacing w:after="0" w:line="220" w:lineRule="auto"/>
        <w:tabs>
          <w:tab w:leader="none" w:pos="284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two times Executive’s Base Salary in effect on the date of the Change of Control or the Termination Date, whichever is higher;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reduction of the Base Salary has occurred, then the Base Salary on either date shall be as in effect immediately prior to such reduction, payable in regular installments at such times as would otherwise be the Company’s usual payroll practice over a period of two years; and</w:t>
      </w:r>
    </w:p>
    <w:p>
      <w:pPr>
        <w:sectPr>
          <w:pgSz w:w="11900" w:h="16838" w:orient="portrait"/>
          <w:cols w:equalWidth="0" w:num="1">
            <w:col w:w="11420"/>
          </w:cols>
          <w:pgMar w:left="240" w:top="122" w:right="2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197" w:lineRule="exact"/>
        <w:rPr>
          <w:sz w:val="20"/>
          <w:szCs w:val="20"/>
          <w:color w:val="auto"/>
        </w:rPr>
      </w:pPr>
    </w:p>
    <w:p>
      <w:pPr>
        <w:ind w:right="340" w:firstLine="1953"/>
        <w:spacing w:after="0" w:line="217" w:lineRule="auto"/>
        <w:tabs>
          <w:tab w:leader="none" w:pos="2845"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higher of: (A) two times Executive’s Target Bonus in effect on the date of the Change of Control or the Termination Date, whichever is greater; or (B) two times Executive’s most recent actual annual bonus, payable in either case ratably in regular installments at the same time as payments are made to Executive under Section 3(a)(1)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reduction of the Target Bonus has occurred, then the Target Bonus on either date shall be as in effect immediately prior to such reduction; and</w:t>
      </w:r>
    </w:p>
    <w:p>
      <w:pPr>
        <w:spacing w:after="0" w:line="193" w:lineRule="exact"/>
        <w:rPr>
          <w:rFonts w:ascii="Times New Roman" w:cs="Times New Roman" w:eastAsia="Times New Roman" w:hAnsi="Times New Roman"/>
          <w:sz w:val="22"/>
          <w:szCs w:val="22"/>
          <w:color w:val="auto"/>
        </w:rPr>
      </w:pPr>
    </w:p>
    <w:p>
      <w:pPr>
        <w:ind w:right="160" w:firstLine="1953"/>
        <w:spacing w:after="0" w:line="220" w:lineRule="auto"/>
        <w:tabs>
          <w:tab w:leader="none" w:pos="2845"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Target Bonus (as determined in (2), above) multiplied by a fraction, the numerator of which shall equal the number of days Executive was employed by the Company in the Company fiscal year in which the Termination Date occurs and the denominator of which shall equal 365, payable as a cash lump sum within forty days after the Termination Date.</w:t>
      </w:r>
    </w:p>
    <w:p>
      <w:pPr>
        <w:spacing w:after="0" w:line="193" w:lineRule="exact"/>
        <w:rPr>
          <w:rFonts w:ascii="Times New Roman" w:cs="Times New Roman" w:eastAsia="Times New Roman" w:hAnsi="Times New Roman"/>
          <w:sz w:val="22"/>
          <w:szCs w:val="22"/>
          <w:color w:val="auto"/>
        </w:rPr>
      </w:pPr>
    </w:p>
    <w:p>
      <w:pPr>
        <w:ind w:right="20" w:firstLine="1305"/>
        <w:spacing w:after="0" w:line="214" w:lineRule="auto"/>
        <w:tabs>
          <w:tab w:leader="none" w:pos="210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Continuation of Benefits</w:t>
      </w:r>
      <w:r>
        <w:rPr>
          <w:rFonts w:ascii="Times New Roman" w:cs="Times New Roman" w:eastAsia="Times New Roman" w:hAnsi="Times New Roman"/>
          <w:sz w:val="22"/>
          <w:szCs w:val="22"/>
          <w:color w:val="auto"/>
        </w:rPr>
        <w:t xml:space="preserve">. Until the second anniversary of the Termination Date, the Company shall at its expense provide Executive and Executive’s spouse and dependents with medical, life insurance and disability coverages at the level provided to Executive immediately prior to the Change of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Executive becomes employed by a new employer, continuing coverage from the Company will become secondary to any coverage afforded by the new employer. The Company shall also provide the benefits described in Article 6.A.2.b of the Management Committee Agreement (as defined in Section 8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benefits shall continue until the second anniversary of the Termination Date (instead of the “Severance Pay Period” as defined in the Management Committee Agreement).</w:t>
      </w:r>
    </w:p>
    <w:p>
      <w:pPr>
        <w:spacing w:after="0" w:line="190" w:lineRule="exact"/>
        <w:rPr>
          <w:rFonts w:ascii="Times New Roman" w:cs="Times New Roman" w:eastAsia="Times New Roman" w:hAnsi="Times New Roman"/>
          <w:sz w:val="22"/>
          <w:szCs w:val="22"/>
          <w:color w:val="auto"/>
        </w:rPr>
      </w:pPr>
    </w:p>
    <w:p>
      <w:pPr>
        <w:ind w:right="60" w:firstLine="1305"/>
        <w:spacing w:after="0" w:line="214" w:lineRule="auto"/>
        <w:tabs>
          <w:tab w:leader="none" w:pos="209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Earned But Unpaid Amounts</w:t>
      </w:r>
      <w:r>
        <w:rPr>
          <w:rFonts w:ascii="Times New Roman" w:cs="Times New Roman" w:eastAsia="Times New Roman" w:hAnsi="Times New Roman"/>
          <w:sz w:val="22"/>
          <w:szCs w:val="22"/>
          <w:color w:val="auto"/>
        </w:rPr>
        <w:t xml:space="preserve">. Within forty days after the Termination Date, the Company shall pay Executive the Base Salary through the Termination Date, any Bonus earned but unpaid as of the Termination Date for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previously completed fiscal year of the Company, to the extent not previously deferred under a particular deferred compensation plan, and reimbursement for any unreimbursed expenses properly incurred by Executive in accordance with Company policies prior to the Termination Date. Executive shall also receive such employee benefits, if any, to which Executive may be entitled from time to time under the employee benefit or fringe benefit plans, policies or programs of the Company, other than any Company severance policy (payments and benefits in this subsection (c), the “Accrued Benefits”).</w:t>
      </w:r>
    </w:p>
    <w:p>
      <w:pPr>
        <w:spacing w:after="0" w:line="190" w:lineRule="exact"/>
        <w:rPr>
          <w:rFonts w:ascii="Times New Roman" w:cs="Times New Roman" w:eastAsia="Times New Roman" w:hAnsi="Times New Roman"/>
          <w:sz w:val="22"/>
          <w:szCs w:val="22"/>
          <w:color w:val="auto"/>
        </w:rPr>
      </w:pPr>
    </w:p>
    <w:p>
      <w:pPr>
        <w:ind w:right="200" w:firstLine="1305"/>
        <w:spacing w:after="0" w:line="215" w:lineRule="auto"/>
        <w:tabs>
          <w:tab w:leader="none" w:pos="210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Outplacement Counseling</w:t>
      </w:r>
      <w:r>
        <w:rPr>
          <w:rFonts w:ascii="Times New Roman" w:cs="Times New Roman" w:eastAsia="Times New Roman" w:hAnsi="Times New Roman"/>
          <w:sz w:val="22"/>
          <w:szCs w:val="22"/>
          <w:color w:val="auto"/>
        </w:rPr>
        <w:t>. For the two-year period following the Termination Date (or, if earlier, the date Executive first obtains full-time employment after the Termination Date), the Company shall reimburse all reasonable expenses incurred by Executive for professional outplacement services by qualified consultants selected by Executive, in an amount not to exceed 20% of the Executive’s Base Salary in effect on the date of the Change of Control or the Termination Date, whichever is higher. All such reimbursement payments shall be made prior to the last day of the second calendar year following the calendar year in which the Termination Date occurs.</w:t>
      </w:r>
    </w:p>
    <w:p>
      <w:pPr>
        <w:sectPr>
          <w:pgSz w:w="11900" w:h="16838" w:orient="portrait"/>
          <w:cols w:equalWidth="0" w:num="1">
            <w:col w:w="11420"/>
          </w:cols>
          <w:pgMar w:left="240" w:top="122" w:right="2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197" w:lineRule="exact"/>
        <w:rPr>
          <w:sz w:val="20"/>
          <w:szCs w:val="20"/>
          <w:color w:val="auto"/>
        </w:rPr>
      </w:pPr>
    </w:p>
    <w:p>
      <w:pPr>
        <w:ind w:right="380" w:firstLine="1305"/>
        <w:spacing w:after="0" w:line="255" w:lineRule="auto"/>
        <w:tabs>
          <w:tab w:leader="none" w:pos="2095"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Other Benefits</w:t>
      </w:r>
      <w:r>
        <w:rPr>
          <w:rFonts w:ascii="Times New Roman" w:cs="Times New Roman" w:eastAsia="Times New Roman" w:hAnsi="Times New Roman"/>
          <w:sz w:val="21"/>
          <w:szCs w:val="21"/>
          <w:color w:val="auto"/>
        </w:rPr>
        <w:t>. Executive shall be entitled to such accelerated vesting of outstanding equity-based awards or retirement plan benefits as is specified under the terms of the applicable plans, agreements and arrangements.</w:t>
      </w:r>
    </w:p>
    <w:p>
      <w:pPr>
        <w:spacing w:after="0" w:line="175" w:lineRule="exact"/>
        <w:rPr>
          <w:rFonts w:ascii="Times New Roman" w:cs="Times New Roman" w:eastAsia="Times New Roman" w:hAnsi="Times New Roman"/>
          <w:sz w:val="21"/>
          <w:szCs w:val="21"/>
          <w:color w:val="auto"/>
        </w:rPr>
      </w:pPr>
    </w:p>
    <w:p>
      <w:pPr>
        <w:ind w:left="1460" w:hanging="804"/>
        <w:spacing w:after="0"/>
        <w:tabs>
          <w:tab w:leader="none" w:pos="14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Mitigation</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right="380" w:firstLine="648"/>
        <w:spacing w:after="0" w:line="260" w:lineRule="auto"/>
        <w:rPr>
          <w:sz w:val="20"/>
          <w:szCs w:val="20"/>
          <w:color w:val="auto"/>
        </w:rPr>
      </w:pPr>
      <w:r>
        <w:rPr>
          <w:rFonts w:ascii="Times New Roman" w:cs="Times New Roman" w:eastAsia="Times New Roman" w:hAnsi="Times New Roman"/>
          <w:sz w:val="21"/>
          <w:szCs w:val="21"/>
          <w:color w:val="auto"/>
        </w:rPr>
        <w:t>Executive shall not be required to mitigate damages or the amount of any payment provided for under this Exhibit by seeking other employment or otherwise, and, subject to Section 3(b), compensation earned from such employment or otherwise shall not reduce the amounts otherwise payable under this Exhibit. No amounts payable under this Exhibit shall be subject to reduction or offset in respect of any claims which the Company (or any other person or entity) may have against Executive.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60" w:hanging="804"/>
        <w:spacing w:after="0"/>
        <w:tabs>
          <w:tab w:leader="none" w:pos="14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Excise Tax Consequences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40" w:firstLine="1305"/>
        <w:spacing w:after="0" w:line="218" w:lineRule="auto"/>
        <w:tabs>
          <w:tab w:leader="none" w:pos="2095"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it shall be determined that any payment, benefit or distribution (or combination thereof) by the Company, any of its affiliates, or one or more trusts established by the Company for the benefit of its employees, to or for the benefit of Executive (whether paid or payable or distributed or distributable pursuant to the terms of this Exhibit, or otherwise) (a “Payment”) is subject to the excise tax imposed by Section 4999 of the Code or any interest or penalties are incurred by Executive with respect to such excise tax (such excise tax, together with any such interest and penalties, hereinafter collectively referred to as the “Excise Tax”), if the net after-tax amount of such Payments, after Executive has paid all taxes due thereon (including, without limitation, taxes due under Section 4999 of the Code) is less than the net after-tax amount of all such Payments and benefits otherwise due to Executive in the aggregate, if such aggregate Payments were reduced to an amount equal to 2.99 times the Executive’s “base amount” (as defined in Section 280G(b)(3) of the Code), then the aggregate amount of the payments and benefits shall be reduced to an amount that will equal 2.99 times the Executive’s base amount. To the extent such aggregate parachute payment amounts are required to be so reduced, the parachute payment amounts due to the Executive (but no non-parachute payment amounts) shall be reduced in the following order: (i) payments and benefits due under Section 3.a of this Exhibit shall be reduced (if necessary, to zero) with amounts that are payable last reduced first; (ii) payments and benefits due in respect of any equity fully valued (without regard to any discounts for present value) for purposes of the calculation to be made under Section 280G of the Code for purposes of this Section 5 (the “280G Calculation”) in reverse order of when payable; and (iii) payments and benefits due in respect of any options or stock appreciation rights with regard to Holdings equity securities valued under the 280G Calculation based on time of vesting shall be reduced in an order that is most beneficial to the Executive.</w:t>
      </w:r>
    </w:p>
    <w:p>
      <w:pPr>
        <w:spacing w:after="0" w:line="201" w:lineRule="exact"/>
        <w:rPr>
          <w:rFonts w:ascii="Times New Roman" w:cs="Times New Roman" w:eastAsia="Times New Roman" w:hAnsi="Times New Roman"/>
          <w:sz w:val="21"/>
          <w:szCs w:val="21"/>
          <w:color w:val="auto"/>
        </w:rPr>
      </w:pPr>
    </w:p>
    <w:p>
      <w:pPr>
        <w:ind w:right="20" w:firstLine="1305"/>
        <w:spacing w:after="0" w:line="220" w:lineRule="auto"/>
        <w:tabs>
          <w:tab w:leader="none" w:pos="210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determinations required to be made under this Section 5, including whether and when a cutback is to be made, and the assumptions to be utilized in arriving at such determination, shall be made by such nationally recognized certified public accounting firm as may be designated by the Company (the “Accounting Firm”) which shall provide detailed supporting calculations both to the Company and Executive within ten business days of the</w:t>
      </w:r>
    </w:p>
    <w:p>
      <w:pPr>
        <w:sectPr>
          <w:pgSz w:w="11900" w:h="16838" w:orient="portrait"/>
          <w:cols w:equalWidth="0" w:num="1">
            <w:col w:w="11420"/>
          </w:cols>
          <w:pgMar w:left="240" w:top="122" w:right="2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receipt of notice from Executive that there has been a Payment, or such earlier time as is requested by the Company.</w:t>
      </w:r>
    </w:p>
    <w:p>
      <w:pPr>
        <w:spacing w:after="0" w:line="220" w:lineRule="exact"/>
        <w:rPr>
          <w:sz w:val="20"/>
          <w:szCs w:val="20"/>
          <w:color w:val="auto"/>
        </w:rPr>
      </w:pPr>
    </w:p>
    <w:p>
      <w:pPr>
        <w:jc w:val="both"/>
        <w:ind w:right="100" w:firstLine="1305"/>
        <w:spacing w:after="0" w:line="220" w:lineRule="auto"/>
        <w:tabs>
          <w:tab w:leader="none" w:pos="2095"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this Agreement or any other agreement between the Executive and the Company or any of its subsidiaries to the contrary, the Executive and the Company shall in good faith attempt to agree on steps to ensure that no payments to which the Executive would otherwise be entitled to receive pursuant to this Agreement or any such other agreement will be “parachute payments” (as defined in Section 280G(b)(2) of the Code).</w:t>
      </w:r>
    </w:p>
    <w:p>
      <w:pPr>
        <w:spacing w:after="0" w:line="193"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22"/>
          <w:szCs w:val="22"/>
          <w:color w:val="auto"/>
        </w:rPr>
        <w:t>Nothing in this Exhibit shall be construed to prevent the Company from terminating Executive’s employment for Cause. If Executive is terminated for Cause, the Company shall have no obligation to make any payments under this Exhibit, except for the Accrued Benefits.</w:t>
      </w:r>
    </w:p>
    <w:p>
      <w:pPr>
        <w:spacing w:after="0" w:line="146" w:lineRule="exact"/>
        <w:rPr>
          <w:sz w:val="20"/>
          <w:szCs w:val="20"/>
          <w:color w:val="auto"/>
        </w:rPr>
      </w:pPr>
    </w:p>
    <w:p>
      <w:pPr>
        <w:ind w:left="1460" w:hanging="804"/>
        <w:spacing w:after="0"/>
        <w:tabs>
          <w:tab w:leader="none" w:pos="14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Director’s and Officer’s Liability Insurance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22"/>
          <w:szCs w:val="22"/>
          <w:color w:val="auto"/>
        </w:rPr>
        <w:t>Executive shall, after the Termination Date, retain all rights to indemnification under applicable law, any agreements, (including without limitation, the Stockholders Agreement), or under the Company’s Certificate of Incorporation or By-Laws, as they may be amended or restated from time to time. In addition, the Company shall maintain Director’s and Officer’s liability insurance on behalf of Executive, at the level in effect immediately prior to the Termination Date, for the three year period following the Termination Date, and throughout the period of any applicable statute of limitations.</w:t>
      </w:r>
    </w:p>
    <w:p>
      <w:pPr>
        <w:spacing w:after="0" w:line="154" w:lineRule="exact"/>
        <w:rPr>
          <w:sz w:val="20"/>
          <w:szCs w:val="20"/>
          <w:color w:val="auto"/>
        </w:rPr>
      </w:pPr>
    </w:p>
    <w:p>
      <w:pPr>
        <w:ind w:left="1460" w:hanging="804"/>
        <w:spacing w:after="0"/>
        <w:tabs>
          <w:tab w:leader="none" w:pos="14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Covenants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22"/>
          <w:szCs w:val="22"/>
          <w:color w:val="auto"/>
        </w:rPr>
        <w:t>This is an Exhibit B to, and forms a part of, the Aramark Agreement Relating to Employment and Post-Employment Competition between Executive and Aramark (the “Management Committee Agreement). This Exhibit shall not diminish in any way Executive’s rights under the terms of such Management Committee Agreement, except that Executive’s receipt of benefits under this Exhibit is contingent upon Executive’s compliance in all material respects with all of the terms and conditions of the Management Committee Agreement.</w:t>
      </w:r>
    </w:p>
    <w:p>
      <w:pPr>
        <w:spacing w:after="0" w:line="154" w:lineRule="exact"/>
        <w:rPr>
          <w:sz w:val="20"/>
          <w:szCs w:val="20"/>
          <w:color w:val="auto"/>
        </w:rPr>
      </w:pPr>
    </w:p>
    <w:p>
      <w:pPr>
        <w:ind w:left="1460" w:hanging="804"/>
        <w:spacing w:after="0"/>
        <w:tabs>
          <w:tab w:leader="none" w:pos="14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of Proceedings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2"/>
          <w:szCs w:val="22"/>
          <w:color w:val="auto"/>
        </w:rPr>
        <w:t>Each party shall pay its own costs and expenses in connection with any legal proceeding (including arbitration), relating to the interpretation or enforcement of any provision of this Exhibit, except that the Company shall pay such costs and expenses, including attorneys’ fees and disbursements, of Executive if Executive prevails on a substantial portion of the claims in such proceeding.</w:t>
      </w:r>
    </w:p>
    <w:p>
      <w:pPr>
        <w:spacing w:after="0" w:line="153" w:lineRule="exact"/>
        <w:rPr>
          <w:sz w:val="20"/>
          <w:szCs w:val="20"/>
          <w:color w:val="auto"/>
        </w:rPr>
      </w:pPr>
    </w:p>
    <w:p>
      <w:pPr>
        <w:ind w:left="1580" w:hanging="924"/>
        <w:spacing w:after="0"/>
        <w:tabs>
          <w:tab w:leader="none" w:pos="15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122" w:right="239" w:bottom="1440" w:gutter="0" w:footer="0" w:header="0"/>
        </w:sectPr>
      </w:pPr>
    </w:p>
    <w:bookmarkStart w:id="163" w:name="page164"/>
    <w:bookmarkEnd w:id="163"/>
    <w:p>
      <w:pPr>
        <w:ind w:left="1020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35"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22"/>
          <w:szCs w:val="22"/>
          <w:color w:val="auto"/>
        </w:rPr>
        <w:t>Except as otherwise provided herein, this Exhibit shall be binding upon, inure to the benefit of and be enforceable by the Company and Executive and their respective heirs, legal representatives, successors and assigns. If the Company shall be merged into or consolidated with another entity, the provisions of this Exhibit shall be binding upon and inure to the benefit of the entity surviving such merger or resulting from such consolidation. The Company shall require any successor (whether direct or indirect, by purchase, merger, consolidation or otherwise) to all or substantially all of the business or assets of the Company, by agreement, expressly to assume and agree to perform this Exhibit in the same manner and to the same extent that the Company would be required to perform it if no such succession had taken place. The provisions of this Section 10 shall continue to apply to each subsequent employer of Executive hereunder in the event of any subsequent merger, consolidation or transfer of assets of such subsequent employer.</w:t>
      </w:r>
    </w:p>
    <w:p>
      <w:pPr>
        <w:spacing w:after="0" w:line="165" w:lineRule="exact"/>
        <w:rPr>
          <w:sz w:val="20"/>
          <w:szCs w:val="20"/>
          <w:color w:val="auto"/>
        </w:rPr>
      </w:pPr>
    </w:p>
    <w:p>
      <w:pPr>
        <w:ind w:left="1560" w:hanging="904"/>
        <w:spacing w:after="0"/>
        <w:tabs>
          <w:tab w:leader="none" w:pos="15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 other provision of this Exhibit, the Company may, to the extent required by law, withhold applicable federal, state and local income and other taxes from any payments due to Executive hereunder.</w:t>
      </w:r>
    </w:p>
    <w:p>
      <w:pPr>
        <w:spacing w:after="0" w:line="131" w:lineRule="exact"/>
        <w:rPr>
          <w:sz w:val="20"/>
          <w:szCs w:val="20"/>
          <w:color w:val="auto"/>
        </w:rPr>
      </w:pPr>
    </w:p>
    <w:p>
      <w:pPr>
        <w:ind w:left="1580" w:hanging="924"/>
        <w:spacing w:after="0"/>
        <w:tabs>
          <w:tab w:leader="none" w:pos="15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640" w:firstLine="648"/>
        <w:spacing w:after="0" w:line="271" w:lineRule="auto"/>
        <w:rPr>
          <w:sz w:val="20"/>
          <w:szCs w:val="20"/>
          <w:color w:val="auto"/>
        </w:rPr>
      </w:pPr>
      <w:r>
        <w:rPr>
          <w:rFonts w:ascii="Times New Roman" w:cs="Times New Roman" w:eastAsia="Times New Roman" w:hAnsi="Times New Roman"/>
          <w:sz w:val="22"/>
          <w:szCs w:val="22"/>
          <w:color w:val="auto"/>
        </w:rPr>
        <w:t>This Exhibit shall be governed by and construed in accordance with the laws of the Commonwealth of Pennsylvania, without regard to conflicts of laws principles thereof.</w:t>
      </w:r>
    </w:p>
    <w:p>
      <w:pPr>
        <w:spacing w:after="0" w:line="131" w:lineRule="exact"/>
        <w:rPr>
          <w:sz w:val="20"/>
          <w:szCs w:val="20"/>
          <w:color w:val="auto"/>
        </w:rPr>
      </w:pPr>
    </w:p>
    <w:p>
      <w:pPr>
        <w:ind w:left="1580" w:hanging="924"/>
        <w:spacing w:after="0"/>
        <w:tabs>
          <w:tab w:leader="none" w:pos="15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For the purpose of this Exhibit, any notice and all other communication provided for in this Exhibit shall be in writing and shall be deemed to have been duly given when delivered by hand or overnight courier or three days after it has been mailed by United States registered mail, return receipt requested, postage prepaid, addressed to the respective addresses set forth below, or to such other address as either party may have furnished to the other in writing in accordance herewith, except that notice of change of address shall be effective only upon receipt.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Aramark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Aramark Tower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1101 Market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Pennsylvania 19107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Executive: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most recent address of Executive set forth in the personnel records of the Company.</w:t>
      </w:r>
    </w:p>
    <w:p>
      <w:pPr>
        <w:spacing w:after="0" w:line="193" w:lineRule="exact"/>
        <w:rPr>
          <w:sz w:val="20"/>
          <w:szCs w:val="20"/>
          <w:color w:val="auto"/>
        </w:rPr>
      </w:pPr>
    </w:p>
    <w:p>
      <w:pPr>
        <w:ind w:left="1580" w:hanging="924"/>
        <w:spacing w:after="0"/>
        <w:tabs>
          <w:tab w:leader="none" w:pos="15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122" w:right="239" w:bottom="1440" w:gutter="0" w:footer="0" w:header="0"/>
        </w:sectPr>
      </w:pPr>
    </w:p>
    <w:bookmarkStart w:id="164" w:name="page165"/>
    <w:bookmarkEnd w:id="164"/>
    <w:p>
      <w:pPr>
        <w:ind w:left="1020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35" w:lineRule="exact"/>
        <w:rPr>
          <w:sz w:val="20"/>
          <w:szCs w:val="20"/>
          <w:color w:val="auto"/>
        </w:rPr>
      </w:pPr>
    </w:p>
    <w:p>
      <w:pPr>
        <w:ind w:right="160" w:firstLine="648"/>
        <w:spacing w:after="0" w:line="249" w:lineRule="auto"/>
        <w:rPr>
          <w:sz w:val="20"/>
          <w:szCs w:val="20"/>
          <w:color w:val="auto"/>
        </w:rPr>
      </w:pPr>
      <w:r>
        <w:rPr>
          <w:rFonts w:ascii="Times New Roman" w:cs="Times New Roman" w:eastAsia="Times New Roman" w:hAnsi="Times New Roman"/>
          <w:sz w:val="22"/>
          <w:szCs w:val="22"/>
          <w:color w:val="auto"/>
        </w:rPr>
        <w:t>This Exhibit constitutes the entire agreement between the parties and, except as expressly provided herein or in Article 6.E of the Management Committee Agreement or in any benefit plan of the Company or of any of its affiliates, supersedes all other prior agreements expressly concerning the effect of a Change of Control occurring after the date of this Agreement with respect to the relationship between the Company and Executive. This Exhibit is not, and nothing herein shall be deemed to create, a contract of employment between the Company and Executive. This Exhibit may be changed only by a written agreement executed by the Company and Executive.</w:t>
      </w:r>
    </w:p>
    <w:p>
      <w:pPr>
        <w:spacing w:after="0" w:line="154" w:lineRule="exact"/>
        <w:rPr>
          <w:sz w:val="20"/>
          <w:szCs w:val="20"/>
          <w:color w:val="auto"/>
        </w:rPr>
      </w:pPr>
    </w:p>
    <w:p>
      <w:pPr>
        <w:ind w:left="1580" w:hanging="924"/>
        <w:spacing w:after="0"/>
        <w:tabs>
          <w:tab w:leader="none" w:pos="15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In the event any one or more of the provisions of this Exhibit shall be or become invalid, illegal or unenforceable in any respect, the validity, legality and enforceability of the remaining provisions shall not be affected thereby.</w:t>
      </w:r>
    </w:p>
    <w:p>
      <w:pPr>
        <w:sectPr>
          <w:pgSz w:w="11900" w:h="16838" w:orient="portrait"/>
          <w:cols w:equalWidth="0" w:num="1">
            <w:col w:w="11420"/>
          </w:cols>
          <w:pgMar w:left="240" w:top="122" w:right="2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DEFINITIONS</w:t>
      </w:r>
    </w:p>
    <w:p>
      <w:pPr>
        <w:spacing w:after="0" w:line="224"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As used in this Exhibit B, and unless the context requires a different meaning, the following terms, when capitalized, have the meaning indicated:</w:t>
      </w:r>
    </w:p>
    <w:p>
      <w:pPr>
        <w:spacing w:after="0" w:line="131" w:lineRule="exact"/>
        <w:rPr>
          <w:sz w:val="20"/>
          <w:szCs w:val="20"/>
          <w:color w:val="auto"/>
        </w:rPr>
      </w:pPr>
    </w:p>
    <w:p>
      <w:pPr>
        <w:ind w:left="1460" w:hanging="804"/>
        <w:spacing w:after="0"/>
        <w:tabs>
          <w:tab w:leader="none" w:pos="14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means the Securities Exchange Act of 1934, as amended.</w:t>
      </w:r>
    </w:p>
    <w:p>
      <w:pPr>
        <w:spacing w:after="0" w:line="219"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have the meaning set forth in the Stockholders Agreement.</w:t>
      </w:r>
    </w:p>
    <w:p>
      <w:pPr>
        <w:spacing w:after="0" w:line="219"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means Executive’s annual rate of base salary in effect on the date in question.</w:t>
      </w:r>
    </w:p>
    <w:p>
      <w:pPr>
        <w:spacing w:after="0" w:line="219" w:lineRule="exact"/>
        <w:rPr>
          <w:rFonts w:ascii="Times New Roman" w:cs="Times New Roman" w:eastAsia="Times New Roman" w:hAnsi="Times New Roman"/>
          <w:sz w:val="22"/>
          <w:szCs w:val="22"/>
          <w:color w:val="auto"/>
        </w:rPr>
      </w:pPr>
    </w:p>
    <w:p>
      <w:pPr>
        <w:ind w:right="140" w:firstLine="656"/>
        <w:spacing w:after="0" w:line="236" w:lineRule="auto"/>
        <w:tabs>
          <w:tab w:leader="none" w:pos="145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means the amount payable to Executive under the Company’s applicable annual bonus plan with respect to a fiscal year of the Company.</w:t>
      </w:r>
    </w:p>
    <w:p>
      <w:pPr>
        <w:spacing w:after="0" w:line="178"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“cause” as defined in the Management Committee Agreement of which this Schedule A forms 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w:t>
      </w:r>
    </w:p>
    <w:p>
      <w:pPr>
        <w:spacing w:after="0" w:line="195"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the first to occur of any of the following:</w:t>
      </w:r>
    </w:p>
    <w:p>
      <w:pPr>
        <w:spacing w:after="0" w:line="219" w:lineRule="exact"/>
        <w:rPr>
          <w:rFonts w:ascii="Times New Roman" w:cs="Times New Roman" w:eastAsia="Times New Roman" w:hAnsi="Times New Roman"/>
          <w:sz w:val="22"/>
          <w:szCs w:val="22"/>
          <w:color w:val="auto"/>
        </w:rPr>
      </w:pPr>
    </w:p>
    <w:p>
      <w:pPr>
        <w:ind w:right="80" w:firstLine="1305"/>
        <w:spacing w:after="0" w:line="212" w:lineRule="auto"/>
        <w:tabs>
          <w:tab w:leader="none" w:pos="2149"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individual entity or group, within the meaning of Section 13(d)(3) or 14(d)(2) of the Exchange Act, other than the Investor Groups and their Affiliates (the “</w:t>
      </w:r>
      <w:r>
        <w:rPr>
          <w:rFonts w:ascii="Times New Roman" w:cs="Times New Roman" w:eastAsia="Times New Roman" w:hAnsi="Times New Roman"/>
          <w:sz w:val="22"/>
          <w:szCs w:val="22"/>
          <w:u w:val="single" w:color="auto"/>
          <w:color w:val="auto"/>
        </w:rPr>
        <w:t>Permitted Holders</w:t>
      </w:r>
      <w:r>
        <w:rPr>
          <w:rFonts w:ascii="Times New Roman" w:cs="Times New Roman" w:eastAsia="Times New Roman" w:hAnsi="Times New Roman"/>
          <w:sz w:val="22"/>
          <w:szCs w:val="22"/>
          <w:color w:val="auto"/>
        </w:rPr>
        <w:t>”), directly or indirectly, of beneficial ownership of equity securities of the Company representing more than 50% of the voting power of the then-outstanding equity securities of the Company entitled to vote generally in the election of directors (the “</w:t>
      </w:r>
      <w:r>
        <w:rPr>
          <w:rFonts w:ascii="Times New Roman" w:cs="Times New Roman" w:eastAsia="Times New Roman" w:hAnsi="Times New Roman"/>
          <w:sz w:val="22"/>
          <w:szCs w:val="22"/>
          <w:u w:val="single" w:color="auto"/>
          <w:color w:val="auto"/>
        </w:rPr>
        <w:t>Company Voting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for purposes of this subsection (i), the following shall not constitute a Change of Control: (A) any acquisition by the Company or any Sponsor Stockholder, (B) any acquisition by any employee benefit plan (or related trust) sponsored or maintained by the Company or any Subsidiary, or (C) any acquisition by any Person pursuant to a transaction which complies with clauses (A) and (B) of subsection (ii) below; or</w:t>
      </w:r>
    </w:p>
    <w:p>
      <w:pPr>
        <w:spacing w:after="0" w:line="197" w:lineRule="exact"/>
        <w:rPr>
          <w:rFonts w:ascii="Times New Roman" w:cs="Times New Roman" w:eastAsia="Times New Roman" w:hAnsi="Times New Roman"/>
          <w:sz w:val="22"/>
          <w:szCs w:val="22"/>
          <w:color w:val="auto"/>
        </w:rPr>
      </w:pPr>
    </w:p>
    <w:p>
      <w:pPr>
        <w:ind w:right="280" w:firstLine="1305"/>
        <w:spacing w:after="0" w:line="214" w:lineRule="auto"/>
        <w:tabs>
          <w:tab w:leader="none" w:pos="2209"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merger or consolidation or sale or other disposition of all or substantially all of the assets of the Company or the purchase of assets or stock of another entity (a “</w:t>
      </w:r>
      <w:r>
        <w:rPr>
          <w:rFonts w:ascii="Times New Roman" w:cs="Times New Roman" w:eastAsia="Times New Roman" w:hAnsi="Times New Roman"/>
          <w:sz w:val="22"/>
          <w:szCs w:val="22"/>
          <w:u w:val="single" w:color="auto"/>
          <w:color w:val="auto"/>
        </w:rPr>
        <w:t>Business Combination</w:t>
      </w:r>
      <w:r>
        <w:rPr>
          <w:rFonts w:ascii="Times New Roman" w:cs="Times New Roman" w:eastAsia="Times New Roman" w:hAnsi="Times New Roman"/>
          <w:sz w:val="22"/>
          <w:szCs w:val="22"/>
          <w:color w:val="auto"/>
        </w:rPr>
        <w:t>”), in each case, unless immediately following such Business Combination, (A) all or substantially all of the beneficial owners of the Company Voting Securities immediately prior to such Business Combination beneficially own more than 50% of the then-outstanding combined voting power of the then-outstanding securities entitled to vote generally in the election of directors of the entity resulting from such Business Combination in substantially the same proportion (relative to each other) as their ownership immediately prior to such Business Combination of the Company Voting Securities, and (B) no</w:t>
      </w:r>
    </w:p>
    <w:p>
      <w:pPr>
        <w:sectPr>
          <w:pgSz w:w="11900" w:h="16838" w:orient="portrait"/>
          <w:cols w:equalWidth="0" w:num="1">
            <w:col w:w="11420"/>
          </w:cols>
          <w:pgMar w:left="240" w:top="122" w:right="239" w:bottom="1440" w:gutter="0" w:footer="0" w:header="0"/>
        </w:sectPr>
      </w:pPr>
    </w:p>
    <w:bookmarkStart w:id="166" w:name="page167"/>
    <w:bookmarkEnd w:id="166"/>
    <w:p>
      <w:pPr>
        <w:ind w:left="1020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8" w:lineRule="exact"/>
        <w:rPr>
          <w:sz w:val="20"/>
          <w:szCs w:val="20"/>
          <w:color w:val="auto"/>
        </w:rPr>
      </w:pPr>
    </w:p>
    <w:p>
      <w:pPr>
        <w:jc w:val="both"/>
        <w:ind w:right="380"/>
        <w:spacing w:after="0" w:line="226" w:lineRule="auto"/>
        <w:rPr>
          <w:sz w:val="20"/>
          <w:szCs w:val="20"/>
          <w:color w:val="auto"/>
        </w:rPr>
      </w:pPr>
      <w:r>
        <w:rPr>
          <w:rFonts w:ascii="Times New Roman" w:cs="Times New Roman" w:eastAsia="Times New Roman" w:hAnsi="Times New Roman"/>
          <w:sz w:val="22"/>
          <w:szCs w:val="22"/>
          <w:color w:val="auto"/>
        </w:rPr>
        <w:t>Person (excluding the Permitted Holders) beneficially owns, directly or indirectly, more than a majority of the combined voting power of the then-outstanding voting securities of such entity except to the extent that such ownership of the Company existed prior to the Business Combination; or</w:t>
      </w:r>
    </w:p>
    <w:p>
      <w:pPr>
        <w:spacing w:after="0" w:line="190" w:lineRule="exact"/>
        <w:rPr>
          <w:sz w:val="20"/>
          <w:szCs w:val="20"/>
          <w:color w:val="auto"/>
        </w:rPr>
      </w:pPr>
    </w:p>
    <w:p>
      <w:pPr>
        <w:ind w:right="20" w:firstLine="1305"/>
        <w:spacing w:after="0" w:line="226" w:lineRule="auto"/>
        <w:tabs>
          <w:tab w:leader="none" w:pos="226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members of the Company’s Board of Directors are replaced during any 12-month period by directors whose appointment or election is not endorsed by a majority of the current members of the Company’s Board of Directors before such replacement or is not contemplated by the Stockholders Agreement as in effect on the date hereof.</w:t>
      </w:r>
    </w:p>
    <w:p>
      <w:pPr>
        <w:spacing w:after="0" w:line="217" w:lineRule="exact"/>
        <w:rPr>
          <w:sz w:val="20"/>
          <w:szCs w:val="20"/>
          <w:color w:val="auto"/>
        </w:rPr>
      </w:pPr>
    </w:p>
    <w:p>
      <w:pPr>
        <w:ind w:right="500" w:firstLine="648"/>
        <w:spacing w:after="0" w:line="257" w:lineRule="auto"/>
        <w:rPr>
          <w:sz w:val="20"/>
          <w:szCs w:val="20"/>
          <w:color w:val="auto"/>
        </w:rPr>
      </w:pPr>
      <w:r>
        <w:rPr>
          <w:rFonts w:ascii="Times New Roman" w:cs="Times New Roman" w:eastAsia="Times New Roman" w:hAnsi="Times New Roman"/>
          <w:sz w:val="22"/>
          <w:szCs w:val="22"/>
          <w:color w:val="auto"/>
        </w:rPr>
        <w:t>Notwithstanding paragraphs (i) through (iii) above, in no event will a Change of Control be deemed to occur if the Permitted Holders maintain a direct or indirect Controlling Interest in the Company. A “</w:t>
      </w:r>
      <w:r>
        <w:rPr>
          <w:rFonts w:ascii="Times New Roman" w:cs="Times New Roman" w:eastAsia="Times New Roman" w:hAnsi="Times New Roman"/>
          <w:sz w:val="22"/>
          <w:szCs w:val="22"/>
          <w:u w:val="single" w:color="auto"/>
          <w:color w:val="auto"/>
        </w:rPr>
        <w:t>Controlling Interest</w:t>
      </w:r>
      <w:r>
        <w:rPr>
          <w:rFonts w:ascii="Times New Roman" w:cs="Times New Roman" w:eastAsia="Times New Roman" w:hAnsi="Times New Roman"/>
          <w:sz w:val="22"/>
          <w:szCs w:val="22"/>
          <w:color w:val="auto"/>
        </w:rPr>
        <w:t>” in an entity shall mean beneficial ownership of more than 50% of the voting power of the outstanding equity securities of the entity.</w:t>
      </w:r>
    </w:p>
    <w:p>
      <w:pPr>
        <w:spacing w:after="0" w:line="146" w:lineRule="exact"/>
        <w:rPr>
          <w:sz w:val="20"/>
          <w:szCs w:val="20"/>
          <w:color w:val="auto"/>
        </w:rPr>
      </w:pPr>
    </w:p>
    <w:p>
      <w:pPr>
        <w:ind w:left="1460" w:hanging="804"/>
        <w:spacing w:after="0"/>
        <w:tabs>
          <w:tab w:leader="none" w:pos="14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19"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Aramark or any of its parents and any successor or successors thereto.</w:t>
      </w:r>
    </w:p>
    <w:p>
      <w:pPr>
        <w:spacing w:after="0" w:line="219" w:lineRule="exact"/>
        <w:rPr>
          <w:rFonts w:ascii="Times New Roman" w:cs="Times New Roman" w:eastAsia="Times New Roman" w:hAnsi="Times New Roman"/>
          <w:sz w:val="22"/>
          <w:szCs w:val="22"/>
          <w:color w:val="auto"/>
        </w:rPr>
      </w:pPr>
    </w:p>
    <w:p>
      <w:pPr>
        <w:ind w:right="200" w:firstLine="656"/>
        <w:spacing w:after="0" w:line="236" w:lineRule="auto"/>
        <w:tabs>
          <w:tab w:leader="none" w:pos="145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any of the following actions on or after a Change of Control, without Executive’s express prior written approval, other than due to Executive’s Permanent Disability or death:</w:t>
      </w:r>
    </w:p>
    <w:p>
      <w:pPr>
        <w:spacing w:after="0" w:line="191" w:lineRule="exact"/>
        <w:rPr>
          <w:rFonts w:ascii="Times New Roman" w:cs="Times New Roman" w:eastAsia="Times New Roman" w:hAnsi="Times New Roman"/>
          <w:sz w:val="22"/>
          <w:szCs w:val="22"/>
          <w:color w:val="auto"/>
        </w:rPr>
      </w:pPr>
    </w:p>
    <w:p>
      <w:pPr>
        <w:ind w:left="2840" w:hanging="887"/>
        <w:spacing w:after="0"/>
        <w:tabs>
          <w:tab w:leader="none" w:pos="284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decrease in Base Salary or Target Bonus;</w:t>
      </w:r>
    </w:p>
    <w:p>
      <w:pPr>
        <w:spacing w:after="0" w:line="219" w:lineRule="exact"/>
        <w:rPr>
          <w:rFonts w:ascii="Times New Roman" w:cs="Times New Roman" w:eastAsia="Times New Roman" w:hAnsi="Times New Roman"/>
          <w:sz w:val="22"/>
          <w:szCs w:val="22"/>
          <w:color w:val="auto"/>
        </w:rPr>
      </w:pPr>
    </w:p>
    <w:p>
      <w:pPr>
        <w:ind w:right="100" w:firstLine="1953"/>
        <w:spacing w:after="0" w:line="220" w:lineRule="auto"/>
        <w:tabs>
          <w:tab w:leader="none" w:pos="2845"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decrease in Executive’s pension benefit opportunities or any material diminution in the aggregate employee benefits, in each case, afforded to the Executive immediately prior to the Change of Control, but not including any such decrease or diminution that is inadvertent and that is cured within 30 days following written notice of such decrease or diminution by Executive to the Company;</w:t>
      </w:r>
    </w:p>
    <w:p>
      <w:pPr>
        <w:spacing w:after="0" w:line="193" w:lineRule="exact"/>
        <w:rPr>
          <w:rFonts w:ascii="Times New Roman" w:cs="Times New Roman" w:eastAsia="Times New Roman" w:hAnsi="Times New Roman"/>
          <w:sz w:val="22"/>
          <w:szCs w:val="22"/>
          <w:color w:val="auto"/>
        </w:rPr>
      </w:pPr>
    </w:p>
    <w:p>
      <w:pPr>
        <w:ind w:right="140" w:firstLine="1953"/>
        <w:spacing w:after="0" w:line="226" w:lineRule="auto"/>
        <w:tabs>
          <w:tab w:leader="none" w:pos="2833"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diminution in Executive’s title or reporting relationship, or substantial diminution in duties or responsibilities (other than solely as a result of a Change of Control in which the Company immediately thereafter is no longer publicly held); or</w:t>
      </w:r>
    </w:p>
    <w:p>
      <w:pPr>
        <w:spacing w:after="0" w:line="190" w:lineRule="exact"/>
        <w:rPr>
          <w:rFonts w:ascii="Times New Roman" w:cs="Times New Roman" w:eastAsia="Times New Roman" w:hAnsi="Times New Roman"/>
          <w:sz w:val="22"/>
          <w:szCs w:val="22"/>
          <w:color w:val="auto"/>
        </w:rPr>
      </w:pPr>
    </w:p>
    <w:p>
      <w:pPr>
        <w:ind w:right="280" w:firstLine="1953"/>
        <w:spacing w:after="0" w:line="236" w:lineRule="auto"/>
        <w:tabs>
          <w:tab w:leader="none" w:pos="2845"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relocation of Executive’s principal place of business of 35 miles or more, other than normal travel consistent with past practice.</w:t>
      </w:r>
    </w:p>
    <w:p>
      <w:pPr>
        <w:spacing w:after="0" w:line="218" w:lineRule="exact"/>
        <w:rPr>
          <w:sz w:val="20"/>
          <w:szCs w:val="20"/>
          <w:color w:val="auto"/>
        </w:rPr>
      </w:pPr>
    </w:p>
    <w:p>
      <w:pPr>
        <w:ind w:right="240" w:firstLine="1945"/>
        <w:spacing w:after="0" w:line="271" w:lineRule="auto"/>
        <w:rPr>
          <w:sz w:val="20"/>
          <w:szCs w:val="20"/>
          <w:color w:val="auto"/>
        </w:rPr>
      </w:pPr>
      <w:r>
        <w:rPr>
          <w:rFonts w:ascii="Times New Roman" w:cs="Times New Roman" w:eastAsia="Times New Roman" w:hAnsi="Times New Roman"/>
          <w:sz w:val="22"/>
          <w:szCs w:val="22"/>
          <w:color w:val="auto"/>
        </w:rPr>
        <w:t>Executive shall have twelve months from the time Executive first becomes aware of the existence of Good Reason to resign for Good Reason.</w:t>
      </w:r>
    </w:p>
    <w:p>
      <w:pPr>
        <w:spacing w:after="0" w:line="15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The Executive must provide notice to the Company of the existence of the condition described above within a period not to exceed 90 days of the initial existence of the condition, upon the</w:t>
      </w:r>
    </w:p>
    <w:p>
      <w:pPr>
        <w:sectPr>
          <w:pgSz w:w="11900" w:h="16838" w:orient="portrait"/>
          <w:cols w:equalWidth="0" w:num="1">
            <w:col w:w="11420"/>
          </w:cols>
          <w:pgMar w:left="240" w:top="122" w:right="239" w:bottom="1440" w:gutter="0" w:footer="0" w:header="0"/>
        </w:sectPr>
      </w:pPr>
    </w:p>
    <w:bookmarkStart w:id="167" w:name="page168"/>
    <w:bookmarkEnd w:id="167"/>
    <w:p>
      <w:pPr>
        <w:ind w:left="1020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3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notice of which the Company shall have a period of 30 days during which it may remedy the condition and not be required to pay the amount.</w:t>
      </w:r>
    </w:p>
    <w:p>
      <w:pPr>
        <w:spacing w:after="0" w:line="131" w:lineRule="exact"/>
        <w:rPr>
          <w:sz w:val="20"/>
          <w:szCs w:val="20"/>
          <w:color w:val="auto"/>
        </w:rPr>
      </w:pPr>
    </w:p>
    <w:p>
      <w:pPr>
        <w:jc w:val="both"/>
        <w:ind w:right="40" w:firstLine="656"/>
        <w:spacing w:after="0" w:line="220" w:lineRule="auto"/>
        <w:tabs>
          <w:tab w:leader="none" w:pos="1567"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Disability</w:t>
      </w:r>
      <w:r>
        <w:rPr>
          <w:rFonts w:ascii="Times New Roman" w:cs="Times New Roman" w:eastAsia="Times New Roman" w:hAnsi="Times New Roman"/>
          <w:sz w:val="22"/>
          <w:szCs w:val="22"/>
          <w:color w:val="auto"/>
        </w:rPr>
        <w:t>” means “permanent disability” as defined in the Company’s long-term disability plan as in effect from time to time, or if there shall be no plan, the inability of Executive to perform in all material respects Executive’s duties and responsibilities to the Company or any affiliate for a period of six (6) consecutive months or for an aggregate of nine (9) months in any twenty-four (24) consecutive month period by reason of a physical or mental incapacity.</w:t>
      </w:r>
    </w:p>
    <w:p>
      <w:pPr>
        <w:spacing w:after="0" w:line="193"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Holder</w:t>
      </w:r>
      <w:r>
        <w:rPr>
          <w:rFonts w:ascii="Times New Roman" w:cs="Times New Roman" w:eastAsia="Times New Roman" w:hAnsi="Times New Roman"/>
          <w:sz w:val="22"/>
          <w:szCs w:val="22"/>
          <w:color w:val="auto"/>
        </w:rPr>
        <w:t>” shall have the same meaning as set forth in the Stockholders Agreement.</w:t>
      </w:r>
    </w:p>
    <w:p>
      <w:pPr>
        <w:spacing w:after="0" w:line="219" w:lineRule="exact"/>
        <w:rPr>
          <w:rFonts w:ascii="Times New Roman" w:cs="Times New Roman" w:eastAsia="Times New Roman" w:hAnsi="Times New Roman"/>
          <w:sz w:val="22"/>
          <w:szCs w:val="22"/>
          <w:color w:val="auto"/>
        </w:rPr>
      </w:pPr>
    </w:p>
    <w:p>
      <w:pPr>
        <w:ind w:right="40" w:firstLine="656"/>
        <w:spacing w:after="0" w:line="236" w:lineRule="auto"/>
        <w:tabs>
          <w:tab w:leader="none" w:pos="1567"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means the target Bonus established for Executive in respect of any given year, whether expressed as a percentage of Base Salary or a dollar amount.</w:t>
      </w:r>
    </w:p>
    <w:p>
      <w:pPr>
        <w:sectPr>
          <w:pgSz w:w="11900" w:h="16838" w:orient="portrait"/>
          <w:cols w:equalWidth="0" w:num="1">
            <w:col w:w="11420"/>
          </w:cols>
          <w:pgMar w:left="240" w:top="122" w:right="2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Aramark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Agreement</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THIS AGREEMENT is effective the __th day of _______, 20__, between </w:t>
      </w:r>
      <w:r>
        <w:rPr>
          <w:rFonts w:ascii="Times New Roman" w:cs="Times New Roman" w:eastAsia="Times New Roman" w:hAnsi="Times New Roman"/>
          <w:sz w:val="22"/>
          <w:szCs w:val="22"/>
          <w:b w:val="1"/>
          <w:bCs w:val="1"/>
          <w:color w:val="auto"/>
        </w:rPr>
        <w:t>Aramark</w:t>
      </w:r>
      <w:r>
        <w:rPr>
          <w:rFonts w:ascii="Times New Roman" w:cs="Times New Roman" w:eastAsia="Times New Roman" w:hAnsi="Times New Roman"/>
          <w:sz w:val="22"/>
          <w:szCs w:val="22"/>
          <w:color w:val="auto"/>
        </w:rPr>
        <w:t>, a Delaware corporation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“Company”), and </w:t>
      </w:r>
      <w:r>
        <w:rPr>
          <w:rFonts w:ascii="Times New Roman" w:cs="Times New Roman" w:eastAsia="Times New Roman" w:hAnsi="Times New Roman"/>
          <w:sz w:val="22"/>
          <w:szCs w:val="22"/>
          <w:b w:val="1"/>
          <w:bCs w:val="1"/>
          <w:color w:val="auto"/>
        </w:rPr>
        <w:t>[NAME]</w:t>
      </w:r>
      <w:r>
        <w:rPr>
          <w:rFonts w:ascii="Times New Roman" w:cs="Times New Roman" w:eastAsia="Times New Roman" w:hAnsi="Times New Roman"/>
          <w:sz w:val="22"/>
          <w:szCs w:val="22"/>
          <w:color w:val="auto"/>
        </w:rPr>
        <w:t xml:space="preserve"> (“Indemnitee”), whose address is _____________.</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0" w:lineRule="exact"/>
        <w:rPr>
          <w:sz w:val="20"/>
          <w:szCs w:val="20"/>
          <w:color w:val="auto"/>
        </w:rPr>
      </w:pPr>
    </w:p>
    <w:p>
      <w:pPr>
        <w:ind w:right="100" w:firstLine="432"/>
        <w:spacing w:after="0" w:line="271" w:lineRule="auto"/>
        <w:rPr>
          <w:sz w:val="20"/>
          <w:szCs w:val="20"/>
          <w:color w:val="auto"/>
        </w:rPr>
      </w:pPr>
      <w:r>
        <w:rPr>
          <w:rFonts w:ascii="Times New Roman" w:cs="Times New Roman" w:eastAsia="Times New Roman" w:hAnsi="Times New Roman"/>
          <w:sz w:val="22"/>
          <w:szCs w:val="22"/>
          <w:color w:val="auto"/>
        </w:rPr>
        <w:t>WHEREAS, it is essential to the Company to retain and attract as directors, officers and other certain key employees the most capable persons available;</w:t>
      </w:r>
    </w:p>
    <w:p>
      <w:pPr>
        <w:spacing w:after="0" w:line="104" w:lineRule="exact"/>
        <w:rPr>
          <w:sz w:val="20"/>
          <w:szCs w:val="20"/>
          <w:color w:val="auto"/>
        </w:rPr>
      </w:pPr>
    </w:p>
    <w:p>
      <w:pPr>
        <w:ind w:right="180" w:firstLine="432"/>
        <w:spacing w:after="0" w:line="257" w:lineRule="auto"/>
        <w:rPr>
          <w:sz w:val="20"/>
          <w:szCs w:val="20"/>
          <w:color w:val="auto"/>
        </w:rPr>
      </w:pPr>
      <w:r>
        <w:rPr>
          <w:rFonts w:ascii="Times New Roman" w:cs="Times New Roman" w:eastAsia="Times New Roman" w:hAnsi="Times New Roman"/>
          <w:sz w:val="22"/>
          <w:szCs w:val="22"/>
          <w:color w:val="auto"/>
        </w:rPr>
        <w:t>WHEREAS, Indemnitee is a member of the Board of Directors, a corporate officer of the Company (a “Designated Officer”) or an employee of the Company designated by the Board of Directors to have the benefit of this Agreement (a “Designated Employee”) and in such capacity is performing a valuable service for the Company;</w:t>
      </w:r>
    </w:p>
    <w:p>
      <w:pPr>
        <w:spacing w:after="0" w:line="119" w:lineRule="exact"/>
        <w:rPr>
          <w:sz w:val="20"/>
          <w:szCs w:val="20"/>
          <w:color w:val="auto"/>
        </w:rPr>
      </w:pPr>
    </w:p>
    <w:p>
      <w:pPr>
        <w:ind w:right="720" w:firstLine="432"/>
        <w:spacing w:after="0" w:line="271" w:lineRule="auto"/>
        <w:rPr>
          <w:sz w:val="20"/>
          <w:szCs w:val="20"/>
          <w:color w:val="auto"/>
        </w:rPr>
      </w:pPr>
      <w:r>
        <w:rPr>
          <w:rFonts w:ascii="Times New Roman" w:cs="Times New Roman" w:eastAsia="Times New Roman" w:hAnsi="Times New Roman"/>
          <w:sz w:val="22"/>
          <w:szCs w:val="22"/>
          <w:color w:val="auto"/>
        </w:rPr>
        <w:t>WHEREAS, the By-laws of the Company provide for the indemnification of its directors and officers to the full extent authorized or permitted by the Delaware General Corporation Law (the “Corporate Statute”);</w:t>
      </w:r>
    </w:p>
    <w:p>
      <w:pPr>
        <w:spacing w:after="0" w:line="104" w:lineRule="exact"/>
        <w:rPr>
          <w:sz w:val="20"/>
          <w:szCs w:val="20"/>
          <w:color w:val="auto"/>
        </w:rPr>
      </w:pPr>
    </w:p>
    <w:p>
      <w:pPr>
        <w:ind w:right="120" w:firstLine="432"/>
        <w:spacing w:after="0" w:line="257" w:lineRule="auto"/>
        <w:rPr>
          <w:sz w:val="20"/>
          <w:szCs w:val="20"/>
          <w:color w:val="auto"/>
        </w:rPr>
      </w:pPr>
      <w:r>
        <w:rPr>
          <w:rFonts w:ascii="Times New Roman" w:cs="Times New Roman" w:eastAsia="Times New Roman" w:hAnsi="Times New Roman"/>
          <w:sz w:val="22"/>
          <w:szCs w:val="22"/>
          <w:color w:val="auto"/>
        </w:rPr>
        <w:t>WHEREAS, the Corporate Statute specifically provides that it is not exclusive, and thereby contemplates that contracts may be entered into between the Company and the members of its Board of Directors, its officers or other employees which provide for broader indemnification of such directors, officers and other employees;</w:t>
      </w:r>
    </w:p>
    <w:p>
      <w:pPr>
        <w:spacing w:after="0" w:line="119" w:lineRule="exact"/>
        <w:rPr>
          <w:sz w:val="20"/>
          <w:szCs w:val="20"/>
          <w:color w:val="auto"/>
        </w:rPr>
      </w:pPr>
    </w:p>
    <w:p>
      <w:pPr>
        <w:ind w:right="200" w:firstLine="432"/>
        <w:spacing w:after="0" w:line="252" w:lineRule="auto"/>
        <w:rPr>
          <w:sz w:val="20"/>
          <w:szCs w:val="20"/>
          <w:color w:val="auto"/>
        </w:rPr>
      </w:pPr>
      <w:r>
        <w:rPr>
          <w:rFonts w:ascii="Times New Roman" w:cs="Times New Roman" w:eastAsia="Times New Roman" w:hAnsi="Times New Roman"/>
          <w:sz w:val="22"/>
          <w:szCs w:val="22"/>
          <w:color w:val="auto"/>
        </w:rPr>
        <w:t>WHEREAS, developments with respect to the terms and availability of Directors and Officers Liability Insurance (“D&amp;O Insurance”) and with respect to the application, amendment and enforcement of statutory, Certificate of Incorporation and By-law indemnification provisions generally, have raised questions concerning the availability of such insurance and if available, the adequacy and reliability of the protection afforded to directors, Designated Officers and Designated Employees thereby;</w:t>
      </w:r>
    </w:p>
    <w:p>
      <w:pPr>
        <w:spacing w:after="0" w:line="126" w:lineRule="exact"/>
        <w:rPr>
          <w:sz w:val="20"/>
          <w:szCs w:val="20"/>
          <w:color w:val="auto"/>
        </w:rPr>
      </w:pPr>
    </w:p>
    <w:p>
      <w:pPr>
        <w:ind w:right="60" w:firstLine="432"/>
        <w:spacing w:after="0" w:line="247" w:lineRule="auto"/>
        <w:rPr>
          <w:sz w:val="20"/>
          <w:szCs w:val="20"/>
          <w:color w:val="auto"/>
        </w:rPr>
      </w:pPr>
      <w:r>
        <w:rPr>
          <w:rFonts w:ascii="Times New Roman" w:cs="Times New Roman" w:eastAsia="Times New Roman" w:hAnsi="Times New Roman"/>
          <w:sz w:val="22"/>
          <w:szCs w:val="22"/>
          <w:color w:val="auto"/>
        </w:rPr>
        <w:t>WHEREAS, in recognition of Indemnitee’s need for substantial protection against personal liability in order to enhance Indemnitee’s service or continued service to the Company in an effective manner and in part to provide Indemnitee with specific contractual assurance that the indemnification protection provided by the Company’s By-laws will be available to Indemnitee (regardless of, among other things, any amendment to or revocation of such By-laws, change in the composition of the Company’s Board of Directors, or acquisition transaction relating to the Company), and in order to induce Indemnitee to provide or to continue to provide services to the Company as a director, Designated Officer or Designated Employee thereof, the Company wishes to provide in this Agreement for the indemnification of and the advancing of expenses and other costs to Indemnitee to the full extent permitted by law and as set forth in this Agreement.</w:t>
      </w:r>
    </w:p>
    <w:p>
      <w:pPr>
        <w:spacing w:after="0" w:line="132" w:lineRule="exact"/>
        <w:rPr>
          <w:sz w:val="20"/>
          <w:szCs w:val="20"/>
          <w:color w:val="auto"/>
        </w:rPr>
      </w:pPr>
    </w:p>
    <w:p>
      <w:pPr>
        <w:ind w:right="300" w:firstLine="432"/>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of Indemnitee commencing or continuing to serve the Company directly or, at its request, another enterprise or entity, including,</w:t>
      </w:r>
    </w:p>
    <w:p>
      <w:pPr>
        <w:sectPr>
          <w:pgSz w:w="11900" w:h="16838" w:orient="portrait"/>
          <w:cols w:equalWidth="0" w:num="1">
            <w:col w:w="11420"/>
          </w:cols>
          <w:pgMar w:left="240" w:top="122" w:right="2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without limitation, any benefit plan, and intending to be legally bound hereby, the parties hereby agree as follows: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368" w:lineRule="exact"/>
        <w:rPr>
          <w:sz w:val="20"/>
          <w:szCs w:val="20"/>
          <w:color w:val="auto"/>
        </w:rPr>
      </w:pPr>
    </w:p>
    <w:p>
      <w:pPr>
        <w:ind w:left="500" w:hanging="465"/>
        <w:spacing w:after="0"/>
        <w:tabs>
          <w:tab w:leader="none" w:pos="50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Definitions.</w:t>
      </w:r>
    </w:p>
    <w:p>
      <w:pPr>
        <w:spacing w:after="0" w:line="115" w:lineRule="exact"/>
        <w:rPr>
          <w:rFonts w:ascii="Times New Roman" w:cs="Times New Roman" w:eastAsia="Times New Roman" w:hAnsi="Times New Roman"/>
          <w:sz w:val="22"/>
          <w:szCs w:val="22"/>
          <w:b w:val="1"/>
          <w:bCs w:val="1"/>
          <w:color w:val="auto"/>
        </w:rPr>
      </w:pPr>
    </w:p>
    <w:p>
      <w:pPr>
        <w:ind w:left="440" w:right="80" w:firstLine="432"/>
        <w:spacing w:after="0" w:line="260" w:lineRule="auto"/>
        <w:tabs>
          <w:tab w:leader="none" w:pos="1166"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xml:space="preserve"> shall mean (i) The acquisition by any individual entity or group, within the meaning of Section 13(d)(3) or 14(d)(2) of the Exchange Act, other than the Investor Groups and their Affiliates (the “Permitted Holders”), directly or indirectly, of beneficial ownership of equity securities of the Company representing more than 50% of the voting power of the then-outstanding equity securities of the Company entitled to vote generally in the election of directors (the “Company Voting Securities”); provided, however, that for purposes of this subsection (i), the following shall not constitute a Change of Control: (A) any acquisition by the Company or by any Sponsor Stockholder, (B) any acquisition by any employee benefit plan (or related trust) sponsored or maintained by the Company or any Subsidiary, or (C) any acquisition by any Person pursuant to a transaction which complies with clauses (A) and (B) of subsection (ii) below; or</w:t>
      </w:r>
    </w:p>
    <w:p>
      <w:pPr>
        <w:spacing w:after="0" w:line="41" w:lineRule="exact"/>
        <w:rPr>
          <w:sz w:val="20"/>
          <w:szCs w:val="20"/>
          <w:color w:val="auto"/>
        </w:rPr>
      </w:pPr>
    </w:p>
    <w:p>
      <w:pPr>
        <w:ind w:left="440" w:right="160" w:firstLine="432"/>
        <w:spacing w:after="0" w:line="246" w:lineRule="auto"/>
        <w:tabs>
          <w:tab w:leader="none" w:pos="119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merger or consolidation or sale or other disposition of all or substantially all of the assets of the Company or the purchase of assets or stock of another entity (a “Business Combination”), in each case, unless immediately following such Business Combination, (A) all or substantially all of the beneficial owners of the Company’s Voting Securities immediately prior to such Business Combination beneficially own more than 50% of the then-outstanding combined voting power of the then-outstanding securities entitled to vote generally in the election of directors of the entity resulting from such Business Combination in substantially the same proportion (relative to each other) as their ownership immediately prior to such Business Combination of the Company Voting Securities, and (B) no Person (excluding the Permitted Holders) beneficially owns, directly or indirectly, more than a majority of the combined voting power of the then-outstanding voting securities of such entity except to the extent that such ownership of the Company existed prior to the Business Combination.</w:t>
      </w:r>
    </w:p>
    <w:p>
      <w:pPr>
        <w:spacing w:after="0" w:line="54" w:lineRule="exact"/>
        <w:rPr>
          <w:sz w:val="20"/>
          <w:szCs w:val="20"/>
          <w:color w:val="auto"/>
        </w:rPr>
      </w:pPr>
    </w:p>
    <w:p>
      <w:pPr>
        <w:ind w:left="440" w:right="180" w:firstLine="432"/>
        <w:spacing w:after="0" w:line="257" w:lineRule="auto"/>
        <w:rPr>
          <w:sz w:val="20"/>
          <w:szCs w:val="20"/>
          <w:color w:val="auto"/>
        </w:rPr>
      </w:pPr>
      <w:r>
        <w:rPr>
          <w:rFonts w:ascii="Times New Roman" w:cs="Times New Roman" w:eastAsia="Times New Roman" w:hAnsi="Times New Roman"/>
          <w:sz w:val="22"/>
          <w:szCs w:val="22"/>
          <w:color w:val="auto"/>
        </w:rPr>
        <w:t>Notwithstanding paragraphs (i) and (ii) above, in no event will a Change of Control be deemed to occur if the Permitted Holders maintain a direct or indirect Controlling Interest in the Company. A “Controlling Interest” in an entity shall mean beneficial ownership of more than 50% of the voting power of the outstanding equity securities of the entity.</w:t>
      </w:r>
    </w:p>
    <w:p>
      <w:pPr>
        <w:spacing w:after="0" w:line="38" w:lineRule="exact"/>
        <w:rPr>
          <w:sz w:val="20"/>
          <w:szCs w:val="20"/>
          <w:color w:val="auto"/>
        </w:rPr>
      </w:pPr>
    </w:p>
    <w:p>
      <w:pPr>
        <w:ind w:left="440" w:firstLine="432"/>
        <w:spacing w:after="0" w:line="257" w:lineRule="auto"/>
        <w:rPr>
          <w:sz w:val="20"/>
          <w:szCs w:val="20"/>
          <w:color w:val="auto"/>
        </w:rPr>
      </w:pPr>
      <w:r>
        <w:rPr>
          <w:rFonts w:ascii="Times New Roman" w:cs="Times New Roman" w:eastAsia="Times New Roman" w:hAnsi="Times New Roman"/>
          <w:sz w:val="22"/>
          <w:szCs w:val="22"/>
          <w:color w:val="auto"/>
        </w:rPr>
        <w:t>Capitalized terms used herein and not otherwise defined herein shall have the meaning set forth in the Stockholders Agreement, dated January 26, 2007, as amended, by and among the Company, ARAMARK Intermediate HoldCo Corporation, and the stockholders named therein.</w:t>
      </w:r>
    </w:p>
    <w:p>
      <w:pPr>
        <w:spacing w:after="0" w:line="38" w:lineRule="exact"/>
        <w:rPr>
          <w:sz w:val="20"/>
          <w:szCs w:val="20"/>
          <w:color w:val="auto"/>
        </w:rPr>
      </w:pPr>
    </w:p>
    <w:p>
      <w:pPr>
        <w:ind w:left="440" w:right="220" w:firstLine="432"/>
        <w:spacing w:after="0" w:line="257" w:lineRule="auto"/>
        <w:tabs>
          <w:tab w:leader="none" w:pos="117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include attorneys’ fees and all other costs, travel expenses, fees of experts, transcripts costs, filing fees, witness fees, telephone charges, postage, delivery service fees, expenses and obligations of any nature whatsoever paid or incurred in connection with investigating, defending, prosecuting, being a witness in or participating in</w:t>
      </w:r>
    </w:p>
    <w:p>
      <w:pPr>
        <w:sectPr>
          <w:pgSz w:w="11900" w:h="16838" w:orient="portrait"/>
          <w:cols w:equalWidth="0" w:num="1">
            <w:col w:w="11420"/>
          </w:cols>
          <w:pgMar w:left="240" w:top="122" w:right="239" w:bottom="1440" w:gutter="0" w:footer="0" w:header="0"/>
        </w:sectPr>
      </w:pPr>
    </w:p>
    <w:bookmarkStart w:id="170" w:name="page171"/>
    <w:bookmarkEnd w:id="170"/>
    <w:p>
      <w:pPr>
        <w:ind w:left="10165"/>
        <w:spacing w:after="0"/>
        <w:rPr>
          <w:sz w:val="20"/>
          <w:szCs w:val="20"/>
          <w:color w:val="auto"/>
        </w:rPr>
      </w:pPr>
      <w:r>
        <w:rPr>
          <w:rFonts w:ascii="Times New Roman" w:cs="Times New Roman" w:eastAsia="Times New Roman" w:hAnsi="Times New Roman"/>
          <w:sz w:val="21"/>
          <w:szCs w:val="21"/>
          <w:b w:val="1"/>
          <w:bCs w:val="1"/>
          <w:color w:val="auto"/>
        </w:rPr>
        <w:t>Exhibit 10.29</w:t>
      </w:r>
    </w:p>
    <w:p>
      <w:pPr>
        <w:spacing w:after="0" w:line="316" w:lineRule="exact"/>
        <w:rPr>
          <w:sz w:val="20"/>
          <w:szCs w:val="20"/>
          <w:color w:val="auto"/>
        </w:rPr>
      </w:pPr>
    </w:p>
    <w:p>
      <w:pPr>
        <w:ind w:left="405" w:right="120"/>
        <w:spacing w:after="0" w:line="257" w:lineRule="auto"/>
        <w:rPr>
          <w:sz w:val="20"/>
          <w:szCs w:val="20"/>
          <w:color w:val="auto"/>
        </w:rPr>
      </w:pPr>
      <w:r>
        <w:rPr>
          <w:rFonts w:ascii="Times New Roman" w:cs="Times New Roman" w:eastAsia="Times New Roman" w:hAnsi="Times New Roman"/>
          <w:sz w:val="22"/>
          <w:szCs w:val="22"/>
          <w:color w:val="auto"/>
        </w:rPr>
        <w:t>(including on appeal), or preparing to investigate, defend, prosecute, be a witness in or participate in any claim, action, suit or proceeding or inquiry or investigation, formal or informal, including, without limitations, any appeal for which a claim for indemnification may be made hereunder.</w:t>
      </w:r>
    </w:p>
    <w:p>
      <w:pPr>
        <w:spacing w:after="0" w:line="38" w:lineRule="exact"/>
        <w:rPr>
          <w:sz w:val="20"/>
          <w:szCs w:val="20"/>
          <w:color w:val="auto"/>
        </w:rPr>
      </w:pPr>
    </w:p>
    <w:p>
      <w:pPr>
        <w:ind w:left="405" w:right="240" w:firstLine="432"/>
        <w:spacing w:after="0" w:line="250" w:lineRule="auto"/>
        <w:tabs>
          <w:tab w:leader="none" w:pos="113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Potential Change in Control</w:t>
      </w:r>
      <w:r>
        <w:rPr>
          <w:rFonts w:ascii="Times New Roman" w:cs="Times New Roman" w:eastAsia="Times New Roman" w:hAnsi="Times New Roman"/>
          <w:sz w:val="22"/>
          <w:szCs w:val="22"/>
          <w:color w:val="auto"/>
        </w:rPr>
        <w:t>”: shall be deemed to have occurred if (i) the Company enters into an agreement or arrangement, the consummation of which would result in the occurrence of a Change in Control; (ii) any person or entity (including the Company) publicly announces an intention to take or to consider taking actions which if consummated would constitute a Change in Control; or (iii) the Board of Directors adopts a resolution to the effect that, for purposes of this Agreement, a Potential Change in Control has occurred.</w:t>
      </w:r>
    </w:p>
    <w:p>
      <w:pPr>
        <w:spacing w:after="0" w:line="46" w:lineRule="exact"/>
        <w:rPr>
          <w:rFonts w:ascii="Times New Roman" w:cs="Times New Roman" w:eastAsia="Times New Roman" w:hAnsi="Times New Roman"/>
          <w:sz w:val="22"/>
          <w:szCs w:val="22"/>
          <w:color w:val="auto"/>
        </w:rPr>
      </w:pPr>
    </w:p>
    <w:p>
      <w:pPr>
        <w:ind w:left="405" w:firstLine="432"/>
        <w:spacing w:after="0" w:line="247" w:lineRule="auto"/>
        <w:tabs>
          <w:tab w:leader="none" w:pos="114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Counsel</w:t>
      </w:r>
      <w:r>
        <w:rPr>
          <w:rFonts w:ascii="Times New Roman" w:cs="Times New Roman" w:eastAsia="Times New Roman" w:hAnsi="Times New Roman"/>
          <w:sz w:val="22"/>
          <w:szCs w:val="22"/>
          <w:color w:val="auto"/>
        </w:rPr>
        <w:t>”: an attorney or a law firm (either being referred to as a “person”) who is experienced in matters of corporate law and who shall not have otherwise performed material services for the Company or Indemnitee within the immediately preceding five years, other than services as Independent Counsel hereunder and who shall not have performed services for any other party to the proceeding giving rise to the claim for indemnification hereunder. Independent Counsel shall not be any person who, under the applicable standards of professional conduct then prevailing, would have a conflict of interest in representing either the Company or Indemnitee in an action to determine Indemnitee’s rights under this Agreement, nor shall Independent Counsel be any person who has been sanctioned or censured for ethical violations of applicable standards of professional conduct in the last five years.</w:t>
      </w:r>
    </w:p>
    <w:p>
      <w:pPr>
        <w:spacing w:after="0" w:line="50" w:lineRule="exact"/>
        <w:rPr>
          <w:rFonts w:ascii="Times New Roman" w:cs="Times New Roman" w:eastAsia="Times New Roman" w:hAnsi="Times New Roman"/>
          <w:sz w:val="22"/>
          <w:szCs w:val="22"/>
          <w:color w:val="auto"/>
        </w:rPr>
      </w:pPr>
    </w:p>
    <w:p>
      <w:pPr>
        <w:ind w:left="405" w:firstLine="432"/>
        <w:spacing w:after="0" w:line="257" w:lineRule="auto"/>
        <w:tabs>
          <w:tab w:leader="none" w:pos="113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Judgment</w:t>
      </w:r>
      <w:r>
        <w:rPr>
          <w:rFonts w:ascii="Times New Roman" w:cs="Times New Roman" w:eastAsia="Times New Roman" w:hAnsi="Times New Roman"/>
          <w:sz w:val="22"/>
          <w:szCs w:val="22"/>
          <w:color w:val="auto"/>
        </w:rPr>
        <w:t>”: a final (not interlocutory) judgment or other adjudication of a court or arbitration or administrative body of competent jurisdiction as to which there is no further right or option of appeal or the time within which an appeal must be filed has expired without such filing.</w:t>
      </w:r>
    </w:p>
    <w:p>
      <w:pPr>
        <w:spacing w:after="0" w:line="38" w:lineRule="exact"/>
        <w:rPr>
          <w:sz w:val="20"/>
          <w:szCs w:val="20"/>
          <w:color w:val="auto"/>
        </w:rPr>
      </w:pPr>
    </w:p>
    <w:p>
      <w:pPr>
        <w:ind w:left="405"/>
        <w:spacing w:after="0" w:line="257" w:lineRule="auto"/>
        <w:rPr>
          <w:sz w:val="20"/>
          <w:szCs w:val="20"/>
          <w:color w:val="auto"/>
        </w:rPr>
      </w:pPr>
      <w:r>
        <w:rPr>
          <w:rFonts w:ascii="Times New Roman" w:cs="Times New Roman" w:eastAsia="Times New Roman" w:hAnsi="Times New Roman"/>
          <w:sz w:val="22"/>
          <w:szCs w:val="22"/>
          <w:color w:val="auto"/>
        </w:rPr>
        <w:t>Capitalized terms used herein and not otherwise defined herein shall have the meaning set forth in the Stockholders Agreement, dated January 26, 2007, as amended, by and among the Company, ARAMARK Intermediate HoldCo Corporation, and the stockholders named therein.</w:t>
      </w:r>
    </w:p>
    <w:p>
      <w:pPr>
        <w:spacing w:after="0" w:line="318" w:lineRule="exact"/>
        <w:rPr>
          <w:sz w:val="20"/>
          <w:szCs w:val="20"/>
          <w:color w:val="auto"/>
        </w:rPr>
      </w:pPr>
    </w:p>
    <w:p>
      <w:pPr>
        <w:ind w:left="465" w:hanging="465"/>
        <w:spacing w:after="0"/>
        <w:tabs>
          <w:tab w:leader="none" w:pos="465"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Maintenance of Insurance; Limitations.</w:t>
      </w:r>
    </w:p>
    <w:p>
      <w:pPr>
        <w:spacing w:after="0" w:line="115" w:lineRule="exact"/>
        <w:rPr>
          <w:rFonts w:ascii="Times New Roman" w:cs="Times New Roman" w:eastAsia="Times New Roman" w:hAnsi="Times New Roman"/>
          <w:sz w:val="22"/>
          <w:szCs w:val="22"/>
          <w:b w:val="1"/>
          <w:bCs w:val="1"/>
          <w:color w:val="auto"/>
        </w:rPr>
      </w:pPr>
    </w:p>
    <w:p>
      <w:pPr>
        <w:ind w:left="405" w:right="160" w:firstLine="432"/>
        <w:spacing w:after="0" w:line="246" w:lineRule="auto"/>
        <w:tabs>
          <w:tab w:leader="none" w:pos="1131"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currently has in force and effect several policies of D&amp;O Insurance (collectively, the “Insurance Policy”). The Company agrees to furnish a copy of the Insurance Policy to Indemnitee upon request. The Company agrees that, so long as Indemnitee shall continue to serve as a director, or Designated Officer of the Company (or shall at the request of the Company serve as a director, officer, employee or agent of another corporation, partnership, limited liability company, joint venture, trust, employee benefit plan or other enterprise) and thereafter so long as Indemnitee shall be subject to any possible claim, or threatened, pending or completed action, suit or proceeding, whether civil, criminal, administrative, investigative, formal or informal, by reason of the fact that Indemnitee was a director or Designated Officer of the Company (or served in any of said other capacities), the Company will, subject to the limitations set forth in Section 2(b) hereof, endeavor to purchase and maintain in effect for the benefit of Indemnitee one or</w:t>
      </w:r>
    </w:p>
    <w:p>
      <w:pPr>
        <w:sectPr>
          <w:pgSz w:w="11900" w:h="16838" w:orient="portrait"/>
          <w:cols w:equalWidth="0" w:num="1">
            <w:col w:w="11385"/>
          </w:cols>
          <w:pgMar w:left="275" w:top="122" w:right="239" w:bottom="1440" w:gutter="0" w:footer="0" w:header="0"/>
        </w:sectPr>
      </w:pPr>
    </w:p>
    <w:bookmarkStart w:id="171" w:name="page172"/>
    <w:bookmarkEnd w:id="171"/>
    <w:p>
      <w:pPr>
        <w:ind w:left="10200"/>
        <w:spacing w:after="0"/>
        <w:rPr>
          <w:sz w:val="20"/>
          <w:szCs w:val="20"/>
          <w:color w:val="auto"/>
        </w:rPr>
      </w:pPr>
      <w:r>
        <w:rPr>
          <w:rFonts w:ascii="Times New Roman" w:cs="Times New Roman" w:eastAsia="Times New Roman" w:hAnsi="Times New Roman"/>
          <w:sz w:val="21"/>
          <w:szCs w:val="21"/>
          <w:b w:val="1"/>
          <w:bCs w:val="1"/>
          <w:color w:val="auto"/>
        </w:rPr>
        <w:t>Exhibit 10.29</w:t>
      </w:r>
    </w:p>
    <w:p>
      <w:pPr>
        <w:spacing w:after="0" w:line="316" w:lineRule="exact"/>
        <w:rPr>
          <w:sz w:val="20"/>
          <w:szCs w:val="20"/>
          <w:color w:val="auto"/>
        </w:rPr>
      </w:pPr>
    </w:p>
    <w:p>
      <w:pPr>
        <w:ind w:left="440" w:right="900"/>
        <w:spacing w:after="0" w:line="271" w:lineRule="auto"/>
        <w:rPr>
          <w:sz w:val="20"/>
          <w:szCs w:val="20"/>
          <w:color w:val="auto"/>
        </w:rPr>
      </w:pPr>
      <w:r>
        <w:rPr>
          <w:rFonts w:ascii="Times New Roman" w:cs="Times New Roman" w:eastAsia="Times New Roman" w:hAnsi="Times New Roman"/>
          <w:sz w:val="22"/>
          <w:szCs w:val="22"/>
          <w:color w:val="auto"/>
        </w:rPr>
        <w:t>more valid, binding and enforceable policy or policies of D&amp;O Insurance providing, in all respects, coverage at least comparable to that provided pursuant to the Insurance Policy.</w:t>
      </w:r>
    </w:p>
    <w:p>
      <w:pPr>
        <w:spacing w:after="0" w:line="23" w:lineRule="exact"/>
        <w:rPr>
          <w:sz w:val="20"/>
          <w:szCs w:val="20"/>
          <w:color w:val="auto"/>
        </w:rPr>
      </w:pPr>
    </w:p>
    <w:p>
      <w:pPr>
        <w:ind w:left="440" w:right="240" w:firstLine="432"/>
        <w:spacing w:after="0" w:line="262" w:lineRule="auto"/>
        <w:tabs>
          <w:tab w:leader="none" w:pos="1178"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be required to maintain the Insurance Policy or such other policy or policies of D&amp;O Insurance in effect if, in the sole business judgment of the then Board of Directors of the Company, (i) such insurance is not reasonably available, (ii) the premium cost for such insurance is substantially disproportionate to the amount of coverage, or</w:t>
      </w:r>
    </w:p>
    <w:p>
      <w:pPr>
        <w:spacing w:after="0" w:line="2" w:lineRule="exact"/>
        <w:rPr>
          <w:rFonts w:ascii="Times New Roman" w:cs="Times New Roman" w:eastAsia="Times New Roman" w:hAnsi="Times New Roman"/>
          <w:sz w:val="21"/>
          <w:szCs w:val="21"/>
          <w:color w:val="auto"/>
        </w:rPr>
      </w:pPr>
    </w:p>
    <w:p>
      <w:pPr>
        <w:ind w:left="440" w:right="200"/>
        <w:spacing w:after="0" w:line="248" w:lineRule="auto"/>
        <w:tabs>
          <w:tab w:leader="none" w:pos="818"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coverage provided by such insurance is so limited by exclusions that there is a disproportionately insufficient benefit from such insurance.</w:t>
      </w:r>
    </w:p>
    <w:p>
      <w:pPr>
        <w:spacing w:after="0" w:line="327" w:lineRule="exact"/>
        <w:rPr>
          <w:rFonts w:ascii="Times New Roman" w:cs="Times New Roman" w:eastAsia="Times New Roman" w:hAnsi="Times New Roman"/>
          <w:sz w:val="22"/>
          <w:szCs w:val="22"/>
          <w:color w:val="auto"/>
        </w:rPr>
      </w:pPr>
    </w:p>
    <w:p>
      <w:pPr>
        <w:ind w:left="500" w:hanging="465"/>
        <w:spacing w:after="0"/>
        <w:tabs>
          <w:tab w:leader="none" w:pos="5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of Indemnitee.</w:t>
      </w:r>
    </w:p>
    <w:p>
      <w:pPr>
        <w:spacing w:after="0" w:line="116" w:lineRule="exact"/>
        <w:rPr>
          <w:sz w:val="20"/>
          <w:szCs w:val="20"/>
          <w:color w:val="auto"/>
        </w:rPr>
      </w:pPr>
    </w:p>
    <w:p>
      <w:pPr>
        <w:jc w:val="both"/>
        <w:ind w:right="160" w:firstLine="432"/>
        <w:spacing w:after="0" w:line="257" w:lineRule="auto"/>
        <w:rPr>
          <w:sz w:val="20"/>
          <w:szCs w:val="20"/>
          <w:color w:val="auto"/>
        </w:rPr>
      </w:pPr>
      <w:r>
        <w:rPr>
          <w:rFonts w:ascii="Times New Roman" w:cs="Times New Roman" w:eastAsia="Times New Roman" w:hAnsi="Times New Roman"/>
          <w:sz w:val="22"/>
          <w:szCs w:val="22"/>
          <w:color w:val="auto"/>
        </w:rPr>
        <w:t>The Company agrees to hold harmless, indemnify and defend Indemnitee to the fullest extent authorized or permitted by the provisions of the Corporate Statute and to such greater extent as the Corporate Statute or other applicable law may thereafter from time to time permit.</w:t>
      </w:r>
    </w:p>
    <w:p>
      <w:pPr>
        <w:spacing w:after="0" w:line="318" w:lineRule="exact"/>
        <w:rPr>
          <w:sz w:val="20"/>
          <w:szCs w:val="20"/>
          <w:color w:val="auto"/>
        </w:rPr>
      </w:pPr>
    </w:p>
    <w:p>
      <w:pPr>
        <w:ind w:left="500" w:hanging="465"/>
        <w:spacing w:after="0"/>
        <w:tabs>
          <w:tab w:leader="none" w:pos="50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Indemnity.</w:t>
      </w:r>
    </w:p>
    <w:p>
      <w:pPr>
        <w:spacing w:after="0" w:line="115" w:lineRule="exact"/>
        <w:rPr>
          <w:rFonts w:ascii="Times New Roman" w:cs="Times New Roman" w:eastAsia="Times New Roman" w:hAnsi="Times New Roman"/>
          <w:sz w:val="22"/>
          <w:szCs w:val="22"/>
          <w:b w:val="1"/>
          <w:bCs w:val="1"/>
          <w:color w:val="auto"/>
        </w:rPr>
      </w:pPr>
    </w:p>
    <w:p>
      <w:pPr>
        <w:ind w:left="440" w:right="40" w:firstLine="432"/>
        <w:spacing w:after="0" w:line="246" w:lineRule="auto"/>
        <w:tabs>
          <w:tab w:leader="none" w:pos="1166"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exclusions set forth in Section 5 hereof, the Company further agrees to hold harmless, indemnify and defend Indemnitee against any and all reasonable Expenses, and all liability and loss including, without limitation, judgments, excise taxes, penalties, fines and amounts paid or to be paid in settlement, actually incurred by Indemnitee in connection with any threatened, pending or completed claim, action, suit or proceeding, whether civil, criminal, administrative, investigative, formal or informal (including an action by or in the right of the Company) to which Indemnitee is, was or at any time becomes a party, or is threatened to be made a party, by reason of the fact that Indemnitee is, was or at any time becomes a director, Designated Officer, Designated Employee or agent of the Company, or is or was serving or at any time serves at the request of the Company as a director, officer, trustee, employee, agent, fiduciary or “party in interest” (as defined in ERISA) of, or with respect to, or the Company’s representative in, another corporation, partnership, limited liability company, joint venture, trust, employee benefit plan or other enterprise.</w:t>
      </w:r>
    </w:p>
    <w:p>
      <w:pPr>
        <w:spacing w:after="0" w:line="54" w:lineRule="exact"/>
        <w:rPr>
          <w:rFonts w:ascii="Times New Roman" w:cs="Times New Roman" w:eastAsia="Times New Roman" w:hAnsi="Times New Roman"/>
          <w:sz w:val="22"/>
          <w:szCs w:val="22"/>
          <w:color w:val="auto"/>
        </w:rPr>
      </w:pPr>
    </w:p>
    <w:p>
      <w:pPr>
        <w:ind w:left="440" w:firstLine="432"/>
        <w:spacing w:after="0" w:line="249" w:lineRule="auto"/>
        <w:tabs>
          <w:tab w:leader="none" w:pos="117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extent that Indemnitee is, by reason of having served as a director, Designated Officer, Designated Employee or agent of the Company or at the request of the Company as a director, officer, trustee, employee, agent, fiduciary or “party in interest” (as defined in ERISA) of, or with respect to, or the Company’s representative in, another corporation, partnership, limited liability company, joint venture, trust, employee benefit plan or other enterprise, a witness in any proceeding to which he is not a party, he shall be indemnified against all Expenses actual and reasonably incurred by Indemnitee or on his behalf in connection therewith.</w:t>
      </w:r>
    </w:p>
    <w:p>
      <w:pPr>
        <w:spacing w:after="0" w:line="325" w:lineRule="exact"/>
        <w:rPr>
          <w:rFonts w:ascii="Times New Roman" w:cs="Times New Roman" w:eastAsia="Times New Roman" w:hAnsi="Times New Roman"/>
          <w:sz w:val="22"/>
          <w:szCs w:val="22"/>
          <w:color w:val="auto"/>
        </w:rPr>
      </w:pPr>
    </w:p>
    <w:p>
      <w:pPr>
        <w:ind w:left="500" w:hanging="465"/>
        <w:spacing w:after="0"/>
        <w:tabs>
          <w:tab w:leader="none" w:pos="50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Limitations on Indemnity.</w:t>
      </w:r>
    </w:p>
    <w:p>
      <w:pPr>
        <w:spacing w:after="0" w:line="115" w:lineRule="exact"/>
        <w:rPr>
          <w:rFonts w:ascii="Times New Roman" w:cs="Times New Roman" w:eastAsia="Times New Roman" w:hAnsi="Times New Roman"/>
          <w:sz w:val="22"/>
          <w:szCs w:val="22"/>
          <w:b w:val="1"/>
          <w:bCs w:val="1"/>
          <w:color w:val="auto"/>
        </w:rPr>
      </w:pPr>
    </w:p>
    <w:p>
      <w:pPr>
        <w:ind w:left="1160" w:hanging="288"/>
        <w:spacing w:after="0"/>
        <w:tabs>
          <w:tab w:leader="none" w:pos="116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indemnification pursuant to Section 3 or Section 4 hereof shall be paid by the Company:</w:t>
      </w:r>
    </w:p>
    <w:p>
      <w:pPr>
        <w:sectPr>
          <w:pgSz w:w="11900" w:h="16838" w:orient="portrait"/>
          <w:cols w:equalWidth="0" w:num="1">
            <w:col w:w="11420"/>
          </w:cols>
          <w:pgMar w:left="240" w:top="122" w:right="2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305" w:lineRule="exact"/>
        <w:rPr>
          <w:sz w:val="20"/>
          <w:szCs w:val="20"/>
          <w:color w:val="auto"/>
        </w:rPr>
      </w:pPr>
    </w:p>
    <w:p>
      <w:pPr>
        <w:ind w:left="880" w:right="1060" w:firstLine="425"/>
        <w:spacing w:after="0" w:line="271" w:lineRule="auto"/>
        <w:tabs>
          <w:tab w:leader="none" w:pos="157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account of remuneration paid to Indemnitee if it shall be determined by a Final Judgment that such remuneration was in violation of law;</w:t>
      </w:r>
    </w:p>
    <w:p>
      <w:pPr>
        <w:spacing w:after="0" w:line="22" w:lineRule="exact"/>
        <w:rPr>
          <w:rFonts w:ascii="Times New Roman" w:cs="Times New Roman" w:eastAsia="Times New Roman" w:hAnsi="Times New Roman"/>
          <w:sz w:val="22"/>
          <w:szCs w:val="22"/>
          <w:color w:val="auto"/>
        </w:rPr>
      </w:pPr>
    </w:p>
    <w:p>
      <w:pPr>
        <w:ind w:left="880" w:firstLine="425"/>
        <w:spacing w:after="0" w:line="252" w:lineRule="auto"/>
        <w:tabs>
          <w:tab w:leader="none" w:pos="163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account of any suit in which a Final Judgment is rendered against Indemnitee for an accounting of profits made from the purchase or sale by Indemnitee of securities of the Company pursuant to the provisions of Section 16(b) of the Securities Exchange Act of 1934 and amendments thereto or similar provisions of any federal, state or local statutory law; or</w:t>
      </w:r>
    </w:p>
    <w:p>
      <w:pPr>
        <w:spacing w:after="0" w:line="44"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Final Judgment establishes that such indemnification is not lawful.</w:t>
      </w:r>
    </w:p>
    <w:p>
      <w:pPr>
        <w:spacing w:after="0" w:line="84" w:lineRule="exact"/>
        <w:rPr>
          <w:rFonts w:ascii="Times New Roman" w:cs="Times New Roman" w:eastAsia="Times New Roman" w:hAnsi="Times New Roman"/>
          <w:sz w:val="22"/>
          <w:szCs w:val="22"/>
          <w:color w:val="auto"/>
        </w:rPr>
      </w:pPr>
    </w:p>
    <w:p>
      <w:pPr>
        <w:ind w:left="440" w:right="180" w:firstLine="432"/>
        <w:spacing w:after="0" w:line="271" w:lineRule="auto"/>
        <w:tabs>
          <w:tab w:leader="none" w:pos="117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indemnification obligations under this Agreement shall be reduced to the extent payment is made to or for the benefit of Indemnitee pursuant to any D&amp;O Insurance purchased and maintained by the Company.</w:t>
      </w:r>
    </w:p>
    <w:p>
      <w:pPr>
        <w:spacing w:after="0" w:line="22" w:lineRule="exact"/>
        <w:rPr>
          <w:rFonts w:ascii="Times New Roman" w:cs="Times New Roman" w:eastAsia="Times New Roman" w:hAnsi="Times New Roman"/>
          <w:sz w:val="22"/>
          <w:szCs w:val="22"/>
          <w:color w:val="auto"/>
        </w:rPr>
      </w:pPr>
    </w:p>
    <w:p>
      <w:pPr>
        <w:ind w:left="440" w:right="40" w:firstLine="432"/>
        <w:spacing w:after="0" w:line="248" w:lineRule="auto"/>
        <w:tabs>
          <w:tab w:leader="none" w:pos="116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Indemnitee’s claim for indemnification under this Agreement arises out of Indemnitee’s service at the request of the Company as a director, officer, employee or agent of another corporation, partnership, limited liability company, joint venture, trust, employee benefit plan or other enterprise, the Company’s indemnification obligation hereunder shall be limited to that amount required in excess of any indemnification and/or insurance provided to Indemnitee by such other corporation, partnership, limited liability company, joint venture, trust, employee benefit plan or other enterprise. Indemnitee hereby also agrees that any indemnification obligation of the Company under the Company’s certificate of incorporation or by-laws with respect to such a claim shall also be subject to this limitation.</w:t>
      </w:r>
    </w:p>
    <w:p>
      <w:pPr>
        <w:spacing w:after="0" w:line="327" w:lineRule="exact"/>
        <w:rPr>
          <w:sz w:val="20"/>
          <w:szCs w:val="20"/>
          <w:color w:val="auto"/>
        </w:rPr>
      </w:pPr>
    </w:p>
    <w:p>
      <w:pPr>
        <w:ind w:left="500" w:hanging="465"/>
        <w:spacing w:after="0"/>
        <w:tabs>
          <w:tab w:leader="none" w:pos="50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Continuation of Indemnity.</w:t>
      </w:r>
    </w:p>
    <w:p>
      <w:pPr>
        <w:spacing w:after="0" w:line="116" w:lineRule="exact"/>
        <w:rPr>
          <w:sz w:val="20"/>
          <w:szCs w:val="20"/>
          <w:color w:val="auto"/>
        </w:rPr>
      </w:pPr>
    </w:p>
    <w:p>
      <w:pPr>
        <w:ind w:right="80" w:firstLine="432"/>
        <w:spacing w:after="0" w:line="248" w:lineRule="auto"/>
        <w:rPr>
          <w:sz w:val="20"/>
          <w:szCs w:val="20"/>
          <w:color w:val="auto"/>
        </w:rPr>
      </w:pPr>
      <w:r>
        <w:rPr>
          <w:rFonts w:ascii="Times New Roman" w:cs="Times New Roman" w:eastAsia="Times New Roman" w:hAnsi="Times New Roman"/>
          <w:sz w:val="22"/>
          <w:szCs w:val="22"/>
          <w:color w:val="auto"/>
        </w:rPr>
        <w:t>All agreements and obligations of the Company contained herein shall continue during the period Indemnitee is a director, Designated Officer and/or Designated Employee of the Company (or is or was serving at the request of the Company as a director, officer, employee or agent of another corporation, partnership, limited liability company, joint venture, trust, employee benefit plan or other enterprise) and shall continue thereafter so long as Indemnitee shall be subject to any possible claim, or threatened, pending or completed action, suit or proceeding, whether civil, criminal, administrative, investigative, formal or informal, by reason of the fact that Indemnitee was a director, Designated Officer, Designated Employee or agent of the Company or was serving in any other capacity described in this Section 6.</w:t>
      </w:r>
    </w:p>
    <w:p>
      <w:pPr>
        <w:spacing w:after="0" w:line="327" w:lineRule="exact"/>
        <w:rPr>
          <w:sz w:val="20"/>
          <w:szCs w:val="20"/>
          <w:color w:val="auto"/>
        </w:rPr>
      </w:pPr>
    </w:p>
    <w:p>
      <w:pPr>
        <w:ind w:left="500" w:hanging="465"/>
        <w:spacing w:after="0"/>
        <w:tabs>
          <w:tab w:leader="none" w:pos="50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Notification and Defense of Claim.</w:t>
      </w:r>
    </w:p>
    <w:p>
      <w:pPr>
        <w:spacing w:after="0" w:line="116" w:lineRule="exact"/>
        <w:rPr>
          <w:sz w:val="20"/>
          <w:szCs w:val="20"/>
          <w:color w:val="auto"/>
        </w:rPr>
      </w:pPr>
    </w:p>
    <w:p>
      <w:pPr>
        <w:ind w:right="220" w:firstLine="432"/>
        <w:spacing w:after="0" w:line="268" w:lineRule="auto"/>
        <w:rPr>
          <w:sz w:val="20"/>
          <w:szCs w:val="20"/>
          <w:color w:val="auto"/>
        </w:rPr>
      </w:pPr>
      <w:r>
        <w:rPr>
          <w:rFonts w:ascii="Times New Roman" w:cs="Times New Roman" w:eastAsia="Times New Roman" w:hAnsi="Times New Roman"/>
          <w:sz w:val="21"/>
          <w:szCs w:val="21"/>
          <w:color w:val="auto"/>
        </w:rPr>
        <w:t>Promptly after receipt by Indemnitee of notice of the commencement of any action, suit or proceeding, Indemnitee shall, if a claim in respect thereof is to be made against the Company under this Agreement, notify the Company of the commencement thereof; but the omission so to notify the Company shall not relieve it from any liability which it may have to Indemnitee. With respect to any such action, suit or proceeding as to which Indemnitee notifies the Company of the commencement thereof:</w:t>
      </w:r>
    </w:p>
    <w:p>
      <w:pPr>
        <w:spacing w:after="0" w:line="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 the Company shall be entitled to participate therein at its own expense;</w:t>
      </w:r>
    </w:p>
    <w:p>
      <w:pPr>
        <w:sectPr>
          <w:pgSz w:w="11900" w:h="16838" w:orient="portrait"/>
          <w:cols w:equalWidth="0" w:num="1">
            <w:col w:w="11420"/>
          </w:cols>
          <w:pgMar w:left="240" w:top="122" w:right="2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305" w:lineRule="exact"/>
        <w:rPr>
          <w:sz w:val="20"/>
          <w:szCs w:val="20"/>
          <w:color w:val="auto"/>
        </w:rPr>
      </w:pPr>
    </w:p>
    <w:p>
      <w:pPr>
        <w:ind w:left="405" w:firstLine="432"/>
        <w:spacing w:after="0" w:line="258" w:lineRule="auto"/>
        <w:tabs>
          <w:tab w:leader="none" w:pos="1143"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below, to the extent that it may wish, the Company jointly with any other indemnifying party similarly notified shall be entitled to assume the defense thereof, with counsel reasonably satisfactory to Indemnitee. After notice from the Company to Indemnitee of its election so to assume the defense thereof, the Company shall not be liable to Indemnitee under this Agreement for any legal or other expenses subsequently incurred by Indemnitee in connection with the defense thereof other than reasonable costs of investigation or as otherwise provided below. Indemnitee shall have the right to employ his own chosen counsel in such action, suit or proceeding but the fees and expenses of such counsel incurred after notice from the Company of its assumption of the defense thereof shall be at the expense of Indemnitee, unless (i) the employment of such counsel by Indemnitee has been authorized by the Company, (ii) Indemnitee shall have reasonably concluded that there may be a conflict of interest between the Company and Indemnitee in the conduct of the defense of such action, suit or proceeding or (iii) the Company shall not in fact have employed its counsel to assume the defense of such action, in each of which cases the fees and expenses of Indemnitee’s counsel shall be at the expense of the Company. The Company shall not be entitled to assume the defense of any action, suit or proceeding brought by or on behalf of the Company or as to which Indemnitee shall have made the conclusion described in (ii) of this Section 7(b); and</w:t>
      </w:r>
    </w:p>
    <w:p>
      <w:pPr>
        <w:spacing w:after="0" w:line="42" w:lineRule="exact"/>
        <w:rPr>
          <w:rFonts w:ascii="Times New Roman" w:cs="Times New Roman" w:eastAsia="Times New Roman" w:hAnsi="Times New Roman"/>
          <w:sz w:val="21"/>
          <w:szCs w:val="21"/>
          <w:color w:val="auto"/>
        </w:rPr>
      </w:pPr>
    </w:p>
    <w:p>
      <w:pPr>
        <w:ind w:left="405" w:right="60" w:firstLine="432"/>
        <w:spacing w:after="0" w:line="250" w:lineRule="auto"/>
        <w:tabs>
          <w:tab w:leader="none" w:pos="113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to indemnify Indemnitee under this Agreement for any amounts paid in settlement of any action or claim effected without the Company’s written consent. The Company shall not settle any action or claim in any manner which would impose any penalty, equitable remedy or injunctive or other relief or limitation on Indemnitee without Indemnitee’s written consent. Neither the Company nor Indemnitee shall unreasonably withhold their consent to any proposed settlement.</w:t>
      </w:r>
    </w:p>
    <w:p>
      <w:pPr>
        <w:spacing w:after="0" w:line="326" w:lineRule="exact"/>
        <w:rPr>
          <w:rFonts w:ascii="Times New Roman" w:cs="Times New Roman" w:eastAsia="Times New Roman" w:hAnsi="Times New Roman"/>
          <w:sz w:val="22"/>
          <w:szCs w:val="22"/>
          <w:color w:val="auto"/>
        </w:rPr>
      </w:pPr>
    </w:p>
    <w:p>
      <w:pPr>
        <w:ind w:left="465" w:hanging="465"/>
        <w:spacing w:after="0"/>
        <w:tabs>
          <w:tab w:leader="none" w:pos="465"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Procedures for Determination of Entitlement to Indemnification.</w:t>
      </w:r>
    </w:p>
    <w:p>
      <w:pPr>
        <w:spacing w:after="0" w:line="115" w:lineRule="exact"/>
        <w:rPr>
          <w:rFonts w:ascii="Times New Roman" w:cs="Times New Roman" w:eastAsia="Times New Roman" w:hAnsi="Times New Roman"/>
          <w:sz w:val="22"/>
          <w:szCs w:val="22"/>
          <w:b w:val="1"/>
          <w:bCs w:val="1"/>
          <w:color w:val="auto"/>
        </w:rPr>
      </w:pPr>
    </w:p>
    <w:p>
      <w:pPr>
        <w:ind w:left="405" w:right="180" w:firstLine="432"/>
        <w:spacing w:after="0" w:line="268" w:lineRule="auto"/>
        <w:tabs>
          <w:tab w:leader="none" w:pos="1131"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Request</w:t>
      </w:r>
      <w:r>
        <w:rPr>
          <w:rFonts w:ascii="Times New Roman" w:cs="Times New Roman" w:eastAsia="Times New Roman" w:hAnsi="Times New Roman"/>
          <w:sz w:val="21"/>
          <w:szCs w:val="21"/>
          <w:color w:val="auto"/>
        </w:rPr>
        <w:t>.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advise the Board of Directors in writing that Indemnitee has requested indemnification.</w:t>
      </w:r>
    </w:p>
    <w:p>
      <w:pPr>
        <w:spacing w:after="0" w:line="28" w:lineRule="exact"/>
        <w:rPr>
          <w:rFonts w:ascii="Times New Roman" w:cs="Times New Roman" w:eastAsia="Times New Roman" w:hAnsi="Times New Roman"/>
          <w:sz w:val="21"/>
          <w:szCs w:val="21"/>
          <w:color w:val="auto"/>
        </w:rPr>
      </w:pPr>
    </w:p>
    <w:p>
      <w:pPr>
        <w:ind w:left="405" w:right="260" w:firstLine="432"/>
        <w:spacing w:after="0" w:line="271" w:lineRule="auto"/>
        <w:tabs>
          <w:tab w:leader="none" w:pos="1143"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Determination</w:t>
      </w:r>
      <w:r>
        <w:rPr>
          <w:rFonts w:ascii="Times New Roman" w:cs="Times New Roman" w:eastAsia="Times New Roman" w:hAnsi="Times New Roman"/>
          <w:sz w:val="22"/>
          <w:szCs w:val="22"/>
          <w:color w:val="auto"/>
        </w:rPr>
        <w:t>. If such a determination is required as a matter of law as a condition to indemnification, a determination with respect to Indemnitee’s entitlement to indemnification shall be made as follows:</w:t>
      </w:r>
    </w:p>
    <w:p>
      <w:pPr>
        <w:spacing w:after="0" w:line="22" w:lineRule="exact"/>
        <w:rPr>
          <w:rFonts w:ascii="Times New Roman" w:cs="Times New Roman" w:eastAsia="Times New Roman" w:hAnsi="Times New Roman"/>
          <w:sz w:val="22"/>
          <w:szCs w:val="22"/>
          <w:color w:val="auto"/>
        </w:rPr>
      </w:pPr>
    </w:p>
    <w:p>
      <w:pPr>
        <w:jc w:val="both"/>
        <w:ind w:left="845" w:right="200" w:firstLine="425"/>
        <w:spacing w:after="0" w:line="257" w:lineRule="auto"/>
        <w:tabs>
          <w:tab w:leader="none" w:pos="1535"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has occurred, unless Indemnitee shall request in writing that such determination be made in accordance with clause (ii) of this Section 8(b), the determination shall be made by Independent Counsel in a written opinion to the Board of Directors, a copy of which shall be delivered to Indemnitee;</w:t>
      </w:r>
    </w:p>
    <w:p>
      <w:pPr>
        <w:spacing w:after="0" w:line="38" w:lineRule="exact"/>
        <w:rPr>
          <w:rFonts w:ascii="Times New Roman" w:cs="Times New Roman" w:eastAsia="Times New Roman" w:hAnsi="Times New Roman"/>
          <w:sz w:val="22"/>
          <w:szCs w:val="22"/>
          <w:color w:val="auto"/>
        </w:rPr>
      </w:pPr>
    </w:p>
    <w:p>
      <w:pPr>
        <w:ind w:left="845" w:right="40" w:firstLine="425"/>
        <w:spacing w:after="0" w:line="257" w:lineRule="auto"/>
        <w:tabs>
          <w:tab w:leader="none" w:pos="1595"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has not occurred, the determination shall be made by the Board of Directors by a majority vote of a quorum consisting of directors who are not and were not a party to the action, suit or proceeding in respect of which indemnification is sought by Indemnitee (“Disinterested Directors”). In the event that a</w:t>
      </w:r>
    </w:p>
    <w:p>
      <w:pPr>
        <w:sectPr>
          <w:pgSz w:w="11900" w:h="16838" w:orient="portrait"/>
          <w:cols w:equalWidth="0" w:num="1">
            <w:col w:w="11385"/>
          </w:cols>
          <w:pgMar w:left="275" w:top="122" w:right="239" w:bottom="1440" w:gutter="0" w:footer="0" w:header="0"/>
        </w:sectPr>
      </w:pPr>
    </w:p>
    <w:bookmarkStart w:id="174" w:name="page175"/>
    <w:bookmarkEnd w:id="174"/>
    <w:p>
      <w:pPr>
        <w:ind w:left="9760"/>
        <w:spacing w:after="0"/>
        <w:rPr>
          <w:sz w:val="20"/>
          <w:szCs w:val="20"/>
          <w:color w:val="auto"/>
        </w:rPr>
      </w:pPr>
      <w:r>
        <w:rPr>
          <w:rFonts w:ascii="Times New Roman" w:cs="Times New Roman" w:eastAsia="Times New Roman" w:hAnsi="Times New Roman"/>
          <w:sz w:val="21"/>
          <w:szCs w:val="21"/>
          <w:b w:val="1"/>
          <w:bCs w:val="1"/>
          <w:color w:val="auto"/>
        </w:rPr>
        <w:t>Exhibit 10.29</w:t>
      </w:r>
    </w:p>
    <w:p>
      <w:pPr>
        <w:spacing w:after="0" w:line="316" w:lineRule="exact"/>
        <w:rPr>
          <w:sz w:val="20"/>
          <w:szCs w:val="20"/>
          <w:color w:val="auto"/>
        </w:rPr>
      </w:pPr>
    </w:p>
    <w:p>
      <w:pPr>
        <w:jc w:val="both"/>
        <w:ind w:left="440" w:right="560"/>
        <w:spacing w:after="0" w:line="257" w:lineRule="auto"/>
        <w:rPr>
          <w:sz w:val="20"/>
          <w:szCs w:val="20"/>
          <w:color w:val="auto"/>
        </w:rPr>
      </w:pPr>
      <w:r>
        <w:rPr>
          <w:rFonts w:ascii="Times New Roman" w:cs="Times New Roman" w:eastAsia="Times New Roman" w:hAnsi="Times New Roman"/>
          <w:sz w:val="22"/>
          <w:szCs w:val="22"/>
          <w:color w:val="auto"/>
        </w:rPr>
        <w:t>quorum of the Board of Directors consisting of Disinterested Directors is not obtainable or, even if obtainable, such quorum of Disinterested Directors so directs, the determination shall be made by Independent Counsel in a written opinion to the Board of Directors, a copy of which shall be delivered to Indemnitee.</w:t>
      </w:r>
    </w:p>
    <w:p>
      <w:pPr>
        <w:spacing w:after="0" w:line="38" w:lineRule="exact"/>
        <w:rPr>
          <w:sz w:val="20"/>
          <w:szCs w:val="20"/>
          <w:color w:val="auto"/>
        </w:rPr>
      </w:pPr>
    </w:p>
    <w:p>
      <w:pPr>
        <w:ind w:left="720" w:hanging="288"/>
        <w:spacing w:after="0"/>
        <w:tabs>
          <w:tab w:leader="none" w:pos="7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Payment, Discharge of Independent Counsel</w:t>
      </w:r>
      <w:r>
        <w:rPr>
          <w:rFonts w:ascii="Times New Roman" w:cs="Times New Roman" w:eastAsia="Times New Roman" w:hAnsi="Times New Roman"/>
          <w:sz w:val="22"/>
          <w:szCs w:val="22"/>
          <w:color w:val="auto"/>
        </w:rPr>
        <w:t>. In the event the determination of entitlement of</w:t>
      </w:r>
    </w:p>
    <w:p>
      <w:pPr>
        <w:spacing w:after="0" w:line="27" w:lineRule="exact"/>
        <w:rPr>
          <w:rFonts w:ascii="Times New Roman" w:cs="Times New Roman" w:eastAsia="Times New Roman" w:hAnsi="Times New Roman"/>
          <w:sz w:val="22"/>
          <w:szCs w:val="22"/>
          <w:color w:val="auto"/>
        </w:rPr>
      </w:pPr>
    </w:p>
    <w:p>
      <w:pPr>
        <w:ind w:right="54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is to be made by Independent Counsel pursuant to Section 8(b) hereof, the Independent Counsel shall be selected, paid, and discharged in the following manner:</w:t>
      </w:r>
    </w:p>
    <w:p>
      <w:pPr>
        <w:spacing w:after="0" w:line="47" w:lineRule="exact"/>
        <w:rPr>
          <w:rFonts w:ascii="Times New Roman" w:cs="Times New Roman" w:eastAsia="Times New Roman" w:hAnsi="Times New Roman"/>
          <w:sz w:val="22"/>
          <w:szCs w:val="22"/>
          <w:color w:val="auto"/>
        </w:rPr>
      </w:pPr>
    </w:p>
    <w:p>
      <w:pPr>
        <w:ind w:left="440" w:firstLine="425"/>
        <w:spacing w:after="0" w:line="257" w:lineRule="auto"/>
        <w:tabs>
          <w:tab w:leader="none" w:pos="113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has not occurred, the Independent Counsel shall be selected by the Board of Directors, and the Company shall give written notice to Indemnitee advising Indemnitee of the identity of the Independent Counsel so selected.</w:t>
      </w:r>
    </w:p>
    <w:p>
      <w:pPr>
        <w:spacing w:after="0" w:line="38" w:lineRule="exact"/>
        <w:rPr>
          <w:rFonts w:ascii="Times New Roman" w:cs="Times New Roman" w:eastAsia="Times New Roman" w:hAnsi="Times New Roman"/>
          <w:sz w:val="22"/>
          <w:szCs w:val="22"/>
          <w:color w:val="auto"/>
        </w:rPr>
      </w:pPr>
    </w:p>
    <w:p>
      <w:pPr>
        <w:ind w:left="440" w:right="200" w:firstLine="425"/>
        <w:spacing w:after="0" w:line="252" w:lineRule="auto"/>
        <w:tabs>
          <w:tab w:leader="none" w:pos="119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has occurred, the Independent Counsel shall be selected by Indemnitee (unless Indemnitee shall request that such selection be made by the Board of Directors, in which event clause (i) of this Section 8(c) shall apply), and Indemnitee shall give written notice to the Company advising it of the identity of the Independent Counsel so selected.</w:t>
      </w:r>
    </w:p>
    <w:p>
      <w:pPr>
        <w:spacing w:after="0" w:line="44" w:lineRule="exact"/>
        <w:rPr>
          <w:rFonts w:ascii="Times New Roman" w:cs="Times New Roman" w:eastAsia="Times New Roman" w:hAnsi="Times New Roman"/>
          <w:sz w:val="22"/>
          <w:szCs w:val="22"/>
          <w:color w:val="auto"/>
        </w:rPr>
      </w:pPr>
    </w:p>
    <w:p>
      <w:pPr>
        <w:ind w:left="440" w:right="100" w:firstLine="425"/>
        <w:spacing w:after="0" w:line="247" w:lineRule="auto"/>
        <w:tabs>
          <w:tab w:leader="none" w:pos="125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initial selection described in clauses (i) and (ii) of this Section 8(c), Indemnitee or the Company, as the case may be, may, within ten (10) days after such written notice of selection has been received, deliver to the other party a written objection to such selection. Such objection may be asserted only on the ground that the Independent Counsel so selected does not meet the requirements of “Independent Counsel” as defined in Section 1(d) hereof, and the objection shall set forth with particularity the factual basis of such assertion. Absent a proper and timely objection, the person so selected shall act as Independent Counsel. If such written objection is made, the Independent Counsel so selected may not serve as Independent Counsel unless and until a court has determined that such objection is without merit.</w:t>
      </w:r>
    </w:p>
    <w:p>
      <w:pPr>
        <w:spacing w:after="0" w:line="50" w:lineRule="exact"/>
        <w:rPr>
          <w:rFonts w:ascii="Times New Roman" w:cs="Times New Roman" w:eastAsia="Times New Roman" w:hAnsi="Times New Roman"/>
          <w:sz w:val="22"/>
          <w:szCs w:val="22"/>
          <w:color w:val="auto"/>
        </w:rPr>
      </w:pPr>
    </w:p>
    <w:p>
      <w:pPr>
        <w:ind w:left="440" w:right="20" w:firstLine="425"/>
        <w:spacing w:after="0" w:line="249" w:lineRule="auto"/>
        <w:tabs>
          <w:tab w:leader="none" w:pos="1238"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the Company or Indemnitee may petition a court of competent jurisdiction if the parties have been unable to agree on the selection of Independent Counsel within 20 days after receipt by the Company of a written request for indemnification pursuant to Section 8(a) hereof. Such petition may request a determination whether an objection to the party’s selection is without merit and/or seek the appointment as Independent Counsel of a person selected by the court or by such other person as the court shall designate. A person so appointed shall act as Independent Counsel under Section 8(b) hereof.</w:t>
      </w:r>
    </w:p>
    <w:p>
      <w:pPr>
        <w:spacing w:after="0" w:line="45" w:lineRule="exact"/>
        <w:rPr>
          <w:rFonts w:ascii="Times New Roman" w:cs="Times New Roman" w:eastAsia="Times New Roman" w:hAnsi="Times New Roman"/>
          <w:sz w:val="22"/>
          <w:szCs w:val="22"/>
          <w:color w:val="auto"/>
        </w:rPr>
      </w:pPr>
    </w:p>
    <w:p>
      <w:pPr>
        <w:ind w:left="440" w:right="60" w:firstLine="425"/>
        <w:spacing w:after="0" w:line="252" w:lineRule="auto"/>
        <w:tabs>
          <w:tab w:leader="none" w:pos="1178"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any and all reasonable fees of Independent Counsel, and the reasonable expenses incurred by such Independent Counsel, in connection with acting pursuant to this Agreement, and the Company shall pay all reasonable fees and expenses incident to the procedures of this Section 8(c), regardless of the manner in which such Independent Counsel was selected or appointed.</w:t>
      </w:r>
    </w:p>
    <w:p>
      <w:pPr>
        <w:spacing w:after="0" w:line="44" w:lineRule="exact"/>
        <w:rPr>
          <w:rFonts w:ascii="Times New Roman" w:cs="Times New Roman" w:eastAsia="Times New Roman" w:hAnsi="Times New Roman"/>
          <w:sz w:val="22"/>
          <w:szCs w:val="22"/>
          <w:color w:val="auto"/>
        </w:rPr>
      </w:pPr>
    </w:p>
    <w:p>
      <w:pPr>
        <w:ind w:left="440" w:right="60" w:firstLine="425"/>
        <w:spacing w:after="0" w:line="257" w:lineRule="auto"/>
        <w:tabs>
          <w:tab w:leader="none" w:pos="1238"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due commencement of any judicial proceeding pursuant to Section 11(b) hereof, the Independent Counsel shall be discharged and relieved of any further responsibility in such capacity (subject to the applicable standards of professional conduct then prevailing).</w:t>
      </w:r>
    </w:p>
    <w:p>
      <w:pPr>
        <w:sectPr>
          <w:pgSz w:w="11900" w:h="16838" w:orient="portrait"/>
          <w:cols w:equalWidth="0" w:num="1">
            <w:col w:w="10980"/>
          </w:cols>
          <w:pgMar w:left="680" w:top="122" w:right="2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305" w:lineRule="exact"/>
        <w:rPr>
          <w:sz w:val="20"/>
          <w:szCs w:val="20"/>
          <w:color w:val="auto"/>
        </w:rPr>
      </w:pPr>
    </w:p>
    <w:p>
      <w:pPr>
        <w:ind w:left="405" w:firstLine="432"/>
        <w:spacing w:after="0" w:line="245" w:lineRule="auto"/>
        <w:tabs>
          <w:tab w:leader="none" w:pos="1143"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Indemnitee shall cooperate with the person, persons or entity making the determination with respect to Indemnitee’s entitlement to indemnification under this Agreement,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If a determination is made that Indemnitee is entitled to indemnification under this Agreement (including if such indemnification is subject to Section 5(c)), Indemnitee shall continue to provide the Company with such documentation and information and to provide such other cooperation as the Company may reasonably request. Any costs or expenses (including attorneys’ fees and disbursements) incurred by Indemnitee in so cooperating with the Company shall be borne by the Company and the Company hereby indemnifies and agrees to hold Indemnitee harmless therefrom.</w:t>
      </w:r>
    </w:p>
    <w:p>
      <w:pPr>
        <w:spacing w:after="0" w:line="340" w:lineRule="exact"/>
        <w:rPr>
          <w:rFonts w:ascii="Times New Roman" w:cs="Times New Roman" w:eastAsia="Times New Roman" w:hAnsi="Times New Roman"/>
          <w:sz w:val="22"/>
          <w:szCs w:val="22"/>
          <w:color w:val="auto"/>
        </w:rPr>
      </w:pPr>
    </w:p>
    <w:p>
      <w:pPr>
        <w:ind w:left="465" w:hanging="465"/>
        <w:spacing w:after="0"/>
        <w:tabs>
          <w:tab w:leader="none" w:pos="465"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Presumptions and Effect of Certain Proceedings.</w:t>
      </w:r>
    </w:p>
    <w:p>
      <w:pPr>
        <w:spacing w:after="0" w:line="115" w:lineRule="exact"/>
        <w:rPr>
          <w:rFonts w:ascii="Times New Roman" w:cs="Times New Roman" w:eastAsia="Times New Roman" w:hAnsi="Times New Roman"/>
          <w:sz w:val="22"/>
          <w:szCs w:val="22"/>
          <w:b w:val="1"/>
          <w:bCs w:val="1"/>
          <w:color w:val="auto"/>
        </w:rPr>
      </w:pPr>
    </w:p>
    <w:p>
      <w:pPr>
        <w:ind w:left="405" w:right="260" w:firstLine="432"/>
        <w:spacing w:after="0" w:line="250" w:lineRule="auto"/>
        <w:tabs>
          <w:tab w:leader="none" w:pos="1131"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a determination with respect to entitlement to indemnification hereunder, the person or persons or entity making such determination shall presume that Indemnitee is entitled to indemnification under this Agreement if Indemnitee has submitted a request for indemnification in accordance with Section 8(a) of this Agreement, and the Company shall have the burden of proof to overcome that presumption in connection with the making by any person, persons or entity of any determination contrary to that presumption.</w:t>
      </w:r>
    </w:p>
    <w:p>
      <w:pPr>
        <w:spacing w:after="0" w:line="46" w:lineRule="exact"/>
        <w:rPr>
          <w:rFonts w:ascii="Times New Roman" w:cs="Times New Roman" w:eastAsia="Times New Roman" w:hAnsi="Times New Roman"/>
          <w:sz w:val="22"/>
          <w:szCs w:val="22"/>
          <w:color w:val="auto"/>
        </w:rPr>
      </w:pPr>
    </w:p>
    <w:p>
      <w:pPr>
        <w:ind w:left="405" w:right="100" w:firstLine="432"/>
        <w:spacing w:after="0" w:line="252" w:lineRule="auto"/>
        <w:tabs>
          <w:tab w:leader="none" w:pos="1143"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any action, suit or proceeding or of any claim, issue or matter therein, by judgment, order, settlement or conviction, or upon a plea of nolo contendere or its equivalent, shall not of itself adversely affect the right of Indemnitee to indemnification or create a presumption that Indemnitee did not act in accordance with any standard of conduct that may be a condition to indemnification.</w:t>
      </w:r>
    </w:p>
    <w:p>
      <w:pPr>
        <w:spacing w:after="0" w:line="44" w:lineRule="exact"/>
        <w:rPr>
          <w:rFonts w:ascii="Times New Roman" w:cs="Times New Roman" w:eastAsia="Times New Roman" w:hAnsi="Times New Roman"/>
          <w:sz w:val="22"/>
          <w:szCs w:val="22"/>
          <w:color w:val="auto"/>
        </w:rPr>
      </w:pPr>
    </w:p>
    <w:p>
      <w:pPr>
        <w:ind w:left="405" w:right="280" w:firstLine="432"/>
        <w:spacing w:after="0" w:line="248" w:lineRule="auto"/>
        <w:tabs>
          <w:tab w:leader="none" w:pos="1131"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any determination of good faith, Indemnitee shall be deemed to have acted in good faith if Indemnitee’s action is based on the records or books of account of the Company, including financial statements, or on information supplied to Indemnitee by the officers of the Company in the course of their duties, or on the advice of legal counsel for the Company or on information or records given or reports made to the Company by an independent certified public accountant or by an appraiser or other expert selected with reasonable care by the Company. The provisions of this Section 9(c) shall not be deemed to be exclusive or to limit in any way the other circumstances in which Indemnitee may be deemed to have met the applicable standards for indemnification set forth in this Agreement.</w:t>
      </w:r>
    </w:p>
    <w:p>
      <w:pPr>
        <w:spacing w:after="0" w:line="47" w:lineRule="exact"/>
        <w:rPr>
          <w:rFonts w:ascii="Times New Roman" w:cs="Times New Roman" w:eastAsia="Times New Roman" w:hAnsi="Times New Roman"/>
          <w:sz w:val="22"/>
          <w:szCs w:val="22"/>
          <w:color w:val="auto"/>
        </w:rPr>
      </w:pPr>
    </w:p>
    <w:p>
      <w:pPr>
        <w:ind w:left="405" w:right="60" w:firstLine="432"/>
        <w:spacing w:after="0" w:line="271" w:lineRule="auto"/>
        <w:tabs>
          <w:tab w:leader="none" w:pos="1143"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knowledge and/or actions or failure to act of any director, officer, agent or employee of the Company shall not be imputed to Indemnitee for purposes of determining the right to indemnification under this Agreement.</w:t>
      </w:r>
    </w:p>
    <w:p>
      <w:pPr>
        <w:sectPr>
          <w:pgSz w:w="11900" w:h="16838" w:orient="portrait"/>
          <w:cols w:equalWidth="0" w:num="1">
            <w:col w:w="11385"/>
          </w:cols>
          <w:pgMar w:left="275" w:top="122" w:right="2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368" w:lineRule="exact"/>
        <w:rPr>
          <w:sz w:val="20"/>
          <w:szCs w:val="20"/>
          <w:color w:val="auto"/>
        </w:rPr>
      </w:pPr>
    </w:p>
    <w:p>
      <w:pPr>
        <w:ind w:left="620" w:hanging="585"/>
        <w:spacing w:after="0"/>
        <w:tabs>
          <w:tab w:leader="none" w:pos="62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Advance of Expenses, Judgments, Etc.</w:t>
      </w:r>
    </w:p>
    <w:p>
      <w:pPr>
        <w:spacing w:after="0" w:line="115" w:lineRule="exact"/>
        <w:rPr>
          <w:rFonts w:ascii="Times New Roman" w:cs="Times New Roman" w:eastAsia="Times New Roman" w:hAnsi="Times New Roman"/>
          <w:sz w:val="22"/>
          <w:szCs w:val="22"/>
          <w:b w:val="1"/>
          <w:bCs w:val="1"/>
          <w:color w:val="auto"/>
        </w:rPr>
      </w:pPr>
    </w:p>
    <w:p>
      <w:pPr>
        <w:ind w:right="80" w:firstLine="440"/>
        <w:spacing w:after="0" w:line="250" w:lineRule="auto"/>
        <w:tabs>
          <w:tab w:leader="none" w:pos="726"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Expenses incurred by Indemnitee in defending any claim, action, investigation, formal or informal, request for documents or information, responding to any subpoena or other legal process, suit or proceeding pursuant to which a claim for Indemnification may be applied for by Indemnitee pursuant to this Agreement, shall be advanced by the Company at the request of Indemnitee. Any judgments, fines or amounts to be paid in settlement shall also be advanced by the Company to Indemnitee upon request.</w:t>
      </w:r>
    </w:p>
    <w:p>
      <w:pPr>
        <w:spacing w:after="0" w:line="127" w:lineRule="exact"/>
        <w:rPr>
          <w:rFonts w:ascii="Times New Roman" w:cs="Times New Roman" w:eastAsia="Times New Roman" w:hAnsi="Times New Roman"/>
          <w:sz w:val="22"/>
          <w:szCs w:val="22"/>
          <w:color w:val="auto"/>
        </w:rPr>
      </w:pPr>
    </w:p>
    <w:p>
      <w:pPr>
        <w:ind w:right="100" w:firstLine="440"/>
        <w:spacing w:after="0" w:line="252" w:lineRule="auto"/>
        <w:tabs>
          <w:tab w:leader="none" w:pos="738"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advancement of Expenses by the Company pursuant to this Section 10, Indemnitee must, if required by law, provide an undertaking that if it shall ultimately be determined in a Final Judgment that Indemnitee was not entitled to be indemnified, or was not entitled to be fully indemnified, Indemnitee shall promptly repay to the Company all amounts advanced or the appropriate portion thereof so advanced.</w:t>
      </w:r>
    </w:p>
    <w:p>
      <w:pPr>
        <w:spacing w:after="0" w:line="324" w:lineRule="exact"/>
        <w:rPr>
          <w:rFonts w:ascii="Times New Roman" w:cs="Times New Roman" w:eastAsia="Times New Roman" w:hAnsi="Times New Roman"/>
          <w:sz w:val="22"/>
          <w:szCs w:val="22"/>
          <w:color w:val="auto"/>
        </w:rPr>
      </w:pPr>
    </w:p>
    <w:p>
      <w:pPr>
        <w:ind w:left="620" w:hanging="585"/>
        <w:spacing w:after="0"/>
        <w:tabs>
          <w:tab w:leader="none" w:pos="62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Enforcement.</w:t>
      </w:r>
    </w:p>
    <w:p>
      <w:pPr>
        <w:spacing w:after="0" w:line="115" w:lineRule="exact"/>
        <w:rPr>
          <w:rFonts w:ascii="Times New Roman" w:cs="Times New Roman" w:eastAsia="Times New Roman" w:hAnsi="Times New Roman"/>
          <w:sz w:val="22"/>
          <w:szCs w:val="22"/>
          <w:b w:val="1"/>
          <w:bCs w:val="1"/>
          <w:color w:val="auto"/>
        </w:rPr>
      </w:pPr>
    </w:p>
    <w:p>
      <w:pPr>
        <w:ind w:left="440" w:right="100" w:firstLine="432"/>
        <w:spacing w:after="0" w:line="265" w:lineRule="auto"/>
        <w:tabs>
          <w:tab w:leader="none" w:pos="1166" w:val="left"/>
        </w:tabs>
        <w:numPr>
          <w:ilvl w:val="2"/>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expressly confirms and agrees that it has entered into this Agreement and assumed the obligations imposed on the Company hereby in order to induce Indemnitee to commence or continue serving as a director, Designated Officer and/or Designated Employee of the Company, and/or at the request of the Company as a director, officer, employee or agent of another corporation, partnership, limited liability company, joint venture, trust, employee benefit plan or other enterprise, and acknowledges that Indemnitee is relying upon this Agreement in commencing or continuing in such capacity.</w:t>
      </w:r>
    </w:p>
    <w:p>
      <w:pPr>
        <w:spacing w:after="0" w:line="30" w:lineRule="exact"/>
        <w:rPr>
          <w:rFonts w:ascii="Times New Roman" w:cs="Times New Roman" w:eastAsia="Times New Roman" w:hAnsi="Times New Roman"/>
          <w:sz w:val="21"/>
          <w:szCs w:val="21"/>
          <w:color w:val="auto"/>
        </w:rPr>
      </w:pPr>
    </w:p>
    <w:p>
      <w:pPr>
        <w:ind w:left="440" w:firstLine="432"/>
        <w:spacing w:after="0" w:line="246" w:lineRule="auto"/>
        <w:tabs>
          <w:tab w:leader="none" w:pos="1178"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 determination is made that Indemnitee is not entitled to indemnification under this Agreement, (ii) an advancement of Expenses, judgments, fines or amounts to be paid in settlement or other amounts pursuant to Section 11 hereof is not made within 15 days after receipt by the Company of a request therefor, (iii) a determination of entitlement to indemnification pursuant to Section 8 hereof has not been made within 90 days after receipt by the Company of the request therefor, or (iv) payment of indemnification is not made within 10 days after a determination has been made that Indemnitee is entitled to indemnification, then Indemnitee may bring an action against the Company to recover the unpaid amount of the claim. In the event Indemnitee is required to bring any action to enforce rights or to collect moneys due under this Agreement, the Company shall reimburse Indemnitee for all of the Indemnitee’s Expenses in bringing and pursuing such action, whether or not Indemnitee is successful in such action, unless the court or other adjudicative body determines that such action for enforcement brought by Indemnitee was frivolous.</w:t>
      </w:r>
    </w:p>
    <w:p>
      <w:pPr>
        <w:spacing w:after="0" w:line="54" w:lineRule="exact"/>
        <w:rPr>
          <w:rFonts w:ascii="Times New Roman" w:cs="Times New Roman" w:eastAsia="Times New Roman" w:hAnsi="Times New Roman"/>
          <w:sz w:val="22"/>
          <w:szCs w:val="22"/>
          <w:color w:val="auto"/>
        </w:rPr>
      </w:pPr>
    </w:p>
    <w:p>
      <w:pPr>
        <w:ind w:left="440" w:right="100" w:firstLine="432"/>
        <w:spacing w:after="0" w:line="265" w:lineRule="auto"/>
        <w:tabs>
          <w:tab w:leader="none" w:pos="1166" w:val="left"/>
        </w:tabs>
        <w:numPr>
          <w:ilvl w:val="2"/>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 determination shall have been made pursuant to Section 8 of this Agreement that Indemnitee is not entitled to indemnification, any judicial proceeding commenced pursuant to this Section 11 shall be conducted in all respects as a de novo trial on the merits and Indemnitee shall not be prejudiced by reason of that adverse determination. If a Change of Control shall have occurred, in any judicial proceeding commenced pursuant to this Section 11 the Company shall have the burden of proving that Indemnitee is not entitled to indemnification or advancement of Expenses, as the case may be.</w:t>
      </w:r>
    </w:p>
    <w:p>
      <w:pPr>
        <w:sectPr>
          <w:pgSz w:w="11900" w:h="16838" w:orient="portrait"/>
          <w:cols w:equalWidth="0" w:num="1">
            <w:col w:w="11420"/>
          </w:cols>
          <w:pgMar w:left="240" w:top="121" w:right="2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305" w:lineRule="exact"/>
        <w:rPr>
          <w:sz w:val="20"/>
          <w:szCs w:val="20"/>
          <w:color w:val="auto"/>
        </w:rPr>
      </w:pPr>
    </w:p>
    <w:p>
      <w:pPr>
        <w:ind w:left="440" w:right="220" w:firstLine="432"/>
        <w:spacing w:after="0" w:line="250" w:lineRule="auto"/>
        <w:tabs>
          <w:tab w:leader="none" w:pos="117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determination shall have been made or deemed to have been made pursuant to Section 8 or 9 of this Agreement that Indemnitee is entitled to indemnification, the Company shall be bound by such determination in any judicial proceeding commenced pursuant to this Section 11,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46" w:lineRule="exact"/>
        <w:rPr>
          <w:rFonts w:ascii="Times New Roman" w:cs="Times New Roman" w:eastAsia="Times New Roman" w:hAnsi="Times New Roman"/>
          <w:sz w:val="22"/>
          <w:szCs w:val="22"/>
          <w:color w:val="auto"/>
        </w:rPr>
      </w:pPr>
    </w:p>
    <w:p>
      <w:pPr>
        <w:jc w:val="both"/>
        <w:ind w:left="440" w:right="100" w:firstLine="432"/>
        <w:spacing w:after="0" w:line="252" w:lineRule="auto"/>
        <w:tabs>
          <w:tab w:leader="none" w:pos="116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precluded from asserting in any judicial proceeding or arbitration commenced to enforce this Agreement, including a judicial proceeding commenced pursuant to this Section 11, that the procedures and presumptions of this Agreement are not valid, binding and enforceable or that there is not sufficient consideration for this Agreement and shall stipulate in any such court that the Company is bound by all the provisions of this Agreement.</w:t>
      </w:r>
    </w:p>
    <w:p>
      <w:pPr>
        <w:spacing w:after="0" w:line="325" w:lineRule="exact"/>
        <w:rPr>
          <w:sz w:val="20"/>
          <w:szCs w:val="20"/>
          <w:color w:val="auto"/>
        </w:rPr>
      </w:pPr>
    </w:p>
    <w:p>
      <w:pPr>
        <w:ind w:left="620" w:hanging="585"/>
        <w:spacing w:after="0"/>
        <w:tabs>
          <w:tab w:leader="none" w:pos="62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Establishment of Trust.</w:t>
      </w:r>
    </w:p>
    <w:p>
      <w:pPr>
        <w:spacing w:after="0" w:line="116"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21"/>
          <w:szCs w:val="21"/>
          <w:color w:val="auto"/>
        </w:rPr>
        <w:t>In the event of a Potential Change in Control other than a Potential Change in Control approved by the Board of Directors of the Company prior to the Change in Control or in the event of such a Change in Control that has been so approved, if the Board determines in its discretion that this Section 12 should still apply, the Company shall, upon written request by Indemnitee, create a trust for the benefit of Indemnitee; and from time to time upon written request of Indemnitee the Company shall fund such trust in an amount sufficient to satisfy any and all Expenses reasonably anticipated at the time of each such request to be incurred, and any and all judgments, fines, penalties and settlement amount actually paid or claimed, reasonably anticipated or proposed to be paid, in connection with any pending or competed action, suit or proceeding pursuant to which a claim for indemnification or advancement may be applied for by Indemnitee pursuant to this Agreement. The amount or amounts to be deposited in the trust pursuant to the foregoing funding obligation shall be determined by Independent Counsel. The terms of the trust shall provide that upon a Change in Control (i) the trust shall not be revoked or the principal thereof invaded, without the written consent of Indemnitee, (ii) the trustee shall advance, within 15 days after receipt of a request by Indemnitee, any and all Expenses, judgments, fines or settlement amounts to Indemnitee for which funding has been provided (and Indemnitee hereby agrees to reimburse the trust under the circumstances under which Indemnitee would be required to reimburse the Company under Section 10 hereof), (iii) the trust shall continue to be funded by the Company in accordance with the funding obligations set forth above, (iv) the trustee shall promptly pay to Indemnitee, from and to the extent such trust has been funded, all amounts for which Indemnitee shall be entitled to indemnification pursuant to this Agreement or otherwise, and (v) all unexpended funds in such trust shall revert to the Company upon a final determination by Independent Counsel or a Final Judgment, as the case may be, that the Indemnitee has been fully indemnified under the terms of this Agreement. The trustee shall be an Independent Counsel or another independent person agreed upon by the Company and the Indemnitee. Nothing in this Section 12 shall relieve the Company of any of its obligations under this Agreement or under applicable law, the Company’s Certificate of Incorporation or By-Laws. All income earned on the assets held in the trust shall be reported as income by the Company for federal, state, local and foreign tax purposes. Notwithstanding the</w:t>
      </w:r>
    </w:p>
    <w:p>
      <w:pPr>
        <w:sectPr>
          <w:pgSz w:w="11900" w:h="16838" w:orient="portrait"/>
          <w:cols w:equalWidth="0" w:num="1">
            <w:col w:w="11420"/>
          </w:cols>
          <w:pgMar w:left="240" w:top="122" w:right="239" w:bottom="1440" w:gutter="0" w:footer="0" w:header="0"/>
        </w:sectPr>
      </w:pPr>
    </w:p>
    <w:bookmarkStart w:id="178" w:name="page179"/>
    <w:bookmarkEnd w:id="178"/>
    <w:p>
      <w:pPr>
        <w:ind w:left="10200"/>
        <w:spacing w:after="0"/>
        <w:rPr>
          <w:sz w:val="20"/>
          <w:szCs w:val="20"/>
          <w:color w:val="auto"/>
        </w:rPr>
      </w:pPr>
      <w:r>
        <w:rPr>
          <w:rFonts w:ascii="Times New Roman" w:cs="Times New Roman" w:eastAsia="Times New Roman" w:hAnsi="Times New Roman"/>
          <w:sz w:val="21"/>
          <w:szCs w:val="21"/>
          <w:b w:val="1"/>
          <w:bCs w:val="1"/>
          <w:color w:val="auto"/>
        </w:rPr>
        <w:t>Exhibit 10.29</w:t>
      </w:r>
    </w:p>
    <w:p>
      <w:pPr>
        <w:spacing w:after="0" w:line="31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foregoing, the Company shall have the right, in its sole discretion, in lieu of creating and funding such trust, to purchase and maintain one or more bonds or other forms of adequate security from an insurance company, surety company or similar source reasonably acceptable to Indemnitee, for the amounts which it would otherwise be required to place in trust pursuant to this Section 12.</w:t>
      </w:r>
    </w:p>
    <w:p>
      <w:pPr>
        <w:spacing w:after="0" w:line="325" w:lineRule="exact"/>
        <w:rPr>
          <w:sz w:val="20"/>
          <w:szCs w:val="20"/>
          <w:color w:val="auto"/>
        </w:rPr>
      </w:pPr>
    </w:p>
    <w:p>
      <w:pPr>
        <w:ind w:left="620" w:hanging="585"/>
        <w:spacing w:after="0"/>
        <w:tabs>
          <w:tab w:leader="none" w:pos="62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Rights and Remedies.</w:t>
      </w:r>
    </w:p>
    <w:p>
      <w:pPr>
        <w:spacing w:after="0" w:line="116" w:lineRule="exact"/>
        <w:rPr>
          <w:sz w:val="20"/>
          <w:szCs w:val="20"/>
          <w:color w:val="auto"/>
        </w:rPr>
      </w:pPr>
    </w:p>
    <w:p>
      <w:pPr>
        <w:ind w:right="40" w:firstLine="432"/>
        <w:spacing w:after="0" w:line="260" w:lineRule="auto"/>
        <w:rPr>
          <w:sz w:val="20"/>
          <w:szCs w:val="20"/>
          <w:color w:val="auto"/>
        </w:rPr>
      </w:pPr>
      <w:r>
        <w:rPr>
          <w:rFonts w:ascii="Times New Roman" w:cs="Times New Roman" w:eastAsia="Times New Roman" w:hAnsi="Times New Roman"/>
          <w:sz w:val="21"/>
          <w:szCs w:val="21"/>
          <w:color w:val="auto"/>
        </w:rPr>
        <w:t>The indemnification and other rights provided by this Agreement shall not be deemed exclusive of any other rights to which Indemnitee may be entitled or hereafter acquire under any provision of law, the Company’s Certificate of Incorporation or By-laws, other agreement, vote of shareholders or directors or otherwise, as to action in Indemnitee’s official capacity while occupying any of the positions or having any of the relationships referred to in this Agreement, and shall continue after Indemnitee has ceased to occupy such position or have such relationship, respecting acts or omissions of Indemnitee while Indemnitee occupied such position or had such relationship. No amendment, alteration or repeal of this Agreement or any provision hereof shall be effective as to Indemnitee with respect to any action taken or omitted by Indemnitee while occupying any of the positions or having any of the relationships referred to in this Agreement prior to such amendment, alteration or repeal.</w:t>
      </w:r>
    </w:p>
    <w:p>
      <w:pPr>
        <w:spacing w:after="0" w:line="321" w:lineRule="exact"/>
        <w:rPr>
          <w:sz w:val="20"/>
          <w:szCs w:val="20"/>
          <w:color w:val="auto"/>
        </w:rPr>
      </w:pPr>
    </w:p>
    <w:p>
      <w:pPr>
        <w:ind w:left="620" w:hanging="585"/>
        <w:spacing w:after="0"/>
        <w:tabs>
          <w:tab w:leader="none" w:pos="62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116"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21"/>
          <w:szCs w:val="21"/>
          <w:color w:val="auto"/>
        </w:rPr>
        <w:t>All notices, requests, demands and other communications hereunder shall be in writing and shall be deemed to have been duly given if (i) delivered by hand and receipted for by the party to whom said notice or other communications shall have been directed,</w:t>
      </w:r>
    </w:p>
    <w:p>
      <w:pPr>
        <w:spacing w:after="0" w:line="2" w:lineRule="exact"/>
        <w:rPr>
          <w:sz w:val="20"/>
          <w:szCs w:val="20"/>
          <w:color w:val="auto"/>
        </w:rPr>
      </w:pPr>
    </w:p>
    <w:p>
      <w:pPr>
        <w:ind w:right="280" w:firstLine="8"/>
        <w:spacing w:after="0" w:line="246" w:lineRule="auto"/>
        <w:tabs>
          <w:tab w:leader="none" w:pos="31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mailed by certified or registered mail with postage prepaid, or by Federal Express or similar service providing receipt against delivery, and (iii) telefaxed and received with a confirming copy received by the method described in (ii) above and shall be deemed received on the earlier of actual receipt or the third business day after the date on which it is so mailed:</w:t>
      </w:r>
    </w:p>
    <w:p>
      <w:pPr>
        <w:spacing w:after="0" w:line="48" w:lineRule="exact"/>
        <w:rPr>
          <w:rFonts w:ascii="Times New Roman" w:cs="Times New Roman" w:eastAsia="Times New Roman" w:hAnsi="Times New Roman"/>
          <w:sz w:val="22"/>
          <w:szCs w:val="22"/>
          <w:color w:val="auto"/>
        </w:rPr>
      </w:pPr>
    </w:p>
    <w:p>
      <w:pPr>
        <w:ind w:left="440" w:right="640" w:firstLine="432"/>
        <w:spacing w:after="0" w:line="271" w:lineRule="auto"/>
        <w:tabs>
          <w:tab w:leader="none" w:pos="116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Indemnitee, to the address set forth above or to such other address as may be furnished to the Company by Indemnitee by notice similarly given; or</w:t>
      </w:r>
    </w:p>
    <w:p>
      <w:pPr>
        <w:spacing w:after="0" w:line="22" w:lineRule="exact"/>
        <w:rPr>
          <w:rFonts w:ascii="Times New Roman" w:cs="Times New Roman" w:eastAsia="Times New Roman" w:hAnsi="Times New Roman"/>
          <w:sz w:val="22"/>
          <w:szCs w:val="22"/>
          <w:color w:val="auto"/>
        </w:rPr>
      </w:pPr>
    </w:p>
    <w:p>
      <w:pPr>
        <w:ind w:left="1180" w:hanging="308"/>
        <w:spacing w:after="0"/>
        <w:tabs>
          <w:tab w:leader="none" w:pos="118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Aramark Holdings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2400 Market Street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Philadelphia, PA 19103-3041</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Corporate Secretary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215-413-8808 (facsimile)</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or to such other address as may be furnished to Indemnitee by the Company by notice similarly given.</w:t>
      </w:r>
    </w:p>
    <w:p>
      <w:pPr>
        <w:spacing w:after="0" w:line="364" w:lineRule="exact"/>
        <w:rPr>
          <w:sz w:val="20"/>
          <w:szCs w:val="20"/>
          <w:color w:val="auto"/>
        </w:rPr>
      </w:pPr>
    </w:p>
    <w:p>
      <w:pPr>
        <w:ind w:left="620" w:hanging="585"/>
        <w:spacing w:after="0"/>
        <w:tabs>
          <w:tab w:leader="none" w:pos="62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Subrogation.</w:t>
      </w:r>
    </w:p>
    <w:p>
      <w:pPr>
        <w:spacing w:after="0" w:line="116" w:lineRule="exact"/>
        <w:rPr>
          <w:sz w:val="20"/>
          <w:szCs w:val="20"/>
          <w:color w:val="auto"/>
        </w:rPr>
      </w:pPr>
    </w:p>
    <w:p>
      <w:pPr>
        <w:ind w:right="360" w:firstLine="432"/>
        <w:spacing w:after="0" w:line="271" w:lineRule="auto"/>
        <w:rPr>
          <w:sz w:val="20"/>
          <w:szCs w:val="20"/>
          <w:color w:val="auto"/>
        </w:rPr>
      </w:pPr>
      <w:r>
        <w:rPr>
          <w:rFonts w:ascii="Times New Roman" w:cs="Times New Roman" w:eastAsia="Times New Roman" w:hAnsi="Times New Roman"/>
          <w:sz w:val="22"/>
          <w:szCs w:val="22"/>
          <w:color w:val="auto"/>
        </w:rPr>
        <w:t>In the event of payment under this Agreement, the Company shall be subrogated to the extent of such payment to all of the rights of recovery of Indemnitee in respect of such payment</w:t>
      </w:r>
    </w:p>
    <w:p>
      <w:pPr>
        <w:sectPr>
          <w:pgSz w:w="11900" w:h="16838" w:orient="portrait"/>
          <w:cols w:equalWidth="0" w:num="1">
            <w:col w:w="11420"/>
          </w:cols>
          <w:pgMar w:left="240" w:top="122" w:right="239" w:bottom="1440" w:gutter="0" w:footer="0" w:header="0"/>
        </w:sectPr>
      </w:pPr>
    </w:p>
    <w:bookmarkStart w:id="179" w:name="page180"/>
    <w:bookmarkEnd w:id="179"/>
    <w:p>
      <w:pPr>
        <w:ind w:left="10200"/>
        <w:spacing w:after="0"/>
        <w:rPr>
          <w:sz w:val="20"/>
          <w:szCs w:val="20"/>
          <w:color w:val="auto"/>
        </w:rPr>
      </w:pPr>
      <w:r>
        <w:rPr>
          <w:rFonts w:ascii="Times New Roman" w:cs="Times New Roman" w:eastAsia="Times New Roman" w:hAnsi="Times New Roman"/>
          <w:sz w:val="21"/>
          <w:szCs w:val="21"/>
          <w:b w:val="1"/>
          <w:bCs w:val="1"/>
          <w:color w:val="auto"/>
        </w:rPr>
        <w:t>Exhibit 10.29</w:t>
      </w:r>
    </w:p>
    <w:p>
      <w:pPr>
        <w:spacing w:after="0" w:line="316"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22"/>
          <w:szCs w:val="22"/>
          <w:color w:val="auto"/>
        </w:rPr>
        <w:t>against one or more third parties (including without limitation D&amp;O Insurance, if applicable). Indemnitee shall execute all documents and instruments necessary or desirable for such purpose, and shall do everything that may be reasonably necessary to secure such rights at the Expense of the Company, including the execution of such documents and instruments reasonably necessary or desirable to enable the Company effectively to bring suit to enforce such rights.</w:t>
      </w:r>
    </w:p>
    <w:p>
      <w:pPr>
        <w:spacing w:after="0" w:line="325" w:lineRule="exact"/>
        <w:rPr>
          <w:sz w:val="20"/>
          <w:szCs w:val="20"/>
          <w:color w:val="auto"/>
        </w:rPr>
      </w:pPr>
    </w:p>
    <w:p>
      <w:pPr>
        <w:ind w:left="620" w:hanging="585"/>
        <w:spacing w:after="0"/>
        <w:tabs>
          <w:tab w:leader="none" w:pos="62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Construction as Employment Agreement.</w:t>
      </w:r>
    </w:p>
    <w:p>
      <w:pPr>
        <w:spacing w:after="0" w:line="116" w:lineRule="exact"/>
        <w:rPr>
          <w:sz w:val="20"/>
          <w:szCs w:val="20"/>
          <w:color w:val="auto"/>
        </w:rPr>
      </w:pPr>
    </w:p>
    <w:p>
      <w:pPr>
        <w:ind w:right="100" w:firstLine="432"/>
        <w:spacing w:after="0" w:line="257" w:lineRule="auto"/>
        <w:rPr>
          <w:sz w:val="20"/>
          <w:szCs w:val="20"/>
          <w:color w:val="auto"/>
        </w:rPr>
      </w:pPr>
      <w:r>
        <w:rPr>
          <w:rFonts w:ascii="Times New Roman" w:cs="Times New Roman" w:eastAsia="Times New Roman" w:hAnsi="Times New Roman"/>
          <w:sz w:val="22"/>
          <w:szCs w:val="22"/>
          <w:color w:val="auto"/>
        </w:rPr>
        <w:t>Nothing contained herein shall be construed as giving Indemnitee any right to be retained as a director, officer or employee of the Company or in any capacity with any other entity referred to in Section 6 hereof, or in the employ of the Company or of any such other entity.</w:t>
      </w:r>
    </w:p>
    <w:p>
      <w:pPr>
        <w:spacing w:after="0" w:line="318" w:lineRule="exact"/>
        <w:rPr>
          <w:sz w:val="20"/>
          <w:szCs w:val="20"/>
          <w:color w:val="auto"/>
        </w:rPr>
      </w:pPr>
    </w:p>
    <w:p>
      <w:pPr>
        <w:ind w:left="620" w:hanging="585"/>
        <w:spacing w:after="0"/>
        <w:tabs>
          <w:tab w:leader="none" w:pos="62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116" w:lineRule="exact"/>
        <w:rPr>
          <w:sz w:val="20"/>
          <w:szCs w:val="20"/>
          <w:color w:val="auto"/>
        </w:rPr>
      </w:pPr>
    </w:p>
    <w:p>
      <w:pPr>
        <w:ind w:right="320" w:firstLine="432"/>
        <w:spacing w:after="0" w:line="263" w:lineRule="auto"/>
        <w:rPr>
          <w:sz w:val="20"/>
          <w:szCs w:val="20"/>
          <w:color w:val="auto"/>
        </w:rPr>
      </w:pPr>
      <w:r>
        <w:rPr>
          <w:rFonts w:ascii="Times New Roman" w:cs="Times New Roman" w:eastAsia="Times New Roman" w:hAnsi="Times New Roman"/>
          <w:sz w:val="21"/>
          <w:szCs w:val="21"/>
          <w:color w:val="auto"/>
        </w:rPr>
        <w:t>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312" w:lineRule="exact"/>
        <w:rPr>
          <w:sz w:val="20"/>
          <w:szCs w:val="20"/>
          <w:color w:val="auto"/>
        </w:rPr>
      </w:pPr>
    </w:p>
    <w:p>
      <w:pPr>
        <w:ind w:left="620" w:hanging="585"/>
        <w:spacing w:after="0"/>
        <w:tabs>
          <w:tab w:leader="none" w:pos="62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Third Party Beneficiaries.</w:t>
      </w:r>
    </w:p>
    <w:p>
      <w:pPr>
        <w:spacing w:after="0" w:line="116" w:lineRule="exact"/>
        <w:rPr>
          <w:sz w:val="20"/>
          <w:szCs w:val="20"/>
          <w:color w:val="auto"/>
        </w:rPr>
      </w:pPr>
    </w:p>
    <w:p>
      <w:pPr>
        <w:ind w:right="220" w:firstLine="432"/>
        <w:spacing w:after="0" w:line="257" w:lineRule="auto"/>
        <w:rPr>
          <w:sz w:val="20"/>
          <w:szCs w:val="20"/>
          <w:color w:val="auto"/>
        </w:rPr>
      </w:pPr>
      <w:r>
        <w:rPr>
          <w:rFonts w:ascii="Times New Roman" w:cs="Times New Roman" w:eastAsia="Times New Roman" w:hAnsi="Times New Roman"/>
          <w:sz w:val="22"/>
          <w:szCs w:val="22"/>
          <w:color w:val="auto"/>
        </w:rPr>
        <w:t>Nothing in this Agreement, express or implied, is intended to or shall confer upon any other person any right, benefit or remedy of any nature whatsoever under or by reason of this Agreement other than any estate, heir, executor or administrator of or other successor to Indemnitee.</w:t>
      </w:r>
    </w:p>
    <w:p>
      <w:pPr>
        <w:spacing w:after="0" w:line="318" w:lineRule="exact"/>
        <w:rPr>
          <w:sz w:val="20"/>
          <w:szCs w:val="20"/>
          <w:color w:val="auto"/>
        </w:rPr>
      </w:pPr>
    </w:p>
    <w:p>
      <w:pPr>
        <w:ind w:left="620" w:hanging="585"/>
        <w:spacing w:after="0"/>
        <w:tabs>
          <w:tab w:leader="none" w:pos="62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Binding Effect; Amendment, Termination, Assignment and Waiver.</w:t>
      </w:r>
    </w:p>
    <w:p>
      <w:pPr>
        <w:spacing w:after="0" w:line="115" w:lineRule="exact"/>
        <w:rPr>
          <w:rFonts w:ascii="Times New Roman" w:cs="Times New Roman" w:eastAsia="Times New Roman" w:hAnsi="Times New Roman"/>
          <w:sz w:val="22"/>
          <w:szCs w:val="22"/>
          <w:b w:val="1"/>
          <w:bCs w:val="1"/>
          <w:color w:val="auto"/>
        </w:rPr>
      </w:pPr>
    </w:p>
    <w:p>
      <w:pPr>
        <w:ind w:left="1160" w:hanging="288"/>
        <w:spacing w:after="0"/>
        <w:tabs>
          <w:tab w:leader="none" w:pos="116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interpreted and enforced in accordance with the laws of the State of Delaware.</w:t>
      </w:r>
    </w:p>
    <w:p>
      <w:pPr>
        <w:spacing w:after="0" w:line="84" w:lineRule="exact"/>
        <w:rPr>
          <w:rFonts w:ascii="Times New Roman" w:cs="Times New Roman" w:eastAsia="Times New Roman" w:hAnsi="Times New Roman"/>
          <w:sz w:val="22"/>
          <w:szCs w:val="22"/>
          <w:color w:val="auto"/>
        </w:rPr>
      </w:pPr>
    </w:p>
    <w:p>
      <w:pPr>
        <w:ind w:left="440" w:right="100" w:firstLine="432"/>
        <w:spacing w:after="0" w:line="247" w:lineRule="auto"/>
        <w:tabs>
          <w:tab w:leader="none" w:pos="1178"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and inure to the benefit of and be enforceable by and against the parties hereto and their respective successors and assigns (including without limitation any direct or indirect successor by purchase, merger, consolidation or otherwise to all, substantially all, or a substantial part, of the business and/or assets of the Company), and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ectPr>
          <w:pgSz w:w="11900" w:h="16838" w:orient="portrait"/>
          <w:cols w:equalWidth="0" w:num="1">
            <w:col w:w="11420"/>
          </w:cols>
          <w:pgMar w:left="240" w:top="122" w:right="2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305" w:lineRule="exact"/>
        <w:rPr>
          <w:sz w:val="20"/>
          <w:szCs w:val="20"/>
          <w:color w:val="auto"/>
        </w:rPr>
      </w:pPr>
    </w:p>
    <w:p>
      <w:pPr>
        <w:jc w:val="both"/>
        <w:ind w:left="400" w:right="220" w:firstLine="432"/>
        <w:spacing w:after="0" w:line="257" w:lineRule="auto"/>
        <w:tabs>
          <w:tab w:leader="none" w:pos="112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modification, termination, cancellation or assignment of this Agreement shall be effective unless in writing signed by both parties hereto. No waiver of any of the provisions of this Agreement shall be binding unless executed in writing by the party making the waiver nor shall any such waiver constitute a continuing waiver.</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and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2"/>
          <w:szCs w:val="22"/>
          <w:b w:val="1"/>
          <w:bCs w:val="1"/>
          <w:color w:val="auto"/>
        </w:rPr>
        <w:t>Aramark</w:t>
      </w:r>
    </w:p>
    <w:p>
      <w:pPr>
        <w:spacing w:after="0" w:line="34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[INDEMNITEE]</w:t>
      </w:r>
    </w:p>
    <w:p>
      <w:pPr>
        <w:sectPr>
          <w:pgSz w:w="11900" w:h="16838" w:orient="portrait"/>
          <w:cols w:equalWidth="0" w:num="1">
            <w:col w:w="11380"/>
          </w:cols>
          <w:pgMar w:left="280" w:top="122" w:right="2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2"/>
          <w:szCs w:val="22"/>
          <w:b w:val="1"/>
          <w:bCs w:val="1"/>
          <w:color w:val="auto"/>
        </w:rPr>
        <w:t>Exhibit 10.42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MANAGEMENT INCENTIVE BONUS PLAN</w:t>
      </w:r>
    </w:p>
    <w:p>
      <w:pPr>
        <w:spacing w:after="0" w:line="23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1"/>
          <w:szCs w:val="21"/>
          <w:b w:val="1"/>
          <w:bCs w:val="1"/>
          <w:color w:val="auto"/>
        </w:rPr>
        <w:t>Introduction</w:t>
      </w:r>
    </w:p>
    <w:p>
      <w:pPr>
        <w:spacing w:after="0" w:line="116" w:lineRule="exact"/>
        <w:rPr>
          <w:sz w:val="20"/>
          <w:szCs w:val="20"/>
          <w:color w:val="auto"/>
        </w:rPr>
      </w:pPr>
    </w:p>
    <w:p>
      <w:pPr>
        <w:ind w:left="660" w:right="100"/>
        <w:spacing w:after="0" w:line="249" w:lineRule="auto"/>
        <w:rPr>
          <w:sz w:val="20"/>
          <w:szCs w:val="20"/>
          <w:color w:val="auto"/>
        </w:rPr>
      </w:pPr>
      <w:r>
        <w:rPr>
          <w:rFonts w:ascii="Times New Roman" w:cs="Times New Roman" w:eastAsia="Times New Roman" w:hAnsi="Times New Roman"/>
          <w:sz w:val="22"/>
          <w:szCs w:val="22"/>
          <w:color w:val="auto"/>
        </w:rPr>
        <w:t xml:space="preserve">This Management Incentive Bonus Plan (this “Plan”) provides an annual cash bonus award to each eligible employee for the achievement of explicit performance objectives. A bonus award under this Plan is comprised of two parts: a </w:t>
      </w:r>
      <w:r>
        <w:rPr>
          <w:rFonts w:ascii="Times New Roman" w:cs="Times New Roman" w:eastAsia="Times New Roman" w:hAnsi="Times New Roman"/>
          <w:sz w:val="22"/>
          <w:szCs w:val="22"/>
          <w:u w:val="single" w:color="auto"/>
          <w:color w:val="auto"/>
        </w:rPr>
        <w:t>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objective</w:t>
      </w:r>
      <w:r>
        <w:rPr>
          <w:rFonts w:ascii="Times New Roman" w:cs="Times New Roman" w:eastAsia="Times New Roman" w:hAnsi="Times New Roman"/>
          <w:sz w:val="22"/>
          <w:szCs w:val="22"/>
          <w:color w:val="auto"/>
        </w:rPr>
        <w:t xml:space="preserve"> generally representing 90% of the overall award (the “Financial Objective Target Bonus”) and an </w:t>
      </w:r>
      <w:r>
        <w:rPr>
          <w:rFonts w:ascii="Times New Roman" w:cs="Times New Roman" w:eastAsia="Times New Roman" w:hAnsi="Times New Roman"/>
          <w:sz w:val="22"/>
          <w:szCs w:val="22"/>
          <w:u w:val="single" w:color="auto"/>
          <w:color w:val="auto"/>
        </w:rPr>
        <w:t>individual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objective</w:t>
      </w:r>
      <w:r>
        <w:rPr>
          <w:rFonts w:ascii="Times New Roman" w:cs="Times New Roman" w:eastAsia="Times New Roman" w:hAnsi="Times New Roman"/>
          <w:sz w:val="22"/>
          <w:szCs w:val="22"/>
          <w:color w:val="auto"/>
        </w:rPr>
        <w:t xml:space="preserve"> generally representing the remaining 10% of the overall award (the “Individual Objective Target Bonus”), subject to potential adjustment as described herein. The Administrator shall have flexibility to alter the percentage allocations described in the preceding sentence. Certain defined terms used in the Plan are set forth in Section XI below.</w:t>
      </w:r>
    </w:p>
    <w:p>
      <w:pPr>
        <w:spacing w:after="0" w:line="21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II.</w:t>
      </w:r>
      <w:r>
        <w:rPr>
          <w:sz w:val="20"/>
          <w:szCs w:val="20"/>
          <w:color w:val="auto"/>
        </w:rPr>
        <w:tab/>
      </w:r>
      <w:r>
        <w:rPr>
          <w:rFonts w:ascii="Times New Roman" w:cs="Times New Roman" w:eastAsia="Times New Roman" w:hAnsi="Times New Roman"/>
          <w:sz w:val="21"/>
          <w:szCs w:val="21"/>
          <w:b w:val="1"/>
          <w:bCs w:val="1"/>
          <w:color w:val="auto"/>
        </w:rPr>
        <w:t>Eligibility</w:t>
      </w:r>
    </w:p>
    <w:p>
      <w:pPr>
        <w:spacing w:after="0" w:line="116" w:lineRule="exact"/>
        <w:rPr>
          <w:sz w:val="20"/>
          <w:szCs w:val="20"/>
          <w:color w:val="auto"/>
        </w:rPr>
      </w:pPr>
    </w:p>
    <w:p>
      <w:pPr>
        <w:ind w:left="660" w:right="20"/>
        <w:spacing w:after="0" w:line="257" w:lineRule="auto"/>
        <w:rPr>
          <w:sz w:val="20"/>
          <w:szCs w:val="20"/>
          <w:color w:val="auto"/>
        </w:rPr>
      </w:pPr>
      <w:r>
        <w:rPr>
          <w:rFonts w:ascii="Times New Roman" w:cs="Times New Roman" w:eastAsia="Times New Roman" w:hAnsi="Times New Roman"/>
          <w:sz w:val="22"/>
          <w:szCs w:val="22"/>
          <w:color w:val="auto"/>
        </w:rPr>
        <w:t>The Chief Executive Officer, all executives in career bands 1 through 3 and any other Employee designated by the Administrator are eligible to participate in this Plan. Generally, an individual is eligible for a potential award under this Plan if they were employed for at least 6 months during the relevant fiscal year.</w:t>
      </w:r>
    </w:p>
    <w:p>
      <w:pPr>
        <w:spacing w:after="0" w:line="318" w:lineRule="exact"/>
        <w:rPr>
          <w:sz w:val="20"/>
          <w:szCs w:val="20"/>
          <w:color w:val="auto"/>
        </w:rPr>
      </w:pPr>
    </w:p>
    <w:p>
      <w:pPr>
        <w:ind w:left="540" w:hanging="532"/>
        <w:spacing w:after="0"/>
        <w:tabs>
          <w:tab w:leader="none" w:pos="54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Overall Structure</w:t>
      </w:r>
    </w:p>
    <w:p>
      <w:pPr>
        <w:spacing w:after="0" w:line="116" w:lineRule="exact"/>
        <w:rPr>
          <w:sz w:val="20"/>
          <w:szCs w:val="20"/>
          <w:color w:val="auto"/>
        </w:rPr>
      </w:pPr>
    </w:p>
    <w:p>
      <w:pPr>
        <w:ind w:left="740" w:right="300" w:hanging="327"/>
        <w:spacing w:after="0" w:line="271" w:lineRule="auto"/>
        <w:tabs>
          <w:tab w:leader="none" w:pos="74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Plan participant’s target bonus award will be based upon the “guideline” or percentage of base salary for each eligible participant.</w:t>
      </w:r>
    </w:p>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Unless otherwise determined by the Administrator, bonus awards will be determined by the attainment of the financial and individual performance measures established by the Administrator.</w:t>
      </w:r>
    </w:p>
    <w:p>
      <w:pPr>
        <w:spacing w:after="0" w:line="1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Determination of Bonus Targets — Financial Objective</w:t>
      </w:r>
    </w:p>
    <w:p>
      <w:pPr>
        <w:spacing w:after="0" w:line="116"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For purposes of determining Financial Objective Target Bonuses, financial measures will be based on Performance Measures as determined by the Administrator.</w:t>
      </w:r>
    </w:p>
    <w:p>
      <w:pPr>
        <w:spacing w:after="0" w:line="303" w:lineRule="exact"/>
        <w:rPr>
          <w:sz w:val="20"/>
          <w:szCs w:val="20"/>
          <w:color w:val="auto"/>
        </w:rPr>
      </w:pPr>
    </w:p>
    <w:p>
      <w:pPr>
        <w:ind w:left="400" w:hanging="392"/>
        <w:spacing w:after="0"/>
        <w:tabs>
          <w:tab w:leader="none" w:pos="40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Determination of Bonus Awards — Financial Objective</w:t>
      </w:r>
    </w:p>
    <w:p>
      <w:pPr>
        <w:spacing w:after="0" w:line="115" w:lineRule="exact"/>
        <w:rPr>
          <w:rFonts w:ascii="Times New Roman" w:cs="Times New Roman" w:eastAsia="Times New Roman" w:hAnsi="Times New Roman"/>
          <w:sz w:val="22"/>
          <w:szCs w:val="22"/>
          <w:b w:val="1"/>
          <w:bCs w:val="1"/>
          <w:color w:val="auto"/>
        </w:rPr>
      </w:pPr>
    </w:p>
    <w:p>
      <w:pPr>
        <w:ind w:left="660" w:right="40" w:hanging="328"/>
        <w:spacing w:after="0" w:line="248" w:lineRule="auto"/>
        <w:tabs>
          <w:tab w:leader="none" w:pos="66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all financial measures, bonus awards under the financial objective component of this Plan (the “Financial Objective Bonus Award”) vary as financial measure targets are over or under achieved. The minimum bonus award, generally equal to 25% of the Financial Objective Target Bonus, unless otherwise determined by the Administrator, is awarded provided a minimally acceptable "threshold" level of performance of financial measures is achieved (i.e., no bonus will be awarded for performance below the threshold for that metric.). Financial Objective Bonus Awards may increase from the minimum financial objective bonus award to the Financial Objective Target Bonus amount if financial measure targets are achieved </w:t>
      </w:r>
      <w:r>
        <w:rPr>
          <w:rFonts w:ascii="Times New Roman" w:cs="Times New Roman" w:eastAsia="Times New Roman" w:hAnsi="Times New Roman"/>
          <w:sz w:val="22"/>
          <w:szCs w:val="22"/>
          <w:u w:val="single" w:color="auto"/>
          <w:color w:val="auto"/>
        </w:rPr>
        <w:t>fully</w:t>
      </w:r>
      <w:r>
        <w:rPr>
          <w:rFonts w:ascii="Times New Roman" w:cs="Times New Roman" w:eastAsia="Times New Roman" w:hAnsi="Times New Roman"/>
          <w:sz w:val="22"/>
          <w:szCs w:val="22"/>
          <w:color w:val="auto"/>
        </w:rPr>
        <w:t xml:space="preserve"> and may increase up to a maximum ("ceiling") of</w:t>
      </w:r>
    </w:p>
    <w:p>
      <w:pPr>
        <w:sectPr>
          <w:pgSz w:w="11900" w:h="16838" w:orient="portrait"/>
          <w:cols w:equalWidth="0" w:num="1">
            <w:col w:w="11420"/>
          </w:cols>
          <w:pgMar w:left="240" w:top="338" w:right="2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2"/>
          <w:szCs w:val="22"/>
          <w:b w:val="1"/>
          <w:bCs w:val="1"/>
          <w:color w:val="auto"/>
        </w:rPr>
        <w:t>Exhibit 10.42</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150% to 200% of the Financial Objective Bonus Target if performance increasingly exceeds the target levels.</w:t>
      </w:r>
    </w:p>
    <w:p>
      <w:pPr>
        <w:spacing w:after="0" w:line="98" w:lineRule="exact"/>
        <w:rPr>
          <w:sz w:val="20"/>
          <w:szCs w:val="20"/>
          <w:color w:val="auto"/>
        </w:rPr>
      </w:pPr>
    </w:p>
    <w:p>
      <w:pPr>
        <w:ind w:left="660" w:right="680" w:hanging="328"/>
        <w:spacing w:after="0" w:line="295" w:lineRule="auto"/>
        <w:tabs>
          <w:tab w:leader="none" w:pos="66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Objective Bonus Awards for performance between threshold and ceiling will be computed by interpolating between either: (1) the threshold and target awards, or (2) the target and ceiling awards, as appropriate.</w:t>
      </w:r>
    </w:p>
    <w:p>
      <w:pPr>
        <w:spacing w:after="0" w:line="27" w:lineRule="exact"/>
        <w:rPr>
          <w:rFonts w:ascii="Times New Roman" w:cs="Times New Roman" w:eastAsia="Times New Roman" w:hAnsi="Times New Roman"/>
          <w:sz w:val="21"/>
          <w:szCs w:val="21"/>
          <w:color w:val="auto"/>
        </w:rPr>
      </w:pPr>
    </w:p>
    <w:p>
      <w:pPr>
        <w:ind w:left="660" w:right="160" w:hanging="328"/>
        <w:spacing w:after="0" w:line="257" w:lineRule="auto"/>
        <w:tabs>
          <w:tab w:leader="none" w:pos="6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levels for threshold and maximum Financial Objective Bonus Awards (referred to as the "leverage curve"), may vary among organizations as determined by the Administrator, reflecting financial volatility resulting from the magnitude of the unit's business plan.</w:t>
      </w:r>
    </w:p>
    <w:p>
      <w:pPr>
        <w:spacing w:after="0" w:line="31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color w:val="auto"/>
        </w:rPr>
        <w:t>Determination of Individual Objective and Related Bonus Awards</w:t>
      </w:r>
    </w:p>
    <w:p>
      <w:pPr>
        <w:spacing w:after="0" w:line="116" w:lineRule="exact"/>
        <w:rPr>
          <w:sz w:val="20"/>
          <w:szCs w:val="20"/>
          <w:color w:val="auto"/>
        </w:rPr>
      </w:pPr>
    </w:p>
    <w:p>
      <w:pPr>
        <w:jc w:val="both"/>
        <w:ind w:left="660" w:right="20" w:hanging="328"/>
        <w:spacing w:after="0" w:line="262" w:lineRule="auto"/>
        <w:tabs>
          <w:tab w:leader="none" w:pos="66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Generally, individual measures will be established for each participant at the start of the fiscal year. The individual measures will not duplicate the measures of annual financial performance addressed under the financial objective of this Plan. Rather, they will address those concerns which most contribute to the business gaining a sustainable competitive advantage.</w:t>
      </w:r>
    </w:p>
    <w:p>
      <w:pPr>
        <w:spacing w:after="0" w:line="2" w:lineRule="exact"/>
        <w:rPr>
          <w:rFonts w:ascii="Times New Roman" w:cs="Times New Roman" w:eastAsia="Times New Roman" w:hAnsi="Times New Roman"/>
          <w:sz w:val="21"/>
          <w:szCs w:val="21"/>
          <w:color w:val="auto"/>
        </w:rPr>
      </w:pPr>
    </w:p>
    <w:p>
      <w:pPr>
        <w:ind w:left="660" w:right="66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Attainment of these individual measures is measured for and during the fiscal year for which they are set. Unplanned objectives that emerge during the fiscal year and which take priority over the planned objectives may be added (or substituted) as appropriate.</w:t>
      </w:r>
    </w:p>
    <w:p>
      <w:pPr>
        <w:spacing w:after="0" w:line="75" w:lineRule="exact"/>
        <w:rPr>
          <w:rFonts w:ascii="Times New Roman" w:cs="Times New Roman" w:eastAsia="Times New Roman" w:hAnsi="Times New Roman"/>
          <w:sz w:val="21"/>
          <w:szCs w:val="21"/>
          <w:color w:val="auto"/>
        </w:rPr>
      </w:pPr>
    </w:p>
    <w:p>
      <w:pPr>
        <w:ind w:left="660" w:right="480" w:hanging="328"/>
        <w:spacing w:after="0" w:line="252" w:lineRule="auto"/>
        <w:tabs>
          <w:tab w:leader="none" w:pos="6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Bonus awards under the individual objective component of this Plan (the “Individual Objective Bonus Award”) will be awarded at target if performance </w:t>
      </w:r>
      <w:r>
        <w:rPr>
          <w:rFonts w:ascii="Times New Roman" w:cs="Times New Roman" w:eastAsia="Times New Roman" w:hAnsi="Times New Roman"/>
          <w:sz w:val="22"/>
          <w:szCs w:val="22"/>
          <w:u w:val="single" w:color="auto"/>
          <w:color w:val="auto"/>
        </w:rPr>
        <w:t>fully</w:t>
      </w:r>
      <w:r>
        <w:rPr>
          <w:rFonts w:ascii="Times New Roman" w:cs="Times New Roman" w:eastAsia="Times New Roman" w:hAnsi="Times New Roman"/>
          <w:sz w:val="22"/>
          <w:szCs w:val="22"/>
          <w:color w:val="auto"/>
        </w:rPr>
        <w:t xml:space="preserve"> meets the target individual measures defined in the individual objective. If performance differs from these target measures, the Individual Objective Bonus Award will vary proportionally with performance, from 0% to 150% of the Individual Objective Target Bonus.</w:t>
      </w:r>
    </w:p>
    <w:p>
      <w:pPr>
        <w:spacing w:after="0" w:line="3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color w:val="auto"/>
        </w:rPr>
        <w:t>Total Plan Bonus Award.</w:t>
      </w:r>
    </w:p>
    <w:p>
      <w:pPr>
        <w:spacing w:after="0" w:line="116" w:lineRule="exact"/>
        <w:rPr>
          <w:sz w:val="20"/>
          <w:szCs w:val="20"/>
          <w:color w:val="auto"/>
        </w:rPr>
      </w:pPr>
    </w:p>
    <w:p>
      <w:pPr>
        <w:ind w:left="660" w:right="40"/>
        <w:spacing w:after="0" w:line="265" w:lineRule="auto"/>
        <w:rPr>
          <w:sz w:val="20"/>
          <w:szCs w:val="20"/>
          <w:color w:val="auto"/>
        </w:rPr>
      </w:pPr>
      <w:r>
        <w:rPr>
          <w:rFonts w:ascii="Times New Roman" w:cs="Times New Roman" w:eastAsia="Times New Roman" w:hAnsi="Times New Roman"/>
          <w:sz w:val="21"/>
          <w:szCs w:val="21"/>
          <w:color w:val="auto"/>
        </w:rPr>
        <w:t>The total Plan bonus award to be paid to each Plan participant (the “Final Bonus Award”) will generally be equal to the sum of the Financial Objective Bonus Award and the Individual Objective Bonus Award. Notwithstanding the foregoing, the Administrator shall be authorized to exercise “negative discretion” to reduce the Final Bonus Award amount that would otherwise be payable to any Plan participant, taking into account such factors relating to Aramark’s and the participant’s performance during the relevant fiscal year as the Administrator deems appropriate in the Administrator’s sole discretion.</w:t>
      </w:r>
    </w:p>
    <w:p>
      <w:pPr>
        <w:spacing w:after="0" w:line="31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1"/>
          <w:szCs w:val="21"/>
          <w:b w:val="1"/>
          <w:bCs w:val="1"/>
          <w:color w:val="auto"/>
        </w:rPr>
        <w:t>Payment of Bonus Awards</w:t>
      </w:r>
    </w:p>
    <w:p>
      <w:pPr>
        <w:spacing w:after="0" w:line="116" w:lineRule="exact"/>
        <w:rPr>
          <w:sz w:val="20"/>
          <w:szCs w:val="20"/>
          <w:color w:val="auto"/>
        </w:rPr>
      </w:pPr>
    </w:p>
    <w:p>
      <w:pPr>
        <w:ind w:left="660" w:right="80" w:hanging="328"/>
        <w:spacing w:after="0" w:line="257" w:lineRule="auto"/>
        <w:tabs>
          <w:tab w:leader="none" w:pos="6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 Bonus Awards are paid (minus appropriate tax withholdings), and after taking into account any adjustments pursuant to the Plan, as soon as practicable after receipt of the audited fiscal year-end financial reports, but in no event more than 2.5 months after the end of the calendar year in which it was earned.</w:t>
      </w:r>
    </w:p>
    <w:p>
      <w:pPr>
        <w:spacing w:after="0" w:line="6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cases of voluntary or involuntary termination (discussed in 2 below), the following provisions apply:</w:t>
      </w:r>
    </w:p>
    <w:p>
      <w:pPr>
        <w:sectPr>
          <w:pgSz w:w="11900" w:h="16838" w:orient="portrait"/>
          <w:cols w:equalWidth="0" w:num="1">
            <w:col w:w="11420"/>
          </w:cols>
          <w:pgMar w:left="240" w:top="338" w:right="239" w:bottom="1440" w:gutter="0" w:footer="0" w:header="0"/>
        </w:sectPr>
      </w:pPr>
    </w:p>
    <w:bookmarkStart w:id="183" w:name="page184"/>
    <w:bookmarkEnd w:id="183"/>
    <w:p>
      <w:pPr>
        <w:ind w:left="10200"/>
        <w:spacing w:after="0"/>
        <w:rPr>
          <w:sz w:val="20"/>
          <w:szCs w:val="20"/>
          <w:color w:val="auto"/>
        </w:rPr>
      </w:pPr>
      <w:r>
        <w:rPr>
          <w:rFonts w:ascii="Times New Roman" w:cs="Times New Roman" w:eastAsia="Times New Roman" w:hAnsi="Times New Roman"/>
          <w:sz w:val="21"/>
          <w:szCs w:val="21"/>
          <w:b w:val="1"/>
          <w:bCs w:val="1"/>
          <w:color w:val="auto"/>
        </w:rPr>
        <w:t>Exhibit 10.42</w:t>
      </w:r>
    </w:p>
    <w:p>
      <w:pPr>
        <w:spacing w:after="0" w:line="235" w:lineRule="exact"/>
        <w:rPr>
          <w:sz w:val="20"/>
          <w:szCs w:val="20"/>
          <w:color w:val="auto"/>
        </w:rPr>
      </w:pPr>
    </w:p>
    <w:p>
      <w:pPr>
        <w:jc w:val="both"/>
        <w:ind w:left="660" w:right="160" w:firstLine="648"/>
        <w:spacing w:after="0" w:line="257" w:lineRule="auto"/>
        <w:rPr>
          <w:sz w:val="20"/>
          <w:szCs w:val="20"/>
          <w:color w:val="auto"/>
        </w:rPr>
      </w:pPr>
      <w:r>
        <w:rPr>
          <w:rFonts w:ascii="Times New Roman" w:cs="Times New Roman" w:eastAsia="Times New Roman" w:hAnsi="Times New Roman"/>
          <w:sz w:val="22"/>
          <w:szCs w:val="22"/>
          <w:color w:val="auto"/>
        </w:rPr>
        <w:t>If a participant has worked at least 6 months, but less than the entire relevant fiscal year and is still employed at the end of the bonus (fiscal) year, the participant will receive a pro-rata share of the Final Bonus Award (e.g., if the participant has worked for 9 months in the relevant fiscal year, 75% of the Final Bonus Award will be payable).</w:t>
      </w:r>
    </w:p>
    <w:p>
      <w:pPr>
        <w:spacing w:after="0" w:line="65" w:lineRule="exact"/>
        <w:rPr>
          <w:sz w:val="20"/>
          <w:szCs w:val="20"/>
          <w:color w:val="auto"/>
        </w:rPr>
      </w:pPr>
    </w:p>
    <w:p>
      <w:pPr>
        <w:ind w:left="660" w:right="40" w:firstLine="648"/>
        <w:spacing w:after="0" w:line="257" w:lineRule="auto"/>
        <w:rPr>
          <w:sz w:val="20"/>
          <w:szCs w:val="20"/>
          <w:color w:val="auto"/>
        </w:rPr>
      </w:pPr>
      <w:r>
        <w:rPr>
          <w:rFonts w:ascii="Times New Roman" w:cs="Times New Roman" w:eastAsia="Times New Roman" w:hAnsi="Times New Roman"/>
          <w:sz w:val="22"/>
          <w:szCs w:val="22"/>
          <w:color w:val="auto"/>
        </w:rPr>
        <w:t>If the participant has served in two or more components or units covered by this plan, the Financial Objective Bonus Award and Individual Objective Bonus Award will be calculated on full year results for the portion of the year served in each component or unit.</w:t>
      </w:r>
    </w:p>
    <w:p>
      <w:pPr>
        <w:spacing w:after="0" w:line="65"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22"/>
          <w:szCs w:val="22"/>
          <w:color w:val="auto"/>
        </w:rPr>
        <w:t>If the participant was promoted during the year and his or her guideline bonus amount changed, the Financial Objective Target Bonus and Individual Objective Target Bonus for such participant will be prorated. However, if the participant remains in the same position with essentially the same duties and responsibilities, and the participant's guideline amount changed during the fiscal year, the guideline amount at year end will be used in determining the Financial Objective Target Bonus and Individual Objective Target Bonus for the entire year.</w:t>
      </w:r>
    </w:p>
    <w:p>
      <w:pPr>
        <w:spacing w:after="0" w:line="73" w:lineRule="exact"/>
        <w:rPr>
          <w:sz w:val="20"/>
          <w:szCs w:val="20"/>
          <w:color w:val="auto"/>
        </w:rPr>
      </w:pPr>
    </w:p>
    <w:p>
      <w:pPr>
        <w:ind w:left="660" w:right="100" w:hanging="328"/>
        <w:spacing w:after="0" w:line="248" w:lineRule="auto"/>
        <w:tabs>
          <w:tab w:leader="none" w:pos="6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Final Bonus Award is payable to a participant whose employment terminates, voluntarily or involuntarily, prior to completion of the bonus (fiscal) year except in the event that the participant becomes permanently disabled, retires having reached the age of 60 with at least five years of service or dies while employed. Exceptions in certain cases of involuntary termination may be granted with prior approval of the Administrator. If a participant becomes permanently disabled, retires having reached the age of 60 with at least five years of service, or dies while employed, he or she will be entitled to receive a pro-rata share of his or her Final Bonus Award at the same time as Final Bonus Awards are otherwise payable to active employees.</w:t>
      </w:r>
    </w:p>
    <w:p>
      <w:pPr>
        <w:spacing w:after="0" w:line="74" w:lineRule="exact"/>
        <w:rPr>
          <w:rFonts w:ascii="Times New Roman" w:cs="Times New Roman" w:eastAsia="Times New Roman" w:hAnsi="Times New Roman"/>
          <w:sz w:val="22"/>
          <w:szCs w:val="22"/>
          <w:color w:val="auto"/>
        </w:rPr>
      </w:pPr>
    </w:p>
    <w:p>
      <w:pPr>
        <w:ind w:left="660" w:right="80" w:hanging="328"/>
        <w:spacing w:after="0" w:line="257" w:lineRule="auto"/>
        <w:tabs>
          <w:tab w:leader="none" w:pos="6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whose employment terminates after the close of the bonus year but before awards are paid will be eligible to receive the Financial Objective Bonus Award. Any Individual Objective Bonus Award in the case of such terminations may be payable at the discretion of the Administrator.</w:t>
      </w:r>
    </w:p>
    <w:p>
      <w:pPr>
        <w:spacing w:after="0" w:line="65" w:lineRule="exact"/>
        <w:rPr>
          <w:rFonts w:ascii="Times New Roman" w:cs="Times New Roman" w:eastAsia="Times New Roman" w:hAnsi="Times New Roman"/>
          <w:sz w:val="22"/>
          <w:szCs w:val="22"/>
          <w:color w:val="auto"/>
        </w:rPr>
      </w:pPr>
    </w:p>
    <w:p>
      <w:pPr>
        <w:jc w:val="both"/>
        <w:ind w:left="660" w:right="300" w:hanging="328"/>
        <w:spacing w:after="0" w:line="275" w:lineRule="auto"/>
        <w:tabs>
          <w:tab w:leader="none" w:pos="66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case, however, will a Final Bonus Award be made to an individual whose employment is terminated at any time for “cause," as defined in the plan participant’s Agreement Relating to Employment and Post Employment Competition or if the participant is not party to such an agreement, as defined in Aramark’s Amended and Restated Stock Incentive Plan.</w:t>
      </w:r>
    </w:p>
    <w:p>
      <w:pPr>
        <w:spacing w:after="0" w:line="24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1"/>
          <w:szCs w:val="21"/>
          <w:b w:val="1"/>
          <w:bCs w:val="1"/>
          <w:color w:val="auto"/>
        </w:rPr>
        <w:t>Deferral</w:t>
      </w:r>
    </w:p>
    <w:p>
      <w:pPr>
        <w:spacing w:after="0" w:line="116" w:lineRule="exact"/>
        <w:rPr>
          <w:sz w:val="20"/>
          <w:szCs w:val="20"/>
          <w:color w:val="auto"/>
        </w:rPr>
      </w:pPr>
    </w:p>
    <w:p>
      <w:pPr>
        <w:ind w:left="660" w:right="80" w:hanging="328"/>
        <w:spacing w:after="0" w:line="257" w:lineRule="auto"/>
        <w:tabs>
          <w:tab w:leader="none" w:pos="66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all or part of a Financial Objective Bonus Award may be deferred in accordance with procedures established by Aramark and amended from time to time, in accordance with the applicable deferral provisions of Section 409A of the Internal Revenue Code (“Section 409A”).</w:t>
      </w:r>
    </w:p>
    <w:p>
      <w:pPr>
        <w:spacing w:after="0" w:line="263"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p>
    <w:p>
      <w:pPr>
        <w:sectPr>
          <w:pgSz w:w="11900" w:h="16838" w:orient="portrait"/>
          <w:cols w:equalWidth="0" w:num="1">
            <w:col w:w="11420"/>
          </w:cols>
          <w:pgMar w:left="240" w:top="338" w:right="2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2"/>
          <w:szCs w:val="22"/>
          <w:b w:val="1"/>
          <w:bCs w:val="1"/>
          <w:color w:val="auto"/>
        </w:rPr>
        <w:t>Exhibit 10.42</w:t>
      </w:r>
    </w:p>
    <w:p>
      <w:pPr>
        <w:spacing w:after="0" w:line="224" w:lineRule="exact"/>
        <w:rPr>
          <w:sz w:val="20"/>
          <w:szCs w:val="20"/>
          <w:color w:val="auto"/>
        </w:rPr>
      </w:pPr>
    </w:p>
    <w:p>
      <w:pPr>
        <w:ind w:left="660" w:right="620" w:hanging="328"/>
        <w:spacing w:after="0" w:line="257" w:lineRule="auto"/>
        <w:tabs>
          <w:tab w:leader="none" w:pos="6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is intended to be provide for compensation that is exempt from the requirements of Section 409A. The Administrator is the sole interpreter and arbiter of the provisions of this Plan and has the right to amend, withdraw, or revoke them before the beginning of any fiscal year or to grant specific exceptions with respect to participants.</w:t>
      </w:r>
    </w:p>
    <w:p>
      <w:pPr>
        <w:spacing w:after="0" w:line="65" w:lineRule="exact"/>
        <w:rPr>
          <w:rFonts w:ascii="Times New Roman" w:cs="Times New Roman" w:eastAsia="Times New Roman" w:hAnsi="Times New Roman"/>
          <w:sz w:val="22"/>
          <w:szCs w:val="22"/>
          <w:color w:val="auto"/>
        </w:rPr>
      </w:pPr>
    </w:p>
    <w:p>
      <w:pPr>
        <w:ind w:left="660" w:right="420" w:hanging="328"/>
        <w:spacing w:after="0" w:line="257" w:lineRule="auto"/>
        <w:tabs>
          <w:tab w:leader="none" w:pos="6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administering this Plan, the Administrator has the final authority to adjust financial performance standards or actual results for unusual non-recurring income, expense or balance sheet items (e.g., non-operating gains/losses, acquisitions, divestitures) so that comparisons between actual and planned performance are consistent.</w:t>
      </w:r>
    </w:p>
    <w:p>
      <w:pPr>
        <w:spacing w:after="0" w:line="65" w:lineRule="exact"/>
        <w:rPr>
          <w:rFonts w:ascii="Times New Roman" w:cs="Times New Roman" w:eastAsia="Times New Roman" w:hAnsi="Times New Roman"/>
          <w:sz w:val="22"/>
          <w:szCs w:val="22"/>
          <w:color w:val="auto"/>
        </w:rPr>
      </w:pPr>
    </w:p>
    <w:p>
      <w:pPr>
        <w:ind w:left="660" w:right="660" w:hanging="328"/>
        <w:spacing w:after="0" w:line="271" w:lineRule="auto"/>
        <w:tabs>
          <w:tab w:leader="none" w:pos="6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Objectives and formulas for all portions of this Plan must be approved by the Administrator. The Administrator must approve any unplanned objectives or other Performance Measures added during the year.</w:t>
      </w:r>
    </w:p>
    <w:p>
      <w:pPr>
        <w:spacing w:after="0" w:line="49" w:lineRule="exact"/>
        <w:rPr>
          <w:rFonts w:ascii="Times New Roman" w:cs="Times New Roman" w:eastAsia="Times New Roman" w:hAnsi="Times New Roman"/>
          <w:sz w:val="22"/>
          <w:szCs w:val="22"/>
          <w:color w:val="auto"/>
        </w:rPr>
      </w:pPr>
    </w:p>
    <w:p>
      <w:pPr>
        <w:ind w:left="660" w:hanging="328"/>
        <w:spacing w:after="0" w:line="252" w:lineRule="auto"/>
        <w:tabs>
          <w:tab w:leader="none" w:pos="6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 Bonus Awards for the Chief Executive Officer, his direct reports and Aramark executive officers are reviewed and approved by the Compensation Committee (or any designated sub-committee thereof). Final Bonus Awards for other participants (other than executive officers) may be approved by the Chief Executive Officer or the Executive Vice President, Human Resources.</w:t>
      </w:r>
    </w:p>
    <w:p>
      <w:pPr>
        <w:spacing w:after="0" w:line="3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1"/>
          <w:szCs w:val="21"/>
          <w:b w:val="1"/>
          <w:bCs w:val="1"/>
          <w:color w:val="auto"/>
        </w:rPr>
        <w:t>Certain Defined Terms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the Plan, the terms listed below have the following meanings:</w:t>
      </w:r>
    </w:p>
    <w:p>
      <w:pPr>
        <w:spacing w:after="0" w:line="364" w:lineRule="exact"/>
        <w:rPr>
          <w:sz w:val="20"/>
          <w:szCs w:val="20"/>
          <w:color w:val="auto"/>
        </w:rPr>
      </w:pPr>
    </w:p>
    <w:p>
      <w:pPr>
        <w:ind w:left="660" w:right="420" w:hanging="328"/>
        <w:spacing w:after="0" w:line="254" w:lineRule="auto"/>
        <w:tabs>
          <w:tab w:leader="none" w:pos="6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(i) the Compensation Committee, with respect to actions under this Plan related to the Chief Executive Officer or his direct reports, (ii) the Chief Executive Officer, with respect to actions under this Plan related to Plan participants in career bands 2 and 3, or (iii) the Executive Vice President, Human Resources (or any equivalent successor position) with respect to actions under this Plan related to all other Plan Participants.</w:t>
      </w:r>
    </w:p>
    <w:p>
      <w:pPr>
        <w:spacing w:after="0" w:line="63" w:lineRule="exact"/>
        <w:rPr>
          <w:rFonts w:ascii="Times New Roman" w:cs="Times New Roman" w:eastAsia="Times New Roman" w:hAnsi="Times New Roman"/>
          <w:sz w:val="22"/>
          <w:szCs w:val="22"/>
          <w:color w:val="auto"/>
        </w:rPr>
      </w:pPr>
    </w:p>
    <w:p>
      <w:pPr>
        <w:ind w:left="660" w:right="80" w:hanging="328"/>
        <w:spacing w:after="0" w:line="246" w:lineRule="auto"/>
        <w:tabs>
          <w:tab w:leader="none" w:pos="6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Measures</w:t>
      </w:r>
      <w:r>
        <w:rPr>
          <w:rFonts w:ascii="Times New Roman" w:cs="Times New Roman" w:eastAsia="Times New Roman" w:hAnsi="Times New Roman"/>
          <w:sz w:val="22"/>
          <w:szCs w:val="22"/>
          <w:color w:val="auto"/>
        </w:rPr>
        <w:t>” means the achievement of, one or more of the following measures (all capitalized terms not defined herein shall have the meanings contained in Aramark’s audited financial statements as such terms and definitions may be expressly modified and established by the Administrator with respect to the relevant performance period): (1) Earnings Before Interest and Taxes (“</w:t>
      </w:r>
      <w:r>
        <w:rPr>
          <w:rFonts w:ascii="Times New Roman" w:cs="Times New Roman" w:eastAsia="Times New Roman" w:hAnsi="Times New Roman"/>
          <w:sz w:val="22"/>
          <w:szCs w:val="22"/>
          <w:b w:val="1"/>
          <w:bCs w:val="1"/>
          <w:color w:val="auto"/>
        </w:rPr>
        <w:t>EBIT</w:t>
      </w:r>
      <w:r>
        <w:rPr>
          <w:rFonts w:ascii="Times New Roman" w:cs="Times New Roman" w:eastAsia="Times New Roman" w:hAnsi="Times New Roman"/>
          <w:sz w:val="22"/>
          <w:szCs w:val="22"/>
          <w:color w:val="auto"/>
        </w:rPr>
        <w:t>”), (2) Return on Net Assets (“</w:t>
      </w:r>
      <w:r>
        <w:rPr>
          <w:rFonts w:ascii="Times New Roman" w:cs="Times New Roman" w:eastAsia="Times New Roman" w:hAnsi="Times New Roman"/>
          <w:sz w:val="22"/>
          <w:szCs w:val="22"/>
          <w:b w:val="1"/>
          <w:bCs w:val="1"/>
          <w:color w:val="auto"/>
        </w:rPr>
        <w:t>RONA</w:t>
      </w:r>
      <w:r>
        <w:rPr>
          <w:rFonts w:ascii="Times New Roman" w:cs="Times New Roman" w:eastAsia="Times New Roman" w:hAnsi="Times New Roman"/>
          <w:sz w:val="22"/>
          <w:szCs w:val="22"/>
          <w:color w:val="auto"/>
        </w:rPr>
        <w:t>”), (3) Net Income, (4) After Tax Return on Investment (“</w:t>
      </w:r>
      <w:r>
        <w:rPr>
          <w:rFonts w:ascii="Times New Roman" w:cs="Times New Roman" w:eastAsia="Times New Roman" w:hAnsi="Times New Roman"/>
          <w:sz w:val="22"/>
          <w:szCs w:val="22"/>
          <w:b w:val="1"/>
          <w:bCs w:val="1"/>
          <w:color w:val="auto"/>
        </w:rPr>
        <w:t>ATROI</w:t>
      </w:r>
      <w:r>
        <w:rPr>
          <w:rFonts w:ascii="Times New Roman" w:cs="Times New Roman" w:eastAsia="Times New Roman" w:hAnsi="Times New Roman"/>
          <w:sz w:val="22"/>
          <w:szCs w:val="22"/>
          <w:color w:val="auto"/>
        </w:rPr>
        <w:t>”), (5) Sales, (6) Revenues, (7) Earnings Per Share, (8) Total Shareholder Return, (9) Return on Equity (“</w:t>
      </w:r>
      <w:r>
        <w:rPr>
          <w:rFonts w:ascii="Times New Roman" w:cs="Times New Roman" w:eastAsia="Times New Roman" w:hAnsi="Times New Roman"/>
          <w:sz w:val="22"/>
          <w:szCs w:val="22"/>
          <w:b w:val="1"/>
          <w:bCs w:val="1"/>
          <w:color w:val="auto"/>
        </w:rPr>
        <w:t>ROE</w:t>
      </w:r>
      <w:r>
        <w:rPr>
          <w:rFonts w:ascii="Times New Roman" w:cs="Times New Roman" w:eastAsia="Times New Roman" w:hAnsi="Times New Roman"/>
          <w:sz w:val="22"/>
          <w:szCs w:val="22"/>
          <w:color w:val="auto"/>
        </w:rPr>
        <w:t>”), (10) Return on Investment (“</w:t>
      </w:r>
      <w:r>
        <w:rPr>
          <w:rFonts w:ascii="Times New Roman" w:cs="Times New Roman" w:eastAsia="Times New Roman" w:hAnsi="Times New Roman"/>
          <w:sz w:val="22"/>
          <w:szCs w:val="22"/>
          <w:b w:val="1"/>
          <w:bCs w:val="1"/>
          <w:color w:val="auto"/>
        </w:rPr>
        <w:t>ROI</w:t>
      </w:r>
      <w:r>
        <w:rPr>
          <w:rFonts w:ascii="Times New Roman" w:cs="Times New Roman" w:eastAsia="Times New Roman" w:hAnsi="Times New Roman"/>
          <w:sz w:val="22"/>
          <w:szCs w:val="22"/>
          <w:color w:val="auto"/>
        </w:rPr>
        <w:t>”), (11) Total Business Return, (12) Return on Gross Investment (“</w:t>
      </w:r>
      <w:r>
        <w:rPr>
          <w:rFonts w:ascii="Times New Roman" w:cs="Times New Roman" w:eastAsia="Times New Roman" w:hAnsi="Times New Roman"/>
          <w:sz w:val="22"/>
          <w:szCs w:val="22"/>
          <w:b w:val="1"/>
          <w:bCs w:val="1"/>
          <w:color w:val="auto"/>
        </w:rPr>
        <w:t>ROGI</w:t>
      </w:r>
      <w:r>
        <w:rPr>
          <w:rFonts w:ascii="Times New Roman" w:cs="Times New Roman" w:eastAsia="Times New Roman" w:hAnsi="Times New Roman"/>
          <w:sz w:val="22"/>
          <w:szCs w:val="22"/>
          <w:color w:val="auto"/>
        </w:rPr>
        <w:t>”), (13) Operating Cash Flow, (14) Free Cash Flow, (15) Operating Income, (16) Pretax Income, (17) stock price appreciation, (18) Earnings Before Interest, Taxes, Depreciation and Amortization (“</w:t>
      </w:r>
      <w:r>
        <w:rPr>
          <w:rFonts w:ascii="Times New Roman" w:cs="Times New Roman" w:eastAsia="Times New Roman" w:hAnsi="Times New Roman"/>
          <w:sz w:val="22"/>
          <w:szCs w:val="22"/>
          <w:b w:val="1"/>
          <w:bCs w:val="1"/>
          <w:color w:val="auto"/>
        </w:rPr>
        <w:t>EBITDA</w:t>
      </w:r>
      <w:r>
        <w:rPr>
          <w:rFonts w:ascii="Times New Roman" w:cs="Times New Roman" w:eastAsia="Times New Roman" w:hAnsi="Times New Roman"/>
          <w:sz w:val="22"/>
          <w:szCs w:val="22"/>
          <w:color w:val="auto"/>
        </w:rPr>
        <w:t>”) or (19) Margin based upon any of EBIT, Operating Income, Pretax Income, EBITDA or any other profit measure. The Performance Measures may be based on absolute Aramark performance, absolute performance of any member of the Aramark Group, or any combination of the</w:t>
      </w:r>
    </w:p>
    <w:p>
      <w:pPr>
        <w:sectPr>
          <w:pgSz w:w="11900" w:h="16838" w:orient="portrait"/>
          <w:cols w:equalWidth="0" w:num="1">
            <w:col w:w="11420"/>
          </w:cols>
          <w:pgMar w:left="240" w:top="338" w:right="239" w:bottom="1440" w:gutter="0" w:footer="0" w:header="0"/>
        </w:sectPr>
      </w:pPr>
    </w:p>
    <w:bookmarkStart w:id="185" w:name="page186"/>
    <w:bookmarkEnd w:id="185"/>
    <w:p>
      <w:pPr>
        <w:ind w:left="9540"/>
        <w:spacing w:after="0"/>
        <w:rPr>
          <w:sz w:val="20"/>
          <w:szCs w:val="20"/>
          <w:color w:val="auto"/>
        </w:rPr>
      </w:pPr>
      <w:r>
        <w:rPr>
          <w:rFonts w:ascii="Times New Roman" w:cs="Times New Roman" w:eastAsia="Times New Roman" w:hAnsi="Times New Roman"/>
          <w:sz w:val="21"/>
          <w:szCs w:val="21"/>
          <w:b w:val="1"/>
          <w:bCs w:val="1"/>
          <w:color w:val="auto"/>
        </w:rPr>
        <w:t>Exhibit 10.42</w:t>
      </w:r>
    </w:p>
    <w:p>
      <w:pPr>
        <w:spacing w:after="0" w:line="20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members of the Aramark Group, or any of the foregoing’s performance relative to a peer group or other external measure of selected performance.</w:t>
      </w:r>
    </w:p>
    <w:p>
      <w:pPr>
        <w:sectPr>
          <w:pgSz w:w="11900" w:h="16838" w:orient="portrait"/>
          <w:cols w:equalWidth="0" w:num="1">
            <w:col w:w="10760"/>
          </w:cols>
          <w:pgMar w:left="900" w:top="338" w:right="239" w:bottom="1440" w:gutter="0" w:footer="0" w:header="0"/>
        </w:sectPr>
      </w:pPr>
    </w:p>
    <w:bookmarkStart w:id="186" w:name="page187"/>
    <w:bookmarkEnd w:id="186"/>
    <w:p>
      <w:pPr>
        <w:ind w:left="10200"/>
        <w:spacing w:after="0"/>
        <w:rPr>
          <w:sz w:val="20"/>
          <w:szCs w:val="20"/>
          <w:color w:val="auto"/>
        </w:rPr>
      </w:pPr>
      <w:r>
        <w:rPr>
          <w:rFonts w:ascii="Times New Roman" w:cs="Times New Roman" w:eastAsia="Times New Roman" w:hAnsi="Times New Roman"/>
          <w:sz w:val="21"/>
          <w:szCs w:val="21"/>
          <w:b w:val="1"/>
          <w:bCs w:val="1"/>
          <w:color w:val="auto"/>
        </w:rPr>
        <w:t>Exhibit 10.93</w:t>
      </w:r>
    </w:p>
    <w:p>
      <w:pPr>
        <w:spacing w:after="0" w:line="23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FORM OF NON-QUALIFIED STOCK OPTION AWARD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dated as of the Date of Grant set forth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Certificate of Grant to which this Award is attached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xml:space="preserve">”) between Aramark (formerly known as </w:t>
      </w:r>
      <w:r>
        <w:rPr>
          <w:rFonts w:ascii="Times New Roman" w:cs="Times New Roman" w:eastAsia="Times New Roman" w:hAnsi="Times New Roman"/>
          <w:sz w:val="22"/>
          <w:szCs w:val="22"/>
          <w:b w:val="1"/>
          <w:bCs w:val="1"/>
          <w:color w:val="auto"/>
        </w:rPr>
        <w:t>ARAMARK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HOLDINGS CORPORATION)</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Participant set forth on the Certificate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of the Options attached to this Award and made a part hereof (the “</w:t>
      </w:r>
      <w:r>
        <w:rPr>
          <w:rFonts w:ascii="Times New Roman" w:cs="Times New Roman" w:eastAsia="Times New Roman" w:hAnsi="Times New Roman"/>
          <w:sz w:val="22"/>
          <w:szCs w:val="22"/>
          <w:u w:val="single" w:color="auto"/>
          <w:color w:val="auto"/>
        </w:rPr>
        <w:t>Certificate of Grant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right="200" w:firstLine="648"/>
        <w:spacing w:after="0" w:line="252" w:lineRule="auto"/>
        <w:rPr>
          <w:sz w:val="20"/>
          <w:szCs w:val="20"/>
          <w:color w:val="auto"/>
        </w:rPr>
      </w:pPr>
      <w:r>
        <w:rPr>
          <w:rFonts w:ascii="Times New Roman" w:cs="Times New Roman" w:eastAsia="Times New Roman" w:hAnsi="Times New Roman"/>
          <w:sz w:val="22"/>
          <w:szCs w:val="22"/>
          <w:color w:val="auto"/>
        </w:rPr>
        <w:t>WHEREAS, the Company, acting through the Committee (as such term is defined in the Plan) or a subcommittee thereof, has agreed to grant to the Participant, as of the Grant Date, an option under the Company Amended and Restated 2013 Stock Incentive Plan (as may be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to purchase a number of shares of Common Stock on the terms and subject to the conditions set forth in this Award, the Certificate of Grant and the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promises and agreements contained in this Award:</w:t>
      </w:r>
    </w:p>
    <w:p>
      <w:pPr>
        <w:spacing w:after="0" w:line="193"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1. </w:t>
      </w:r>
      <w:r>
        <w:rPr>
          <w:rFonts w:ascii="Times New Roman" w:cs="Times New Roman" w:eastAsia="Times New Roman" w:hAnsi="Times New Roman"/>
          <w:sz w:val="22"/>
          <w:szCs w:val="22"/>
          <w:u w:val="single" w:color="auto"/>
          <w:color w:val="000000"/>
        </w:rPr>
        <w:t>The Plan</w:t>
      </w:r>
      <w:r>
        <w:rPr>
          <w:rFonts w:ascii="Times New Roman" w:cs="Times New Roman" w:eastAsia="Times New Roman" w:hAnsi="Times New Roman"/>
          <w:sz w:val="22"/>
          <w:szCs w:val="22"/>
          <w:color w:val="000000"/>
        </w:rPr>
        <w:t>. The terms and provisions of the Plan are hereby incorporated into this Award as if set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forth herein in their entirety. In the event of a conflict between any provision of this Award and the Plan, the provisions of the Plan shall control. A copy of the Plan has been provided to the Participant. Capitalized terms used herein and not otherwise defined herein shall have the respective meanings ascribed thereto in the Plan and the Certificate of Grant.</w:t>
      </w:r>
    </w:p>
    <w:p>
      <w:pPr>
        <w:spacing w:after="0" w:line="18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2. </w:t>
      </w:r>
      <w:r>
        <w:rPr>
          <w:rFonts w:ascii="Times New Roman" w:cs="Times New Roman" w:eastAsia="Times New Roman" w:hAnsi="Times New Roman"/>
          <w:sz w:val="22"/>
          <w:szCs w:val="22"/>
          <w:u w:val="single" w:color="auto"/>
          <w:color w:val="000000"/>
        </w:rPr>
        <w:t>Option Award; Exercise Price; Exercise of Vested Option</w:t>
      </w:r>
      <w:r>
        <w:rPr>
          <w:rFonts w:ascii="Times New Roman" w:cs="Times New Roman" w:eastAsia="Times New Roman" w:hAnsi="Times New Roman"/>
          <w:sz w:val="22"/>
          <w:szCs w:val="22"/>
          <w:color w:val="000000"/>
        </w:rPr>
        <w:t>. Effective on the Grant Date, on the terms and subject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the conditions of the Plan and this Award, the Company hereby grants to the Participant the option to purchase the number of Shares set forth on the Certificate of Grant (the “</w:t>
      </w:r>
      <w:r>
        <w:rPr>
          <w:rFonts w:ascii="Times New Roman" w:cs="Times New Roman" w:eastAsia="Times New Roman" w:hAnsi="Times New Roman"/>
          <w:sz w:val="22"/>
          <w:szCs w:val="22"/>
          <w:u w:val="single" w:color="auto"/>
          <w:color w:val="000000"/>
        </w:rPr>
        <w:t>Option</w:t>
      </w:r>
      <w:r>
        <w:rPr>
          <w:rFonts w:ascii="Times New Roman" w:cs="Times New Roman" w:eastAsia="Times New Roman" w:hAnsi="Times New Roman"/>
          <w:sz w:val="22"/>
          <w:szCs w:val="22"/>
          <w:color w:val="000000"/>
        </w:rPr>
        <w:t>”), at the Exercise Price equal to the Exercise Price as set forth on the Certificate of Grant. Upon any exercise of any portion of any Vested Options, the payment of the Exercise Price may be made, at the election of the Participant, in any manner specified under Section 7(d) of the Plan, as such section is in effect on the Grant Date. The Option is not intended to qualify for federal income tax purposes as an “incentive stock option” within the meaning of Section 422 of the Code.</w:t>
      </w:r>
    </w:p>
    <w:p>
      <w:pPr>
        <w:spacing w:after="0" w:line="181" w:lineRule="exact"/>
        <w:rPr>
          <w:sz w:val="20"/>
          <w:szCs w:val="20"/>
          <w:color w:val="auto"/>
        </w:rPr>
      </w:pPr>
    </w:p>
    <w:p>
      <w:pPr>
        <w:ind w:right="320"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3. </w:t>
      </w:r>
      <w:r>
        <w:rPr>
          <w:rFonts w:ascii="Times New Roman" w:cs="Times New Roman" w:eastAsia="Times New Roman" w:hAnsi="Times New Roman"/>
          <w:sz w:val="22"/>
          <w:szCs w:val="22"/>
          <w:u w:val="single" w:color="auto"/>
          <w:color w:val="000000"/>
        </w:rPr>
        <w:t>Term</w:t>
      </w:r>
      <w:r>
        <w:rPr>
          <w:rFonts w:ascii="Times New Roman" w:cs="Times New Roman" w:eastAsia="Times New Roman" w:hAnsi="Times New Roman"/>
          <w:sz w:val="22"/>
          <w:szCs w:val="22"/>
          <w:color w:val="000000"/>
        </w:rPr>
        <w:t>. The term of the Option (the “</w:t>
      </w:r>
      <w:r>
        <w:rPr>
          <w:rFonts w:ascii="Times New Roman" w:cs="Times New Roman" w:eastAsia="Times New Roman" w:hAnsi="Times New Roman"/>
          <w:sz w:val="22"/>
          <w:szCs w:val="22"/>
          <w:u w:val="single" w:color="auto"/>
          <w:color w:val="000000"/>
        </w:rPr>
        <w:t>Option Term</w:t>
      </w:r>
      <w:r>
        <w:rPr>
          <w:rFonts w:ascii="Times New Roman" w:cs="Times New Roman" w:eastAsia="Times New Roman" w:hAnsi="Times New Roman"/>
          <w:sz w:val="22"/>
          <w:szCs w:val="22"/>
          <w:color w:val="000000"/>
        </w:rPr>
        <w:t>”) shall commence on the Grant Date and expire on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Expiration Date set forth on the Certificate of Grant, unless the Option shall have sooner been terminated in accordance with the terms of the Plan (including, without limitation, Section 13 of the Plan) or this Award.</w:t>
      </w:r>
    </w:p>
    <w:p>
      <w:pPr>
        <w:spacing w:after="0" w:line="168" w:lineRule="exact"/>
        <w:rPr>
          <w:sz w:val="20"/>
          <w:szCs w:val="20"/>
          <w:color w:val="auto"/>
        </w:rPr>
      </w:pPr>
    </w:p>
    <w:p>
      <w:pPr>
        <w:jc w:val="both"/>
        <w:ind w:right="160"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4. </w:t>
      </w:r>
      <w:r>
        <w:rPr>
          <w:rFonts w:ascii="Times New Roman" w:cs="Times New Roman" w:eastAsia="Times New Roman" w:hAnsi="Times New Roman"/>
          <w:sz w:val="22"/>
          <w:szCs w:val="22"/>
          <w:u w:val="single" w:color="auto"/>
          <w:color w:val="000000"/>
        </w:rPr>
        <w:t>Vesting</w:t>
      </w:r>
      <w:r>
        <w:rPr>
          <w:rFonts w:ascii="Times New Roman" w:cs="Times New Roman" w:eastAsia="Times New Roman" w:hAnsi="Times New Roman"/>
          <w:sz w:val="22"/>
          <w:szCs w:val="22"/>
          <w:color w:val="000000"/>
        </w:rPr>
        <w:t>. Subject to the Participant’s not having a Termination of Relationship and except as otherwise set forth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Section 7 hereof, the Options shall become non-forfeitable and exercisable (any Options that shall have become non-forfeitable and exercisable pursuant to this Section 3, the “</w:t>
      </w:r>
      <w:r>
        <w:rPr>
          <w:rFonts w:ascii="Times New Roman" w:cs="Times New Roman" w:eastAsia="Times New Roman" w:hAnsi="Times New Roman"/>
          <w:sz w:val="22"/>
          <w:szCs w:val="22"/>
          <w:u w:val="single" w:color="auto"/>
          <w:color w:val="000000"/>
        </w:rPr>
        <w:t>Vested Options</w:t>
      </w:r>
      <w:r>
        <w:rPr>
          <w:rFonts w:ascii="Times New Roman" w:cs="Times New Roman" w:eastAsia="Times New Roman" w:hAnsi="Times New Roman"/>
          <w:sz w:val="22"/>
          <w:szCs w:val="22"/>
          <w:color w:val="000000"/>
        </w:rPr>
        <w:t>”) as follows:</w:t>
      </w:r>
    </w:p>
    <w:p>
      <w:pPr>
        <w:spacing w:after="0" w:line="168" w:lineRule="exact"/>
        <w:rPr>
          <w:sz w:val="20"/>
          <w:szCs w:val="20"/>
          <w:color w:val="auto"/>
        </w:rPr>
      </w:pPr>
    </w:p>
    <w:p>
      <w:pPr>
        <w:ind w:left="1720" w:hanging="415"/>
        <w:spacing w:after="0"/>
        <w:tabs>
          <w:tab w:leader="none" w:pos="1720"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such percentages as on such dates as set forth on the Certificate of Grant of this Award under “</w:t>
      </w:r>
      <w:r>
        <w:rPr>
          <w:rFonts w:ascii="Times New Roman" w:cs="Times New Roman" w:eastAsia="Times New Roman" w:hAnsi="Times New Roman"/>
          <w:sz w:val="22"/>
          <w:szCs w:val="22"/>
          <w:u w:val="single" w:color="auto"/>
          <w:color w:val="auto"/>
        </w:rPr>
        <w:t>Vesting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122" w:right="2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2"/>
          <w:szCs w:val="22"/>
          <w:b w:val="1"/>
          <w:bCs w:val="1"/>
          <w:color w:val="auto"/>
        </w:rPr>
        <w:t>Exhibit 10.93</w:t>
      </w:r>
    </w:p>
    <w:p>
      <w:pPr>
        <w:spacing w:after="0" w:line="224" w:lineRule="exact"/>
        <w:rPr>
          <w:sz w:val="20"/>
          <w:szCs w:val="20"/>
          <w:color w:val="auto"/>
        </w:rPr>
      </w:pPr>
    </w:p>
    <w:p>
      <w:pPr>
        <w:jc w:val="both"/>
        <w:ind w:right="40" w:firstLine="1305"/>
        <w:spacing w:after="0" w:line="257" w:lineRule="auto"/>
        <w:tabs>
          <w:tab w:leader="none" w:pos="1728"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of a Termination of Relationship as a result of the Participant’s death, Disability, or a Retirement with Notice (as defined below) (each, a “</w:t>
      </w:r>
      <w:r>
        <w:rPr>
          <w:rFonts w:ascii="Times New Roman" w:cs="Times New Roman" w:eastAsia="Times New Roman" w:hAnsi="Times New Roman"/>
          <w:sz w:val="22"/>
          <w:szCs w:val="22"/>
          <w:u w:val="single" w:color="auto"/>
          <w:color w:val="auto"/>
        </w:rPr>
        <w:t>Special Termination</w:t>
      </w:r>
      <w:r>
        <w:rPr>
          <w:rFonts w:ascii="Times New Roman" w:cs="Times New Roman" w:eastAsia="Times New Roman" w:hAnsi="Times New Roman"/>
          <w:sz w:val="22"/>
          <w:szCs w:val="22"/>
          <w:color w:val="auto"/>
        </w:rPr>
        <w:t>”), the installment of Options scheduled to vest on the next Vesting Date immediately following such Special Termination shall immediately become Vested Options, and the remaining Options which are not then Vested Options shall be forfeited;</w:t>
      </w:r>
    </w:p>
    <w:p>
      <w:pPr>
        <w:spacing w:after="0" w:line="172" w:lineRule="exact"/>
        <w:rPr>
          <w:rFonts w:ascii="Times New Roman" w:cs="Times New Roman" w:eastAsia="Times New Roman" w:hAnsi="Times New Roman"/>
          <w:sz w:val="22"/>
          <w:szCs w:val="22"/>
          <w:color w:val="010000"/>
        </w:rPr>
      </w:pPr>
    </w:p>
    <w:p>
      <w:pPr>
        <w:ind w:right="20" w:firstLine="1305"/>
        <w:spacing w:after="0" w:line="273" w:lineRule="auto"/>
        <w:tabs>
          <w:tab w:leader="none" w:pos="1716" w:val="left"/>
        </w:tabs>
        <w:numPr>
          <w:ilvl w:val="0"/>
          <w:numId w:val="1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Change of Control, then each outstanding Option which has not theretofore become a Vested Option pursuant to Section 4(a) shall become a Vested Option on the date of such Termination of Relationship; or</w:t>
      </w:r>
    </w:p>
    <w:p>
      <w:pPr>
        <w:spacing w:after="0" w:line="157" w:lineRule="exact"/>
        <w:rPr>
          <w:rFonts w:ascii="Times New Roman" w:cs="Times New Roman" w:eastAsia="Times New Roman" w:hAnsi="Times New Roman"/>
          <w:sz w:val="21"/>
          <w:szCs w:val="21"/>
          <w:color w:val="010000"/>
        </w:rPr>
      </w:pPr>
    </w:p>
    <w:p>
      <w:pPr>
        <w:jc w:val="both"/>
        <w:ind w:right="140" w:firstLine="1305"/>
        <w:spacing w:after="0" w:line="257" w:lineRule="auto"/>
        <w:tabs>
          <w:tab w:leader="none" w:pos="1728"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provided above with respect to a Special Termination, upon a Termination of Relationship for any reason, the unvested portion of the Option (i.e. , that portion which does not constitute Vested Options) shall terminate and cease to be outstanding on the date the Termination of Relationship occurs and shall no longer be eligible to become Vested Options.</w:t>
      </w:r>
    </w:p>
    <w:p>
      <w:pPr>
        <w:spacing w:after="0" w:line="172"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2"/>
          <w:szCs w:val="22"/>
          <w:color w:val="auto"/>
        </w:rPr>
        <w:t xml:space="preserve">As used herein, the term “Retirement with Notice” means the Participant’s retirement from the Company and its Affiliates after providing the Company with at least 6 months’ prior written notice of such intended retirement (and with such notice having been delivered upon or after the Participant’s attainment of age 62) and achieving 5 years of employment with the Company and its Affiliates following October 7, 2019;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6 months after the notice date.</w:t>
      </w:r>
    </w:p>
    <w:p>
      <w:pPr>
        <w:spacing w:after="0" w:line="182"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Section 5. </w:t>
      </w:r>
      <w:r>
        <w:rPr>
          <w:rFonts w:ascii="Times New Roman" w:cs="Times New Roman" w:eastAsia="Times New Roman" w:hAnsi="Times New Roman"/>
          <w:sz w:val="22"/>
          <w:szCs w:val="22"/>
          <w:u w:val="single" w:color="auto"/>
          <w:color w:val="000000"/>
        </w:rPr>
        <w:t>Restriction on Transfer</w:t>
      </w:r>
      <w:r>
        <w:rPr>
          <w:rFonts w:ascii="Times New Roman" w:cs="Times New Roman" w:eastAsia="Times New Roman" w:hAnsi="Times New Roman"/>
          <w:sz w:val="22"/>
          <w:szCs w:val="22"/>
          <w:color w:val="000000"/>
        </w:rPr>
        <w:t>. The Option may not be transferred, pledged, assigned, hypothecated or otherwise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disposed of in any way by the Participant, except (i) if permitted by the Board or the Committee, (ii) by will or the laws of descent and distribution or (iii) pursuant to beneficiary designation procedures approved by the Company, in each case, in compliance with applicable laws. The Option shall not be subject to execution, attachment or similar process. Any attempted assignment, transfer, pledge, hypothecation or other disposition of the Option contrary to the provisions of this Award or the Plan shall be null and void and without effect.</w:t>
      </w:r>
    </w:p>
    <w:p>
      <w:pPr>
        <w:spacing w:after="0" w:line="182"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6. </w:t>
      </w:r>
      <w:r>
        <w:rPr>
          <w:rFonts w:ascii="Times New Roman" w:cs="Times New Roman" w:eastAsia="Times New Roman" w:hAnsi="Times New Roman"/>
          <w:sz w:val="22"/>
          <w:szCs w:val="22"/>
          <w:u w:val="single" w:color="auto"/>
          <w:color w:val="000000"/>
        </w:rPr>
        <w:t>Participant’s Employment</w:t>
      </w:r>
      <w:r>
        <w:rPr>
          <w:rFonts w:ascii="Times New Roman" w:cs="Times New Roman" w:eastAsia="Times New Roman" w:hAnsi="Times New Roman"/>
          <w:sz w:val="22"/>
          <w:szCs w:val="22"/>
          <w:color w:val="000000"/>
        </w:rPr>
        <w:t>. Nothing in this Award shall confer upon the Participant any right to continue in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employ of the Company or any of its Affiliates or interfere in any way with the right of the Company and its Affiliates, in their sole discretion, to terminate the Participant’s employment or to increase or decrease the Participant’s compensation at any time.</w:t>
      </w:r>
    </w:p>
    <w:p>
      <w:pPr>
        <w:spacing w:after="0" w:line="168"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22"/>
          <w:szCs w:val="22"/>
          <w:color w:val="010000"/>
        </w:rPr>
        <w:t xml:space="preserve">Section 7. </w:t>
      </w:r>
      <w:r>
        <w:rPr>
          <w:rFonts w:ascii="Times New Roman" w:cs="Times New Roman" w:eastAsia="Times New Roman" w:hAnsi="Times New Roman"/>
          <w:sz w:val="22"/>
          <w:szCs w:val="22"/>
          <w:u w:val="single" w:color="auto"/>
          <w:color w:val="000000"/>
        </w:rPr>
        <w:t>Termination</w:t>
      </w:r>
      <w:r>
        <w:rPr>
          <w:rFonts w:ascii="Times New Roman" w:cs="Times New Roman" w:eastAsia="Times New Roman" w:hAnsi="Times New Roman"/>
          <w:sz w:val="22"/>
          <w:szCs w:val="22"/>
          <w:color w:val="000000"/>
        </w:rPr>
        <w:t>. The Option shall automatically terminate and shall become null and void, be unexercisable and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no further force and effect upon the earliest of:</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122" w:right="2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2"/>
          <w:szCs w:val="22"/>
          <w:b w:val="1"/>
          <w:bCs w:val="1"/>
          <w:color w:val="auto"/>
        </w:rPr>
        <w:t>Exhibit 10.93</w:t>
      </w:r>
    </w:p>
    <w:p>
      <w:pPr>
        <w:spacing w:after="0" w:line="224" w:lineRule="exact"/>
        <w:rPr>
          <w:sz w:val="20"/>
          <w:szCs w:val="20"/>
          <w:color w:val="auto"/>
        </w:rPr>
      </w:pPr>
    </w:p>
    <w:p>
      <w:pPr>
        <w:ind w:left="1720" w:hanging="415"/>
        <w:spacing w:after="0"/>
        <w:tabs>
          <w:tab w:leader="none" w:pos="1720"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Expiration Date;</w:t>
      </w:r>
    </w:p>
    <w:p>
      <w:pPr>
        <w:spacing w:after="0" w:line="233" w:lineRule="exact"/>
        <w:rPr>
          <w:rFonts w:ascii="Times New Roman" w:cs="Times New Roman" w:eastAsia="Times New Roman" w:hAnsi="Times New Roman"/>
          <w:sz w:val="22"/>
          <w:szCs w:val="22"/>
          <w:color w:val="010000"/>
        </w:rPr>
      </w:pPr>
    </w:p>
    <w:p>
      <w:pPr>
        <w:ind w:right="20" w:firstLine="1305"/>
        <w:spacing w:after="0" w:line="263" w:lineRule="auto"/>
        <w:tabs>
          <w:tab w:leader="none" w:pos="1728"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 Termination of Relationship due to a Special Termination (other than a Retirement with Notice), with respect to any Options that are vested as of the Termination of Relationship, the first anniversary of the Termination of Relationship;</w:t>
      </w:r>
    </w:p>
    <w:p>
      <w:pPr>
        <w:spacing w:after="0" w:line="167" w:lineRule="exact"/>
        <w:rPr>
          <w:rFonts w:ascii="Times New Roman" w:cs="Times New Roman" w:eastAsia="Times New Roman" w:hAnsi="Times New Roman"/>
          <w:sz w:val="22"/>
          <w:szCs w:val="22"/>
          <w:color w:val="010000"/>
        </w:rPr>
      </w:pPr>
    </w:p>
    <w:p>
      <w:pPr>
        <w:ind w:right="840" w:firstLine="1305"/>
        <w:spacing w:after="0" w:line="284" w:lineRule="auto"/>
        <w:tabs>
          <w:tab w:leader="none" w:pos="1716"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 Retirement with Notice, with respect to any Options that are or become vested upon or following the Termination of Relationship, the third anniversary of the Termination of Relationship;</w:t>
      </w:r>
    </w:p>
    <w:p>
      <w:pPr>
        <w:spacing w:after="0" w:line="144" w:lineRule="exact"/>
        <w:rPr>
          <w:rFonts w:ascii="Times New Roman" w:cs="Times New Roman" w:eastAsia="Times New Roman" w:hAnsi="Times New Roman"/>
          <w:sz w:val="22"/>
          <w:szCs w:val="22"/>
          <w:color w:val="010000"/>
        </w:rPr>
      </w:pPr>
    </w:p>
    <w:p>
      <w:pPr>
        <w:ind w:right="480" w:firstLine="1305"/>
        <w:spacing w:after="0" w:line="284" w:lineRule="auto"/>
        <w:tabs>
          <w:tab w:leader="none" w:pos="1728"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 Termination of Relationship other than (x) for Cause or (y) due to a Special Termination or Retirement with Notice, the 90th day following the Termination of Relationship; and</w:t>
      </w:r>
    </w:p>
    <w:p>
      <w:pPr>
        <w:spacing w:after="0" w:line="144" w:lineRule="exact"/>
        <w:rPr>
          <w:rFonts w:ascii="Times New Roman" w:cs="Times New Roman" w:eastAsia="Times New Roman" w:hAnsi="Times New Roman"/>
          <w:sz w:val="22"/>
          <w:szCs w:val="22"/>
          <w:color w:val="010000"/>
        </w:rPr>
      </w:pPr>
    </w:p>
    <w:p>
      <w:pPr>
        <w:ind w:left="1720" w:hanging="415"/>
        <w:spacing w:after="0"/>
        <w:tabs>
          <w:tab w:leader="none" w:pos="1720"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day of the Termination of Relationship in the case of a Termination of Relationship for Cause.</w:t>
      </w:r>
    </w:p>
    <w:p>
      <w:pPr>
        <w:spacing w:after="0" w:line="229" w:lineRule="exact"/>
        <w:rPr>
          <w:sz w:val="20"/>
          <w:szCs w:val="20"/>
          <w:color w:val="auto"/>
        </w:rPr>
      </w:pPr>
    </w:p>
    <w:p>
      <w:pPr>
        <w:ind w:right="80" w:firstLine="648"/>
        <w:spacing w:after="0" w:line="265" w:lineRule="auto"/>
        <w:rPr>
          <w:sz w:val="20"/>
          <w:szCs w:val="20"/>
          <w:color w:val="auto"/>
        </w:rPr>
      </w:pPr>
      <w:r>
        <w:rPr>
          <w:rFonts w:ascii="Times New Roman" w:cs="Times New Roman" w:eastAsia="Times New Roman" w:hAnsi="Times New Roman"/>
          <w:sz w:val="22"/>
          <w:szCs w:val="22"/>
          <w:color w:val="010000"/>
        </w:rPr>
        <w:t xml:space="preserve">Section 8. </w:t>
      </w:r>
      <w:r>
        <w:rPr>
          <w:rFonts w:ascii="Times New Roman" w:cs="Times New Roman" w:eastAsia="Times New Roman" w:hAnsi="Times New Roman"/>
          <w:sz w:val="22"/>
          <w:szCs w:val="22"/>
          <w:b w:val="1"/>
          <w:bCs w:val="1"/>
          <w:u w:val="single" w:color="auto"/>
          <w:color w:val="000000"/>
        </w:rPr>
        <w:t>Data Protection</w:t>
      </w:r>
      <w:r>
        <w:rPr>
          <w:rFonts w:ascii="Times New Roman" w:cs="Times New Roman" w:eastAsia="Times New Roman" w:hAnsi="Times New Roman"/>
          <w:sz w:val="22"/>
          <w:szCs w:val="22"/>
          <w:b w:val="1"/>
          <w:bCs w:val="1"/>
          <w:color w:val="000000"/>
        </w:rPr>
        <w:t>. By accepting this Award, the Participant consents to the processing (including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b w:val="1"/>
          <w:bCs w:val="1"/>
          <w:color w:val="000000"/>
        </w:rPr>
        <w:t xml:space="preserve">international transfer) of personal data as set out in </w:t>
      </w:r>
      <w:r>
        <w:rPr>
          <w:rFonts w:ascii="Times New Roman" w:cs="Times New Roman" w:eastAsia="Times New Roman" w:hAnsi="Times New Roman"/>
          <w:sz w:val="22"/>
          <w:szCs w:val="22"/>
          <w:b w:val="1"/>
          <w:bCs w:val="1"/>
          <w:u w:val="single" w:color="auto"/>
          <w:color w:val="000000"/>
        </w:rPr>
        <w:t>Exhibit A</w:t>
      </w:r>
      <w:r>
        <w:rPr>
          <w:rFonts w:ascii="Times New Roman" w:cs="Times New Roman" w:eastAsia="Times New Roman" w:hAnsi="Times New Roman"/>
          <w:sz w:val="22"/>
          <w:szCs w:val="22"/>
          <w:b w:val="1"/>
          <w:bCs w:val="1"/>
          <w:color w:val="000000"/>
        </w:rPr>
        <w:t xml:space="preserve"> attached hereto for the purposes specified therein and to any additional or different processes required by applicable law, rule or regulation</w:t>
      </w:r>
      <w:r>
        <w:rPr>
          <w:rFonts w:ascii="Times New Roman" w:cs="Times New Roman" w:eastAsia="Times New Roman" w:hAnsi="Times New Roman"/>
          <w:sz w:val="22"/>
          <w:szCs w:val="22"/>
          <w:color w:val="000000"/>
        </w:rPr>
        <w:t>.</w:t>
      </w:r>
    </w:p>
    <w:p>
      <w:pPr>
        <w:spacing w:after="0" w:line="165"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Section 9. </w:t>
      </w:r>
      <w:r>
        <w:rPr>
          <w:rFonts w:ascii="Times New Roman" w:cs="Times New Roman" w:eastAsia="Times New Roman" w:hAnsi="Times New Roman"/>
          <w:sz w:val="22"/>
          <w:szCs w:val="22"/>
          <w:u w:val="single" w:color="auto"/>
          <w:color w:val="000000"/>
        </w:rPr>
        <w:t>No Rights as Stockholder</w:t>
      </w:r>
      <w:r>
        <w:rPr>
          <w:rFonts w:ascii="Times New Roman" w:cs="Times New Roman" w:eastAsia="Times New Roman" w:hAnsi="Times New Roman"/>
          <w:sz w:val="22"/>
          <w:szCs w:val="22"/>
          <w:color w:val="000000"/>
        </w:rPr>
        <w:t>. The Participant shall not have any rights of a stockholder of the Company until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shares of Common Stock have been issued pursuant to the exercise of the Options hereunder and until such shares have been registered in the Company’s register of stockholders (including, without limitation, the right to any payment of any dividends paid on Shares (which prohibition does not prevent the Company, in its discretion, from providing dividend equivalent payments to the Participant or reducing the exercise price in respect of the Option pursuant to the Plan)).</w:t>
      </w:r>
    </w:p>
    <w:p>
      <w:pPr>
        <w:spacing w:after="0" w:line="175"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Section 10. </w:t>
      </w:r>
      <w:r>
        <w:rPr>
          <w:rFonts w:ascii="Times New Roman" w:cs="Times New Roman" w:eastAsia="Times New Roman" w:hAnsi="Times New Roman"/>
          <w:sz w:val="22"/>
          <w:szCs w:val="22"/>
          <w:b w:val="1"/>
          <w:bCs w:val="1"/>
          <w:u w:val="single" w:color="auto"/>
          <w:color w:val="000000"/>
        </w:rPr>
        <w:t>No Acquired Rights</w:t>
      </w:r>
      <w:r>
        <w:rPr>
          <w:rFonts w:ascii="Times New Roman" w:cs="Times New Roman" w:eastAsia="Times New Roman" w:hAnsi="Times New Roman"/>
          <w:sz w:val="22"/>
          <w:szCs w:val="22"/>
          <w:color w:val="000000"/>
        </w:rPr>
        <w:t>. The Committee or the Board has the power to amend or terminate the Plan at any time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the opportunity 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spacing w:after="0" w:line="187"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11. </w:t>
      </w:r>
      <w:r>
        <w:rPr>
          <w:rFonts w:ascii="Times New Roman" w:cs="Times New Roman" w:eastAsia="Times New Roman" w:hAnsi="Times New Roman"/>
          <w:sz w:val="22"/>
          <w:szCs w:val="22"/>
          <w:u w:val="single" w:color="auto"/>
          <w:color w:val="000000"/>
        </w:rPr>
        <w:t>Notices</w:t>
      </w:r>
      <w:r>
        <w:rPr>
          <w:rFonts w:ascii="Times New Roman" w:cs="Times New Roman" w:eastAsia="Times New Roman" w:hAnsi="Times New Roman"/>
          <w:sz w:val="22"/>
          <w:szCs w:val="22"/>
          <w:color w:val="000000"/>
        </w:rPr>
        <w:t>. All notices, claims, certifications, requests, demands and other communications hereunder shall be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writing and shall be deemed to have been duly given and delivered if personally delivered or if sent by nationally-recognized overnight courier, by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122" w:right="2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2"/>
          <w:szCs w:val="22"/>
          <w:b w:val="1"/>
          <w:bCs w:val="1"/>
          <w:color w:val="auto"/>
        </w:rPr>
        <w:t>Exhibit 10.93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telecopy, email or by registered or certified mail, return receipt requested and postage prepaid, addressed as follows: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 to it at: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Aramark</w:t>
      </w:r>
    </w:p>
    <w:p>
      <w:pPr>
        <w:spacing w:after="0" w:line="3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2400 Market Street</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Philadelphia, Pennsylvania 19103</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9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spacing w:after="0" w:line="182"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22"/>
          <w:szCs w:val="22"/>
          <w:color w:val="010000"/>
        </w:rPr>
        <w:t xml:space="preserve">Section 12. </w:t>
      </w:r>
      <w:r>
        <w:rPr>
          <w:rFonts w:ascii="Times New Roman" w:cs="Times New Roman" w:eastAsia="Times New Roman" w:hAnsi="Times New Roman"/>
          <w:sz w:val="22"/>
          <w:szCs w:val="22"/>
          <w:u w:val="single" w:color="auto"/>
          <w:color w:val="000000"/>
        </w:rPr>
        <w:t>Waiver of Breach</w:t>
      </w:r>
      <w:r>
        <w:rPr>
          <w:rFonts w:ascii="Times New Roman" w:cs="Times New Roman" w:eastAsia="Times New Roman" w:hAnsi="Times New Roman"/>
          <w:sz w:val="22"/>
          <w:szCs w:val="22"/>
          <w:color w:val="000000"/>
        </w:rPr>
        <w:t>. The waiver by either party of a breach of any provision of this Award must be in writing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shall not operate or be construed as a waiver of any other or subsequent breach.</w:t>
      </w:r>
    </w:p>
    <w:p>
      <w:pPr>
        <w:spacing w:after="0" w:line="144" w:lineRule="exact"/>
        <w:rPr>
          <w:sz w:val="20"/>
          <w:szCs w:val="20"/>
          <w:color w:val="auto"/>
        </w:rPr>
      </w:pPr>
    </w:p>
    <w:p>
      <w:pPr>
        <w:ind w:right="280"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Section 13. </w:t>
      </w:r>
      <w:r>
        <w:rPr>
          <w:rFonts w:ascii="Times New Roman" w:cs="Times New Roman" w:eastAsia="Times New Roman" w:hAnsi="Times New Roman"/>
          <w:sz w:val="22"/>
          <w:szCs w:val="22"/>
          <w:u w:val="single" w:color="auto"/>
          <w:color w:val="000000"/>
        </w:rPr>
        <w:t>Governing Law</w:t>
      </w:r>
      <w:r>
        <w:rPr>
          <w:rFonts w:ascii="Times New Roman" w:cs="Times New Roman" w:eastAsia="Times New Roman" w:hAnsi="Times New Roman"/>
          <w:sz w:val="22"/>
          <w:szCs w:val="22"/>
          <w:color w:val="000000"/>
        </w:rPr>
        <w:t>. THIS AWARD WILL BE GOVERNED BY AND CONSTRUED IN ACCORDANCE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spacing w:after="0" w:line="183"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14. </w:t>
      </w:r>
      <w:r>
        <w:rPr>
          <w:rFonts w:ascii="Times New Roman" w:cs="Times New Roman" w:eastAsia="Times New Roman" w:hAnsi="Times New Roman"/>
          <w:sz w:val="22"/>
          <w:szCs w:val="22"/>
          <w:u w:val="single" w:color="auto"/>
          <w:color w:val="000000"/>
        </w:rPr>
        <w:t>Withholding</w:t>
      </w:r>
      <w:r>
        <w:rPr>
          <w:rFonts w:ascii="Times New Roman" w:cs="Times New Roman" w:eastAsia="Times New Roman" w:hAnsi="Times New Roman"/>
          <w:sz w:val="22"/>
          <w:szCs w:val="22"/>
          <w:color w:val="000000"/>
        </w:rPr>
        <w:t>. As a condition to exercising this Option in whole or in part, the Participant will pay, or make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provisions satisfactory to the Company for payment of, any Federal, state, local and other applicable taxes required to be withheld in connection with such exercise in a manner that is set forth in Section 7(d) of the Plan.</w:t>
      </w:r>
    </w:p>
    <w:p>
      <w:pPr>
        <w:spacing w:after="0" w:line="168"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22"/>
          <w:szCs w:val="22"/>
          <w:color w:val="010000"/>
        </w:rPr>
        <w:t xml:space="preserve">Section 15. </w:t>
      </w:r>
      <w:r>
        <w:rPr>
          <w:rFonts w:ascii="Times New Roman" w:cs="Times New Roman" w:eastAsia="Times New Roman" w:hAnsi="Times New Roman"/>
          <w:sz w:val="22"/>
          <w:szCs w:val="22"/>
          <w:u w:val="single" w:color="auto"/>
          <w:color w:val="000000"/>
        </w:rPr>
        <w:t>Adjustment to Option</w:t>
      </w:r>
      <w:r>
        <w:rPr>
          <w:rFonts w:ascii="Times New Roman" w:cs="Times New Roman" w:eastAsia="Times New Roman" w:hAnsi="Times New Roman"/>
          <w:sz w:val="22"/>
          <w:szCs w:val="22"/>
          <w:color w:val="000000"/>
        </w:rPr>
        <w:t>. In the event of any event described in Section 12 of the Plan occurring after the Grant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Date, the adjustment provisions (including cash payments) as provided for under Section 12 of the Plan shall apply.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122" w:right="239" w:bottom="1440" w:gutter="0" w:footer="0" w:header="0"/>
        </w:sectPr>
      </w:pPr>
    </w:p>
    <w:bookmarkStart w:id="190" w:name="page191"/>
    <w:bookmarkEnd w:id="190"/>
    <w:p>
      <w:pPr>
        <w:ind w:left="10200"/>
        <w:spacing w:after="0"/>
        <w:rPr>
          <w:sz w:val="20"/>
          <w:szCs w:val="20"/>
          <w:color w:val="auto"/>
        </w:rPr>
      </w:pPr>
      <w:r>
        <w:rPr>
          <w:rFonts w:ascii="Times New Roman" w:cs="Times New Roman" w:eastAsia="Times New Roman" w:hAnsi="Times New Roman"/>
          <w:sz w:val="21"/>
          <w:szCs w:val="21"/>
          <w:b w:val="1"/>
          <w:bCs w:val="1"/>
          <w:color w:val="auto"/>
        </w:rPr>
        <w:t>Exhibit 10.93</w:t>
      </w:r>
    </w:p>
    <w:p>
      <w:pPr>
        <w:spacing w:after="0" w:line="235"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22"/>
          <w:szCs w:val="22"/>
          <w:color w:val="010000"/>
        </w:rPr>
        <w:t xml:space="preserve">Section 16. </w:t>
      </w:r>
      <w:r>
        <w:rPr>
          <w:rFonts w:ascii="Times New Roman" w:cs="Times New Roman" w:eastAsia="Times New Roman" w:hAnsi="Times New Roman"/>
          <w:sz w:val="22"/>
          <w:szCs w:val="22"/>
          <w:u w:val="single" w:color="auto"/>
          <w:color w:val="000000"/>
        </w:rPr>
        <w:t>Section 409A of the Code</w:t>
      </w:r>
      <w:r>
        <w:rPr>
          <w:rFonts w:ascii="Times New Roman" w:cs="Times New Roman" w:eastAsia="Times New Roman" w:hAnsi="Times New Roman"/>
          <w:sz w:val="22"/>
          <w:szCs w:val="22"/>
          <w:color w:val="000000"/>
        </w:rPr>
        <w:t>. This Option is intended to constitute a “stock right” within the meaning of Section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409A of the Code, and shall otherwise be subject to the provisions of Section 14(v) of the Plan.</w:t>
      </w:r>
    </w:p>
    <w:p>
      <w:pPr>
        <w:spacing w:after="0" w:line="144" w:lineRule="exact"/>
        <w:rPr>
          <w:sz w:val="20"/>
          <w:szCs w:val="20"/>
          <w:color w:val="auto"/>
        </w:rPr>
      </w:pPr>
    </w:p>
    <w:p>
      <w:pPr>
        <w:ind w:right="200" w:firstLine="648"/>
        <w:spacing w:after="0" w:line="265" w:lineRule="auto"/>
        <w:rPr>
          <w:sz w:val="20"/>
          <w:szCs w:val="20"/>
          <w:color w:val="auto"/>
        </w:rPr>
      </w:pPr>
      <w:r>
        <w:rPr>
          <w:rFonts w:ascii="Times New Roman" w:cs="Times New Roman" w:eastAsia="Times New Roman" w:hAnsi="Times New Roman"/>
          <w:sz w:val="21"/>
          <w:szCs w:val="21"/>
          <w:color w:val="010000"/>
        </w:rPr>
        <w:t xml:space="preserve">Section 17. </w:t>
      </w:r>
      <w:r>
        <w:rPr>
          <w:rFonts w:ascii="Times New Roman" w:cs="Times New Roman" w:eastAsia="Times New Roman" w:hAnsi="Times New Roman"/>
          <w:sz w:val="21"/>
          <w:szCs w:val="21"/>
          <w:u w:val="single" w:color="auto"/>
          <w:color w:val="000000"/>
        </w:rPr>
        <w:t>Modification of Rights; Entire Agreement</w:t>
      </w:r>
      <w:r>
        <w:rPr>
          <w:rFonts w:ascii="Times New Roman" w:cs="Times New Roman" w:eastAsia="Times New Roman" w:hAnsi="Times New Roman"/>
          <w:sz w:val="21"/>
          <w:szCs w:val="21"/>
          <w:color w:val="000000"/>
        </w:rPr>
        <w:t>. The Participant’s rights under this Award, the Certificate of Grant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and the Plan may be modified only to the extent expressly provided under this Award or under Sections 14(a) and (b) of the Plan. This Award, the Certificate of Grant and the Plan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spacing w:after="0" w:line="16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010000"/>
        </w:rPr>
        <w:t xml:space="preserve">Section 18. </w:t>
      </w:r>
      <w:r>
        <w:rPr>
          <w:rFonts w:ascii="Times New Roman" w:cs="Times New Roman" w:eastAsia="Times New Roman" w:hAnsi="Times New Roman"/>
          <w:sz w:val="21"/>
          <w:szCs w:val="21"/>
          <w:u w:val="single" w:color="auto"/>
          <w:color w:val="000000"/>
        </w:rPr>
        <w:t>Clawback upon Breach of Restrictive Covenants</w:t>
      </w:r>
      <w:r>
        <w:rPr>
          <w:rFonts w:ascii="Times New Roman" w:cs="Times New Roman" w:eastAsia="Times New Roman" w:hAnsi="Times New Roman"/>
          <w:sz w:val="21"/>
          <w:szCs w:val="21"/>
          <w:color w:val="000000"/>
        </w:rPr>
        <w:t>. In the event the Participant breaches the Participant’s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“Restrictive Covenant Agreement” (as defined below) at any time 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Option and the Participant shall be required to return to the Company all Shares previously issued in respect of the Option (net of exercise price paid)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Option.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spacing w:after="0" w:line="175"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Section 19.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It is the desire and intent of the parties hereto that the provisions of this Award be enforced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122" w:right="2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2"/>
          <w:szCs w:val="22"/>
          <w:b w:val="1"/>
          <w:bCs w:val="1"/>
          <w:color w:val="auto"/>
        </w:rPr>
        <w:t>Exhibit 10.93</w:t>
      </w:r>
    </w:p>
    <w:p>
      <w:pPr>
        <w:spacing w:after="0" w:line="2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[(Per Certificate of Grant)]</w:t>
      </w:r>
    </w:p>
    <w:p>
      <w:pPr>
        <w:spacing w:after="0" w:line="26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[Acceptance Date]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Grant will be accepted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840"/>
          </w:cols>
          <w:pgMar w:left="820" w:top="122" w:right="2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2"/>
          <w:szCs w:val="22"/>
          <w:b w:val="1"/>
          <w:bCs w:val="1"/>
          <w:color w:val="auto"/>
        </w:rPr>
        <w:t>Exhibit 10.93</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DATA PROTECTION PROVISION</w:t>
      </w:r>
    </w:p>
    <w:p>
      <w:pPr>
        <w:spacing w:after="0" w:line="386" w:lineRule="exact"/>
        <w:rPr>
          <w:sz w:val="20"/>
          <w:szCs w:val="20"/>
          <w:color w:val="auto"/>
        </w:rPr>
      </w:pPr>
    </w:p>
    <w:p>
      <w:pPr>
        <w:ind w:left="1140" w:right="40" w:hanging="578"/>
        <w:spacing w:after="0" w:line="248" w:lineRule="auto"/>
        <w:tabs>
          <w:tab w:leader="none" w:pos="11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participating in the Plan or accepting any rights granted under it, the Participant consents to the collection and processing by the Company and its Affiliates of personal data relating to the Participant by the Company and its Affiliates and/or agents so that they can fulfill their obligations and exercise their rights under the Plan, issue certificates (if any), statements and communications relating to the Plan and generally administer and manage the Plan, including keeping records of participation levels from time to time. Any such processing shall be in accordance with the purposes and provisions of this data protection provision. References in this provision to the Company and its Affiliates include the Participant's employer.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data will include data:</w:t>
      </w:r>
    </w:p>
    <w:p>
      <w:pPr>
        <w:spacing w:after="0" w:line="355" w:lineRule="exact"/>
        <w:rPr>
          <w:sz w:val="20"/>
          <w:szCs w:val="20"/>
          <w:color w:val="auto"/>
        </w:rPr>
      </w:pPr>
    </w:p>
    <w:p>
      <w:pPr>
        <w:ind w:left="1460" w:right="400" w:firstLine="7"/>
        <w:spacing w:after="0" w:line="236" w:lineRule="auto"/>
        <w:tabs>
          <w:tab w:leader="none" w:pos="215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already held in the Participant's records such as the Participant's name and address, ID number, payroll number, length of service and whether the Participant works full-time or part time;</w:t>
      </w:r>
    </w:p>
    <w:p>
      <w:pPr>
        <w:spacing w:after="0" w:line="191" w:lineRule="exact"/>
        <w:rPr>
          <w:rFonts w:ascii="Times New Roman" w:cs="Times New Roman" w:eastAsia="Times New Roman" w:hAnsi="Times New Roman"/>
          <w:sz w:val="22"/>
          <w:szCs w:val="22"/>
          <w:color w:val="auto"/>
        </w:rPr>
      </w:pPr>
    </w:p>
    <w:p>
      <w:pPr>
        <w:ind w:left="2220" w:hanging="753"/>
        <w:spacing w:after="0"/>
        <w:tabs>
          <w:tab w:leader="none" w:pos="22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collected upon the Participant accepting the rights granted under the Plan (if applicable); and</w:t>
      </w:r>
    </w:p>
    <w:p>
      <w:pPr>
        <w:spacing w:after="0" w:line="219" w:lineRule="exact"/>
        <w:rPr>
          <w:rFonts w:ascii="Times New Roman" w:cs="Times New Roman" w:eastAsia="Times New Roman" w:hAnsi="Times New Roman"/>
          <w:sz w:val="22"/>
          <w:szCs w:val="22"/>
          <w:color w:val="auto"/>
        </w:rPr>
      </w:pPr>
    </w:p>
    <w:p>
      <w:pPr>
        <w:ind w:left="2280" w:hanging="813"/>
        <w:spacing w:after="0"/>
        <w:tabs>
          <w:tab w:leader="none" w:pos="228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subsequently collected</w:t>
      </w:r>
    </w:p>
    <w:p>
      <w:pPr>
        <w:spacing w:after="0" w:line="247" w:lineRule="exact"/>
        <w:rPr>
          <w:sz w:val="20"/>
          <w:szCs w:val="20"/>
          <w:color w:val="auto"/>
        </w:rPr>
      </w:pPr>
    </w:p>
    <w:p>
      <w:pPr>
        <w:ind w:left="1460" w:right="140"/>
        <w:spacing w:after="0" w:line="250" w:lineRule="auto"/>
        <w:rPr>
          <w:sz w:val="20"/>
          <w:szCs w:val="20"/>
          <w:color w:val="auto"/>
        </w:rPr>
      </w:pPr>
      <w:r>
        <w:rPr>
          <w:rFonts w:ascii="Times New Roman" w:cs="Times New Roman" w:eastAsia="Times New Roman" w:hAnsi="Times New Roman"/>
          <w:sz w:val="22"/>
          <w:szCs w:val="22"/>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pacing w:after="0" w:line="181" w:lineRule="exact"/>
        <w:rPr>
          <w:sz w:val="20"/>
          <w:szCs w:val="20"/>
          <w:color w:val="auto"/>
        </w:rPr>
      </w:pPr>
    </w:p>
    <w:p>
      <w:pPr>
        <w:ind w:left="1140" w:right="140" w:hanging="578"/>
        <w:spacing w:after="0" w:line="271" w:lineRule="auto"/>
        <w:tabs>
          <w:tab w:leader="none" w:pos="11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is in addition to and does not affect any previous consent provided by the Participant to the Company or its Affiliates.</w:t>
      </w:r>
    </w:p>
    <w:p>
      <w:pPr>
        <w:spacing w:after="0" w:line="198" w:lineRule="exact"/>
        <w:rPr>
          <w:rFonts w:ascii="Times New Roman" w:cs="Times New Roman" w:eastAsia="Times New Roman" w:hAnsi="Times New Roman"/>
          <w:sz w:val="22"/>
          <w:szCs w:val="22"/>
          <w:color w:val="auto"/>
        </w:rPr>
      </w:pPr>
    </w:p>
    <w:p>
      <w:pPr>
        <w:ind w:left="1140" w:right="200" w:hanging="578"/>
        <w:spacing w:after="0" w:line="250" w:lineRule="auto"/>
        <w:tabs>
          <w:tab w:leader="none" w:pos="11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particular, the Participant expressly consents to the transfer of personal data about the Participant as described in paragraph (a) above by the Company and its Affiliates and/or agents. Data may be transferred not only within the country in which the Participant is based from time to time or within the EU or the European Economic Area (“EEA”), but also worldwide, to other employees and officers of the Company and its Affiliates and/or agents and to the following third parties for the purposes described in paragraph (a) above:</w:t>
      </w:r>
    </w:p>
    <w:p>
      <w:pPr>
        <w:spacing w:after="0" w:line="195" w:lineRule="exact"/>
        <w:rPr>
          <w:sz w:val="20"/>
          <w:szCs w:val="20"/>
          <w:color w:val="auto"/>
        </w:rPr>
      </w:pPr>
    </w:p>
    <w:p>
      <w:pPr>
        <w:ind w:left="5660" w:right="3620" w:hanging="4193"/>
        <w:spacing w:after="0" w:line="463" w:lineRule="auto"/>
        <w:tabs>
          <w:tab w:leader="none" w:pos="2157"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administrators, transfer agents, auditors, brokers, agents and 8</w:t>
      </w:r>
    </w:p>
    <w:p>
      <w:pPr>
        <w:sectPr>
          <w:pgSz w:w="11900" w:h="16838" w:orient="portrait"/>
          <w:cols w:equalWidth="0" w:num="1">
            <w:col w:w="11420"/>
          </w:cols>
          <w:pgMar w:left="240" w:top="122" w:right="239" w:bottom="1440" w:gutter="0" w:footer="0" w:header="0"/>
        </w:sectPr>
      </w:pPr>
    </w:p>
    <w:bookmarkStart w:id="193" w:name="page194"/>
    <w:bookmarkEnd w:id="193"/>
    <w:p>
      <w:pPr>
        <w:ind w:left="10200"/>
        <w:spacing w:after="0"/>
        <w:rPr>
          <w:sz w:val="20"/>
          <w:szCs w:val="20"/>
          <w:color w:val="auto"/>
        </w:rPr>
      </w:pPr>
      <w:r>
        <w:rPr>
          <w:rFonts w:ascii="Times New Roman" w:cs="Times New Roman" w:eastAsia="Times New Roman" w:hAnsi="Times New Roman"/>
          <w:sz w:val="21"/>
          <w:szCs w:val="21"/>
          <w:b w:val="1"/>
          <w:bCs w:val="1"/>
          <w:color w:val="auto"/>
        </w:rPr>
        <w:t>Exhibit 10.93</w:t>
      </w:r>
    </w:p>
    <w:p>
      <w:pPr>
        <w:spacing w:after="0" w:line="208" w:lineRule="exact"/>
        <w:rPr>
          <w:sz w:val="20"/>
          <w:szCs w:val="20"/>
          <w:color w:val="auto"/>
        </w:rPr>
      </w:pPr>
    </w:p>
    <w:p>
      <w:pPr>
        <w:ind w:left="1460" w:right="160"/>
        <w:spacing w:after="0" w:line="236" w:lineRule="auto"/>
        <w:rPr>
          <w:sz w:val="20"/>
          <w:szCs w:val="20"/>
          <w:color w:val="auto"/>
        </w:rPr>
      </w:pPr>
      <w:r>
        <w:rPr>
          <w:rFonts w:ascii="Times New Roman" w:cs="Times New Roman" w:eastAsia="Times New Roman" w:hAnsi="Times New Roman"/>
          <w:sz w:val="22"/>
          <w:szCs w:val="22"/>
          <w:color w:val="auto"/>
        </w:rPr>
        <w:t>contractors of, and third party service providers to, the Company or its Affiliates such as printers and mail houses engaged to print or distribute notices or communications about the Plan;</w:t>
      </w:r>
    </w:p>
    <w:p>
      <w:pPr>
        <w:spacing w:after="0" w:line="191" w:lineRule="exact"/>
        <w:rPr>
          <w:sz w:val="20"/>
          <w:szCs w:val="20"/>
          <w:color w:val="auto"/>
        </w:rPr>
      </w:pPr>
    </w:p>
    <w:p>
      <w:pPr>
        <w:ind w:left="1460" w:right="80" w:firstLine="7"/>
        <w:spacing w:after="0" w:line="236" w:lineRule="auto"/>
        <w:tabs>
          <w:tab w:leader="none" w:pos="221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regulators, tax authorities, stock or security exchanges and other supervisory, regulatory, governmental or public bodies as required by law;</w:t>
      </w:r>
    </w:p>
    <w:p>
      <w:pPr>
        <w:spacing w:after="0" w:line="191" w:lineRule="exact"/>
        <w:rPr>
          <w:rFonts w:ascii="Times New Roman" w:cs="Times New Roman" w:eastAsia="Times New Roman" w:hAnsi="Times New Roman"/>
          <w:sz w:val="22"/>
          <w:szCs w:val="22"/>
          <w:color w:val="auto"/>
        </w:rPr>
      </w:pPr>
    </w:p>
    <w:p>
      <w:pPr>
        <w:ind w:left="1460" w:right="160" w:firstLine="7"/>
        <w:spacing w:after="0" w:line="226" w:lineRule="auto"/>
        <w:tabs>
          <w:tab w:leader="none" w:pos="227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proposed merger or acquisition partners or proposed assignees of, or those taking or proposing to take security over, the business or assets or stock of the Company or its Affiliates and their agents and contractors;</w:t>
      </w:r>
    </w:p>
    <w:p>
      <w:pPr>
        <w:spacing w:after="0" w:line="190" w:lineRule="exact"/>
        <w:rPr>
          <w:rFonts w:ascii="Times New Roman" w:cs="Times New Roman" w:eastAsia="Times New Roman" w:hAnsi="Times New Roman"/>
          <w:sz w:val="22"/>
          <w:szCs w:val="22"/>
          <w:color w:val="auto"/>
        </w:rPr>
      </w:pPr>
    </w:p>
    <w:p>
      <w:pPr>
        <w:ind w:left="1460" w:right="100" w:firstLine="7"/>
        <w:spacing w:after="0" w:line="226" w:lineRule="auto"/>
        <w:tabs>
          <w:tab w:leader="none" w:pos="225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190" w:lineRule="exact"/>
        <w:rPr>
          <w:rFonts w:ascii="Times New Roman" w:cs="Times New Roman" w:eastAsia="Times New Roman" w:hAnsi="Times New Roman"/>
          <w:sz w:val="22"/>
          <w:szCs w:val="22"/>
          <w:color w:val="auto"/>
        </w:rPr>
      </w:pPr>
    </w:p>
    <w:p>
      <w:pPr>
        <w:ind w:left="1460" w:right="160" w:firstLine="7"/>
        <w:spacing w:after="0" w:line="236" w:lineRule="auto"/>
        <w:tabs>
          <w:tab w:leader="none" w:pos="219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family members, physicians, heirs, legatees and others associated with the Participant in connection with the Plan.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all countries, where the personal data may be transferred to, have an equal level of data protection as in the EU or the EEA.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Countries to which data are transferred include the USA and Bermuda.</w:t>
      </w:r>
    </w:p>
    <w:p>
      <w:pPr>
        <w:spacing w:after="0" w:line="19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21"/>
          <w:szCs w:val="21"/>
          <w:color w:val="auto"/>
        </w:rPr>
        <w:t>The Participant may access, modify, correct or withdraw consent to process most Personal Information about the Participant by contacting the local data protection officer in the country in which the Participant is based. Please note, however, that certain Personal Information about the Participant may be exempt from such access, correction, objection, suppression or deletion rights pursuant to applicable data protection laws, if the Participant has a complaint regarding the manner in which personal information relating to the Participant is dealt with, the Participant should contact the appropriate local data protection officer referred to above.</w:t>
      </w:r>
    </w:p>
    <w:p>
      <w:pPr>
        <w:spacing w:after="0" w:line="166" w:lineRule="exact"/>
        <w:rPr>
          <w:sz w:val="20"/>
          <w:szCs w:val="20"/>
          <w:color w:val="auto"/>
        </w:rPr>
      </w:pPr>
    </w:p>
    <w:p>
      <w:pPr>
        <w:ind w:left="1140" w:hanging="578"/>
        <w:spacing w:after="0" w:line="257" w:lineRule="auto"/>
        <w:tabs>
          <w:tab w:leader="none" w:pos="11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processing (including transfer) of data described above is essential for the administration and operation of the Plan. Therefore, in cases where the Participant wishes to participate in the Plan, it is essential that his/her personal data are processed in the manner described above. At any time the Participant may withdraw his or her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DATA PROTECTION PROVISION</w:t>
      </w:r>
    </w:p>
    <w:p>
      <w:pPr>
        <w:spacing w:after="0" w:line="143" w:lineRule="exact"/>
        <w:rPr>
          <w:sz w:val="20"/>
          <w:szCs w:val="20"/>
          <w:color w:val="auto"/>
        </w:rPr>
      </w:pPr>
    </w:p>
    <w:p>
      <w:pPr>
        <w:ind w:left="1220" w:right="80" w:hanging="658"/>
        <w:spacing w:after="0" w:line="248" w:lineRule="auto"/>
        <w:tabs>
          <w:tab w:leader="none" w:pos="1220"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participating in the Plan or accepting any rights granted under it, the Participant consents to the collection and processing by the Company and its Affiliates of personal data relating to the Participant by the Company and its Affiliates and/or agents so that they can fulfill their obligations and exercise their rights under the Plan, issue certificates (if any), statements and communications relating to the Plan and generally administer and manage the Plan, including keeping records of participation levels from time to time. Any such processing shall be in accordance with the purposes and provisions of this data protection provision. References in this provision to the Company and its Affiliates include the Participant's employer.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data will include data:</w:t>
      </w:r>
    </w:p>
    <w:p>
      <w:pPr>
        <w:spacing w:after="0" w:line="139" w:lineRule="exact"/>
        <w:rPr>
          <w:sz w:val="20"/>
          <w:szCs w:val="20"/>
          <w:color w:val="auto"/>
        </w:rPr>
      </w:pPr>
    </w:p>
    <w:p>
      <w:pPr>
        <w:ind w:left="1460" w:right="700" w:firstLine="7"/>
        <w:spacing w:after="0" w:line="284" w:lineRule="auto"/>
        <w:tabs>
          <w:tab w:leader="none" w:pos="1844" w:val="left"/>
        </w:tabs>
        <w:numPr>
          <w:ilvl w:val="0"/>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already held in the Participant's records such as the Participant's name and address, ID number, payroll number, length of service and whether the Participant works full-time or part time;</w:t>
      </w:r>
    </w:p>
    <w:p>
      <w:pPr>
        <w:spacing w:after="0" w:line="144" w:lineRule="exact"/>
        <w:rPr>
          <w:rFonts w:ascii="Times New Roman" w:cs="Times New Roman" w:eastAsia="Times New Roman" w:hAnsi="Times New Roman"/>
          <w:sz w:val="22"/>
          <w:szCs w:val="22"/>
          <w:color w:val="010000"/>
        </w:rPr>
      </w:pPr>
    </w:p>
    <w:p>
      <w:pPr>
        <w:ind w:left="1920" w:hanging="453"/>
        <w:spacing w:after="0"/>
        <w:tabs>
          <w:tab w:leader="none" w:pos="1920" w:val="left"/>
        </w:tabs>
        <w:numPr>
          <w:ilvl w:val="0"/>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collected upon the Participant accepting the rights granted under the Plan (if applicable); and</w:t>
      </w:r>
    </w:p>
    <w:p>
      <w:pPr>
        <w:spacing w:after="0" w:line="233" w:lineRule="exact"/>
        <w:rPr>
          <w:rFonts w:ascii="Times New Roman" w:cs="Times New Roman" w:eastAsia="Times New Roman" w:hAnsi="Times New Roman"/>
          <w:sz w:val="22"/>
          <w:szCs w:val="22"/>
          <w:color w:val="010000"/>
        </w:rPr>
      </w:pPr>
    </w:p>
    <w:p>
      <w:pPr>
        <w:ind w:left="1980" w:hanging="513"/>
        <w:spacing w:after="0"/>
        <w:tabs>
          <w:tab w:leader="none" w:pos="1980" w:val="left"/>
        </w:tabs>
        <w:numPr>
          <w:ilvl w:val="0"/>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subsequently collected</w:t>
      </w:r>
    </w:p>
    <w:p>
      <w:pPr>
        <w:spacing w:after="0" w:line="233" w:lineRule="exact"/>
        <w:rPr>
          <w:sz w:val="20"/>
          <w:szCs w:val="20"/>
          <w:color w:val="auto"/>
        </w:rPr>
      </w:pPr>
    </w:p>
    <w:p>
      <w:pPr>
        <w:ind w:left="1460" w:right="140"/>
        <w:spacing w:after="0" w:line="250" w:lineRule="auto"/>
        <w:rPr>
          <w:sz w:val="20"/>
          <w:szCs w:val="20"/>
          <w:color w:val="auto"/>
        </w:rPr>
      </w:pPr>
      <w:r>
        <w:rPr>
          <w:rFonts w:ascii="Times New Roman" w:cs="Times New Roman" w:eastAsia="Times New Roman" w:hAnsi="Times New Roman"/>
          <w:sz w:val="22"/>
          <w:szCs w:val="22"/>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pacing w:after="0" w:line="181" w:lineRule="exact"/>
        <w:rPr>
          <w:sz w:val="20"/>
          <w:szCs w:val="20"/>
          <w:color w:val="auto"/>
        </w:rPr>
      </w:pPr>
    </w:p>
    <w:p>
      <w:pPr>
        <w:ind w:left="1220" w:right="80" w:hanging="658"/>
        <w:spacing w:after="0" w:line="271" w:lineRule="auto"/>
        <w:tabs>
          <w:tab w:leader="none" w:pos="1220"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consent is in addition to and does not affect any previous consent provided by the Participant to the Company or its Affiliates.</w:t>
      </w:r>
    </w:p>
    <w:p>
      <w:pPr>
        <w:spacing w:after="0" w:line="157" w:lineRule="exact"/>
        <w:rPr>
          <w:rFonts w:ascii="Times New Roman" w:cs="Times New Roman" w:eastAsia="Times New Roman" w:hAnsi="Times New Roman"/>
          <w:sz w:val="22"/>
          <w:szCs w:val="22"/>
          <w:color w:val="010000"/>
        </w:rPr>
      </w:pPr>
    </w:p>
    <w:p>
      <w:pPr>
        <w:ind w:left="1220" w:right="260" w:hanging="658"/>
        <w:spacing w:after="0" w:line="257" w:lineRule="auto"/>
        <w:tabs>
          <w:tab w:leader="none" w:pos="1220"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particular, the Participant expressly consents to the transfer of personal data about the Participant as described in paragraph (a) above by the Company and its Affiliates and/or agents. Data may be transferred not only within the country in which the Participant is based from time to time or within the EU or the European Economic Area</w:t>
      </w:r>
    </w:p>
    <w:p>
      <w:pPr>
        <w:sectPr>
          <w:pgSz w:w="11900" w:h="16838" w:orient="portrait"/>
          <w:cols w:equalWidth="0" w:num="1">
            <w:col w:w="11420"/>
          </w:cols>
          <w:pgMar w:left="240" w:top="122" w:right="239" w:bottom="0" w:gutter="0" w:footer="0" w:header="0"/>
        </w:sectPr>
      </w:pPr>
    </w:p>
    <w:bookmarkStart w:id="194" w:name="page195"/>
    <w:bookmarkEnd w:id="194"/>
    <w:p>
      <w:pPr>
        <w:ind w:left="1220" w:right="60"/>
        <w:spacing w:after="0" w:line="271" w:lineRule="auto"/>
        <w:rPr>
          <w:sz w:val="20"/>
          <w:szCs w:val="20"/>
          <w:color w:val="auto"/>
        </w:rPr>
      </w:pPr>
      <w:r>
        <w:rPr>
          <w:rFonts w:ascii="Times New Roman" w:cs="Times New Roman" w:eastAsia="Times New Roman" w:hAnsi="Times New Roman"/>
          <w:sz w:val="22"/>
          <w:szCs w:val="22"/>
          <w:color w:val="auto"/>
        </w:rPr>
        <w:t>(“EEA”), but also worldwide, to other employees and officers of the Company and its Affiliates and/or agents and to the following third parties for the purposes described in paragraph (a) above:</w:t>
      </w:r>
    </w:p>
    <w:p>
      <w:pPr>
        <w:spacing w:after="0" w:line="158" w:lineRule="exact"/>
        <w:rPr>
          <w:sz w:val="20"/>
          <w:szCs w:val="20"/>
          <w:color w:val="auto"/>
        </w:rPr>
      </w:pPr>
    </w:p>
    <w:p>
      <w:pPr>
        <w:ind w:left="1460" w:right="160" w:firstLine="7"/>
        <w:spacing w:after="0" w:line="263" w:lineRule="auto"/>
        <w:tabs>
          <w:tab w:leader="none" w:pos="1844"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167" w:lineRule="exact"/>
        <w:rPr>
          <w:rFonts w:ascii="Times New Roman" w:cs="Times New Roman" w:eastAsia="Times New Roman" w:hAnsi="Times New Roman"/>
          <w:sz w:val="22"/>
          <w:szCs w:val="22"/>
          <w:color w:val="010000"/>
        </w:rPr>
      </w:pPr>
    </w:p>
    <w:p>
      <w:pPr>
        <w:ind w:left="1460" w:right="340" w:firstLine="7"/>
        <w:spacing w:after="0" w:line="284" w:lineRule="auto"/>
        <w:tabs>
          <w:tab w:leader="none" w:pos="1904"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regulators, tax authorities, stock or security exchanges and other supervisory, regulatory, governmental or public bodies as required by law;</w:t>
      </w:r>
    </w:p>
    <w:p>
      <w:pPr>
        <w:spacing w:after="0" w:line="144" w:lineRule="exact"/>
        <w:rPr>
          <w:rFonts w:ascii="Times New Roman" w:cs="Times New Roman" w:eastAsia="Times New Roman" w:hAnsi="Times New Roman"/>
          <w:sz w:val="22"/>
          <w:szCs w:val="22"/>
          <w:color w:val="010000"/>
        </w:rPr>
      </w:pPr>
    </w:p>
    <w:p>
      <w:pPr>
        <w:ind w:left="1460" w:firstLine="7"/>
        <w:spacing w:after="0" w:line="309" w:lineRule="auto"/>
        <w:tabs>
          <w:tab w:leader="none" w:pos="1964" w:val="left"/>
        </w:tabs>
        <w:numPr>
          <w:ilvl w:val="0"/>
          <w:numId w:val="1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actual or proposed merger or acquisition partners or proposed assignees of, or those taking or proposing to take security over, the business or assets or stock of the Company or its Affiliates and their agents and contractors;</w:t>
      </w:r>
    </w:p>
    <w:p>
      <w:pPr>
        <w:spacing w:after="0" w:line="120" w:lineRule="exact"/>
        <w:rPr>
          <w:rFonts w:ascii="Times New Roman" w:cs="Times New Roman" w:eastAsia="Times New Roman" w:hAnsi="Times New Roman"/>
          <w:sz w:val="21"/>
          <w:szCs w:val="21"/>
          <w:color w:val="010000"/>
        </w:rPr>
      </w:pPr>
    </w:p>
    <w:p>
      <w:pPr>
        <w:jc w:val="both"/>
        <w:ind w:left="1460" w:right="140" w:firstLine="7"/>
        <w:spacing w:after="0" w:line="263" w:lineRule="auto"/>
        <w:tabs>
          <w:tab w:leader="none" w:pos="1952"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167" w:lineRule="exact"/>
        <w:rPr>
          <w:rFonts w:ascii="Times New Roman" w:cs="Times New Roman" w:eastAsia="Times New Roman" w:hAnsi="Times New Roman"/>
          <w:sz w:val="22"/>
          <w:szCs w:val="22"/>
          <w:color w:val="010000"/>
        </w:rPr>
      </w:pPr>
    </w:p>
    <w:p>
      <w:pPr>
        <w:ind w:left="1460" w:right="400" w:firstLine="7"/>
        <w:spacing w:after="0" w:line="284" w:lineRule="auto"/>
        <w:tabs>
          <w:tab w:leader="none" w:pos="1892"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Participant's family members, physicians, heirs, legatees and others associated with the Participant in connection with the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all countries, where the personal data may be transferred to, have an equal level of data protection as in the EU or the EEA.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Countries to which data are transferred include the USA and Bermuda.</w:t>
      </w:r>
    </w:p>
    <w:p>
      <w:pPr>
        <w:spacing w:after="0" w:line="23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The Participant may access, modify, correct or withdraw consent to process most Personal Information about the Participant by contacting the local data protection officer in the country in which the Participant is based. Please note, however, that certain Personal Information about the Participant may be exempt from such access, correction, objection, suppression or deletion rights pursuant to applicable data protection laws, if the Participant has a complaint regarding the manner in which personal information relating to the Participant is dealt with, the Participant should contact the appropriate local data protection officer referred to above.</w:t>
      </w:r>
    </w:p>
    <w:p>
      <w:pPr>
        <w:spacing w:after="0" w:line="206" w:lineRule="exact"/>
        <w:rPr>
          <w:sz w:val="20"/>
          <w:szCs w:val="20"/>
          <w:color w:val="auto"/>
        </w:rPr>
      </w:pPr>
    </w:p>
    <w:p>
      <w:pPr>
        <w:jc w:val="both"/>
        <w:ind w:left="1220" w:right="280" w:hanging="658"/>
        <w:spacing w:after="0" w:line="275" w:lineRule="auto"/>
        <w:tabs>
          <w:tab w:leader="none" w:pos="1220" w:val="left"/>
        </w:tabs>
        <w:numPr>
          <w:ilvl w:val="0"/>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processing (including transfer) of data described above is essential for the administration and operation of the Plan. Therefore, in cases where the Participant wishes to participate in the Plan, it is essential that his/her personal data are processed in the manner described above. At any time the Participant may withdraw his or her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360"/>
          </w:cols>
          <w:pgMar w:left="240" w:top="126" w:right="29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2"/>
          <w:szCs w:val="22"/>
          <w:b w:val="1"/>
          <w:bCs w:val="1"/>
          <w:color w:val="auto"/>
        </w:rPr>
        <w:t>Exhibit 10.94</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Aramark</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RESTRICTED STOCK UNIT AWARD</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(TIME VESTING)</w:t>
      </w:r>
    </w:p>
    <w:p>
      <w:pPr>
        <w:spacing w:after="0" w:line="238" w:lineRule="exact"/>
        <w:rPr>
          <w:sz w:val="20"/>
          <w:szCs w:val="20"/>
          <w:color w:val="auto"/>
        </w:rPr>
      </w:pPr>
    </w:p>
    <w:p>
      <w:pPr>
        <w:ind w:left="660" w:right="60" w:hanging="652"/>
        <w:spacing w:after="0" w:line="247" w:lineRule="auto"/>
        <w:tabs>
          <w:tab w:leader="none" w:pos="660"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Grant of RSUs</w:t>
      </w:r>
      <w:r>
        <w:rPr>
          <w:rFonts w:ascii="Times New Roman" w:cs="Times New Roman" w:eastAsia="Times New Roman" w:hAnsi="Times New Roman"/>
          <w:sz w:val="22"/>
          <w:szCs w:val="22"/>
          <w:color w:val="auto"/>
        </w:rPr>
        <w:t>. Aramark (formerly known as Aramark Holdings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the number of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set forth on the Certificate of Grant of the Restricted Stock Units attached to this Award and made a part hereof (the “</w:t>
      </w:r>
      <w:r>
        <w:rPr>
          <w:rFonts w:ascii="Times New Roman" w:cs="Times New Roman" w:eastAsia="Times New Roman" w:hAnsi="Times New Roman"/>
          <w:sz w:val="22"/>
          <w:szCs w:val="22"/>
          <w:u w:val="single" w:color="auto"/>
          <w:color w:val="auto"/>
        </w:rPr>
        <w:t>Certificate of Grant</w:t>
      </w:r>
      <w:r>
        <w:rPr>
          <w:rFonts w:ascii="Times New Roman" w:cs="Times New Roman" w:eastAsia="Times New Roman" w:hAnsi="Times New Roman"/>
          <w:sz w:val="22"/>
          <w:szCs w:val="22"/>
          <w:color w:val="auto"/>
        </w:rPr>
        <w:t>”) to the Participant, on the terms and conditions hereinafter set forth. This grant is made pursuant to the terms of the Company Amended and Restated 2013 Stock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Plan, as amended from time to time, is incorporated herein by reference and made a part of this Award. Each RSU represents the unfunded, unsecured right of the Participant to receive a share of Common Stock, (as specified below) of the Company (each a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on the dates specified herein. Capitalized terms not otherwise defined herein shall have the same meanings as in the Plan and the Certificate of Grant.</w:t>
      </w:r>
    </w:p>
    <w:p>
      <w:pPr>
        <w:spacing w:after="0" w:line="186" w:lineRule="exact"/>
        <w:rPr>
          <w:rFonts w:ascii="Times New Roman" w:cs="Times New Roman" w:eastAsia="Times New Roman" w:hAnsi="Times New Roman"/>
          <w:sz w:val="22"/>
          <w:szCs w:val="22"/>
          <w:color w:val="010000"/>
        </w:rPr>
      </w:pPr>
    </w:p>
    <w:p>
      <w:pPr>
        <w:ind w:left="560" w:hanging="552"/>
        <w:spacing w:after="0"/>
        <w:tabs>
          <w:tab w:leader="none" w:pos="560"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Payment of Shares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140" w:right="20" w:hanging="578"/>
        <w:spacing w:after="0" w:line="249" w:lineRule="auto"/>
        <w:tabs>
          <w:tab w:leader="none" w:pos="1140" w:val="left"/>
        </w:tabs>
        <w:numPr>
          <w:ilvl w:val="1"/>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subject to the remainder of this Award, transfer to the Participant a number of Shares of the Company equal to the number of RSUs granted to the Participant under this Award at such time as the Participant becomes vested in the right to such transfer (x) as set forth on the Certificate of Grant under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so long as the Participant remains employed with the Company or any of its Affiliates through such Vesting Date, or (y) as otherwise provided in Section 2(b) or (c) below (in whole Shares only with the Participant receiving a cash payment equal to the Fair Market Value of any fractional Share on or about the transfer date).</w:t>
      </w:r>
    </w:p>
    <w:p>
      <w:pPr>
        <w:spacing w:after="0" w:line="180" w:lineRule="exact"/>
        <w:rPr>
          <w:rFonts w:ascii="Times New Roman" w:cs="Times New Roman" w:eastAsia="Times New Roman" w:hAnsi="Times New Roman"/>
          <w:sz w:val="22"/>
          <w:szCs w:val="22"/>
          <w:color w:val="010000"/>
        </w:rPr>
      </w:pPr>
    </w:p>
    <w:p>
      <w:pPr>
        <w:ind w:left="1140" w:hanging="578"/>
        <w:spacing w:after="0"/>
        <w:tabs>
          <w:tab w:leader="none" w:pos="1140" w:val="left"/>
        </w:tabs>
        <w:numPr>
          <w:ilvl w:val="1"/>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Section 2(a) of this Award,</w:t>
      </w:r>
    </w:p>
    <w:p>
      <w:pPr>
        <w:spacing w:after="0" w:line="219" w:lineRule="exact"/>
        <w:rPr>
          <w:rFonts w:ascii="Times New Roman" w:cs="Times New Roman" w:eastAsia="Times New Roman" w:hAnsi="Times New Roman"/>
          <w:sz w:val="22"/>
          <w:szCs w:val="22"/>
          <w:color w:val="010000"/>
        </w:rPr>
      </w:pPr>
    </w:p>
    <w:p>
      <w:pPr>
        <w:ind w:left="1960" w:right="140" w:hanging="655"/>
        <w:spacing w:after="0" w:line="250" w:lineRule="auto"/>
        <w:tabs>
          <w:tab w:leader="none" w:pos="1960" w:val="left"/>
        </w:tabs>
        <w:numPr>
          <w:ilvl w:val="2"/>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a Termination of Relationship as a result of the Participant’s death, Disability, or Retirement with Notice (as defined below) (each, a “</w:t>
      </w:r>
      <w:r>
        <w:rPr>
          <w:rFonts w:ascii="Times New Roman" w:cs="Times New Roman" w:eastAsia="Times New Roman" w:hAnsi="Times New Roman"/>
          <w:sz w:val="22"/>
          <w:szCs w:val="22"/>
          <w:u w:val="single" w:color="auto"/>
          <w:color w:val="auto"/>
        </w:rPr>
        <w:t>Special Termination</w:t>
      </w:r>
      <w:r>
        <w:rPr>
          <w:rFonts w:ascii="Times New Roman" w:cs="Times New Roman" w:eastAsia="Times New Roman" w:hAnsi="Times New Roman"/>
          <w:sz w:val="22"/>
          <w:szCs w:val="22"/>
          <w:color w:val="auto"/>
        </w:rPr>
        <w:t>”), the installment of RSUs scheduled to vest on the next Vesting Date immediately following such Special Termination shall remain outstanding and become vested RSUs on such next Vesting Date, at which time the Shares equal to the number of vested RSUs shall be transferred, and the remaining RSUs which are not then vested shall be forfeited; and</w:t>
      </w:r>
    </w:p>
    <w:p>
      <w:pPr>
        <w:spacing w:after="0" w:line="181" w:lineRule="exact"/>
        <w:rPr>
          <w:sz w:val="20"/>
          <w:szCs w:val="20"/>
          <w:color w:val="auto"/>
        </w:rPr>
      </w:pPr>
    </w:p>
    <w:p>
      <w:pPr>
        <w:ind w:left="1960" w:right="160" w:hanging="493"/>
        <w:spacing w:after="0" w:line="271" w:lineRule="auto"/>
        <w:tabs>
          <w:tab w:leader="none" w:pos="1960"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a Termination of Relationship for any reason other than as set forth in clause (i) above, all outstanding RSUs shall be forfeited and immediately cancelled.</w:t>
      </w:r>
    </w:p>
    <w:p>
      <w:pPr>
        <w:spacing w:after="0" w:line="158" w:lineRule="exact"/>
        <w:rPr>
          <w:sz w:val="20"/>
          <w:szCs w:val="20"/>
          <w:color w:val="auto"/>
        </w:rPr>
      </w:pPr>
    </w:p>
    <w:p>
      <w:pPr>
        <w:ind w:left="1300" w:right="420"/>
        <w:spacing w:after="0" w:line="271" w:lineRule="auto"/>
        <w:rPr>
          <w:sz w:val="20"/>
          <w:szCs w:val="20"/>
          <w:color w:val="auto"/>
        </w:rPr>
      </w:pPr>
      <w:r>
        <w:rPr>
          <w:rFonts w:ascii="Times New Roman" w:cs="Times New Roman" w:eastAsia="Times New Roman" w:hAnsi="Times New Roman"/>
          <w:sz w:val="22"/>
          <w:szCs w:val="22"/>
          <w:color w:val="auto"/>
        </w:rPr>
        <w:t>As used herein, the term “Retirement with Notice” means the Participant’s retirement from the Company and its Affiliates after providing the Company with</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122" w:right="239" w:bottom="1440" w:gutter="0" w:footer="0" w:header="0"/>
        </w:sectPr>
      </w:pPr>
    </w:p>
    <w:bookmarkStart w:id="196" w:name="page197"/>
    <w:bookmarkEnd w:id="196"/>
    <w:p>
      <w:pPr>
        <w:ind w:left="10200"/>
        <w:spacing w:after="0"/>
        <w:rPr>
          <w:sz w:val="20"/>
          <w:szCs w:val="20"/>
          <w:color w:val="auto"/>
        </w:rPr>
      </w:pPr>
      <w:r>
        <w:rPr>
          <w:rFonts w:ascii="Times New Roman" w:cs="Times New Roman" w:eastAsia="Times New Roman" w:hAnsi="Times New Roman"/>
          <w:sz w:val="21"/>
          <w:szCs w:val="21"/>
          <w:b w:val="1"/>
          <w:bCs w:val="1"/>
          <w:color w:val="auto"/>
        </w:rPr>
        <w:t>Exhibit 10.94</w:t>
      </w:r>
    </w:p>
    <w:p>
      <w:pPr>
        <w:spacing w:after="0" w:line="235" w:lineRule="exact"/>
        <w:rPr>
          <w:sz w:val="20"/>
          <w:szCs w:val="20"/>
          <w:color w:val="auto"/>
        </w:rPr>
      </w:pPr>
    </w:p>
    <w:p>
      <w:pPr>
        <w:ind w:left="1300" w:right="80"/>
        <w:spacing w:after="0" w:line="249" w:lineRule="auto"/>
        <w:rPr>
          <w:sz w:val="20"/>
          <w:szCs w:val="20"/>
          <w:color w:val="auto"/>
        </w:rPr>
      </w:pPr>
      <w:r>
        <w:rPr>
          <w:rFonts w:ascii="Times New Roman" w:cs="Times New Roman" w:eastAsia="Times New Roman" w:hAnsi="Times New Roman"/>
          <w:sz w:val="22"/>
          <w:szCs w:val="22"/>
          <w:color w:val="auto"/>
        </w:rPr>
        <w:t xml:space="preserve">at least 6 months’ prior written notice of such intended retirement (and with such notice having been delivered upon or after the Participant’s attainment of age 62) and achieving 5 years of employment with the Company and its Affiliates following October 7, 2019;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6 months after the notice date.</w:t>
      </w:r>
    </w:p>
    <w:p>
      <w:pPr>
        <w:spacing w:after="0" w:line="181" w:lineRule="exact"/>
        <w:rPr>
          <w:sz w:val="20"/>
          <w:szCs w:val="20"/>
          <w:color w:val="auto"/>
        </w:rPr>
      </w:pPr>
    </w:p>
    <w:p>
      <w:pPr>
        <w:ind w:left="1300" w:right="40" w:hanging="644"/>
        <w:spacing w:after="0" w:line="247" w:lineRule="auto"/>
        <w:tabs>
          <w:tab w:leader="none" w:pos="1300" w:val="left"/>
        </w:tabs>
        <w:numPr>
          <w:ilvl w:val="2"/>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Also notwithstanding Section 2(a) or (b) of this Award, 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date of such Change of Control, then all then outstanding RSUs shall become vested and the number of Shares equal to all such outstanding RSUs hereunder shall be distributed to the Participant, in each case, as soon as practicable following the date of such Termination of Relationship;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Committee may determine that, in lieu of Shares and/or fractional Shares, the Participant shall receive a cash payment equal to the Fair Market Value of such Shares (or fractional Shares, as the case may be) on the Change of Control.</w:t>
      </w:r>
    </w:p>
    <w:p>
      <w:pPr>
        <w:spacing w:after="0" w:line="186" w:lineRule="exact"/>
        <w:rPr>
          <w:rFonts w:ascii="Times New Roman" w:cs="Times New Roman" w:eastAsia="Times New Roman" w:hAnsi="Times New Roman"/>
          <w:sz w:val="22"/>
          <w:szCs w:val="22"/>
          <w:color w:val="010000"/>
        </w:rPr>
      </w:pPr>
    </w:p>
    <w:p>
      <w:pPr>
        <w:ind w:left="1140" w:right="200" w:hanging="578"/>
        <w:spacing w:after="0" w:line="250" w:lineRule="auto"/>
        <w:tabs>
          <w:tab w:leader="none" w:pos="1140" w:val="left"/>
        </w:tabs>
        <w:numPr>
          <w:ilvl w:val="1"/>
          <w:numId w:val="1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each vesting event of any RSUs and the corresponding transfer of Shares as a result thereof, in each case in accordance with Sections 2(a), 2(b) or 2(c) of this Award, as applicable, the RSUs with respect to which Shares have been transferred hereunder shall be extinguished on the relevant transfer dates. In compliance with Section 409A of the Code, in no event shall any transfer occur later than March 15 of the calendar year following the calendar year in which the applicable vesting event occurs under this Award.</w:t>
      </w:r>
    </w:p>
    <w:p>
      <w:pPr>
        <w:spacing w:after="0" w:line="181" w:lineRule="exact"/>
        <w:rPr>
          <w:rFonts w:ascii="Times New Roman" w:cs="Times New Roman" w:eastAsia="Times New Roman" w:hAnsi="Times New Roman"/>
          <w:sz w:val="22"/>
          <w:szCs w:val="22"/>
          <w:color w:val="010000"/>
        </w:rPr>
      </w:pPr>
    </w:p>
    <w:p>
      <w:pPr>
        <w:ind w:left="580" w:right="60" w:hanging="572"/>
        <w:spacing w:after="0" w:line="259" w:lineRule="auto"/>
        <w:tabs>
          <w:tab w:leader="none" w:pos="562" w:val="left"/>
        </w:tabs>
        <w:numPr>
          <w:ilvl w:val="0"/>
          <w:numId w:val="1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Dividends</w:t>
      </w:r>
      <w:r>
        <w:rPr>
          <w:rFonts w:ascii="Times New Roman" w:cs="Times New Roman" w:eastAsia="Times New Roman" w:hAnsi="Times New Roman"/>
          <w:sz w:val="21"/>
          <w:szCs w:val="21"/>
          <w:color w:val="auto"/>
        </w:rPr>
        <w:t>. If on any date while RSUs are outstanding hereunder, the Company shall pay any dividend on the Shares (other than a dividend payable in Shares), the number of RSUs granted to the Participant shall, as of such dividend payment date, be increased by a number of RSUs equal to: (a) the product of (x) the number of RSUs held by the Participant as of the related dividend record date, multiplied 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 In the case of any dividend declared on Shares that is payable in the form of Shares, the number of RSUs granted to the Participant shall be increased by a number equal to the product of (I) the aggregate number of RSUs that have been held by the Participant through the related dividend record date, multiplied by (II) the number of Shares (including any fraction thereof) payable as a dividend on a Share. Shares shall be transferred with respect to all additional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122" w:right="239" w:bottom="1440" w:gutter="0" w:footer="0" w:header="0"/>
        </w:sectPr>
      </w:pPr>
    </w:p>
    <w:bookmarkStart w:id="197" w:name="page198"/>
    <w:bookmarkEnd w:id="197"/>
    <w:p>
      <w:pPr>
        <w:ind w:left="10200"/>
        <w:spacing w:after="0"/>
        <w:rPr>
          <w:sz w:val="20"/>
          <w:szCs w:val="20"/>
          <w:color w:val="auto"/>
        </w:rPr>
      </w:pPr>
      <w:r>
        <w:rPr>
          <w:rFonts w:ascii="Times New Roman" w:cs="Times New Roman" w:eastAsia="Times New Roman" w:hAnsi="Times New Roman"/>
          <w:sz w:val="21"/>
          <w:szCs w:val="21"/>
          <w:b w:val="1"/>
          <w:bCs w:val="1"/>
          <w:color w:val="auto"/>
        </w:rPr>
        <w:t>Exhibit 10.94</w:t>
      </w:r>
    </w:p>
    <w:p>
      <w:pPr>
        <w:spacing w:after="0" w:line="208" w:lineRule="exact"/>
        <w:rPr>
          <w:sz w:val="20"/>
          <w:szCs w:val="20"/>
          <w:color w:val="auto"/>
        </w:rPr>
      </w:pPr>
    </w:p>
    <w:p>
      <w:pPr>
        <w:ind w:left="580" w:right="300"/>
        <w:spacing w:after="0" w:line="236" w:lineRule="auto"/>
        <w:rPr>
          <w:sz w:val="20"/>
          <w:szCs w:val="20"/>
          <w:color w:val="auto"/>
        </w:rPr>
      </w:pPr>
      <w:r>
        <w:rPr>
          <w:rFonts w:ascii="Times New Roman" w:cs="Times New Roman" w:eastAsia="Times New Roman" w:hAnsi="Times New Roman"/>
          <w:sz w:val="22"/>
          <w:szCs w:val="22"/>
          <w:color w:val="auto"/>
        </w:rPr>
        <w:t>RSUs granted pursuant to this Section 3 at the same time as Shares are transferred with respect to the RSUs to which such additional RSUs were attributable.</w:t>
      </w:r>
    </w:p>
    <w:p>
      <w:pPr>
        <w:spacing w:after="0" w:line="178" w:lineRule="exact"/>
        <w:rPr>
          <w:sz w:val="20"/>
          <w:szCs w:val="20"/>
          <w:color w:val="auto"/>
        </w:rPr>
      </w:pPr>
    </w:p>
    <w:p>
      <w:pPr>
        <w:ind w:left="660" w:right="140" w:hanging="652"/>
        <w:spacing w:after="0" w:line="271" w:lineRule="auto"/>
        <w:tabs>
          <w:tab w:leader="none" w:pos="660"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Adjustments Upon Certain Events</w:t>
      </w:r>
      <w:r>
        <w:rPr>
          <w:rFonts w:ascii="Times New Roman" w:cs="Times New Roman" w:eastAsia="Times New Roman" w:hAnsi="Times New Roman"/>
          <w:sz w:val="22"/>
          <w:szCs w:val="22"/>
          <w:color w:val="auto"/>
        </w:rPr>
        <w:t>. In the event of any event described in Section 12 of the Plan occurring after the Date of Grant, the adjustment provisions (including cash payments) as provided for under Section 12 of the Plan shall apply.</w:t>
      </w:r>
    </w:p>
    <w:p>
      <w:pPr>
        <w:spacing w:after="0" w:line="157" w:lineRule="exact"/>
        <w:rPr>
          <w:rFonts w:ascii="Times New Roman" w:cs="Times New Roman" w:eastAsia="Times New Roman" w:hAnsi="Times New Roman"/>
          <w:sz w:val="22"/>
          <w:szCs w:val="22"/>
          <w:color w:val="010000"/>
        </w:rPr>
      </w:pPr>
    </w:p>
    <w:p>
      <w:pPr>
        <w:ind w:left="660" w:right="40" w:hanging="652"/>
        <w:spacing w:after="0" w:line="249" w:lineRule="auto"/>
        <w:tabs>
          <w:tab w:leader="none" w:pos="660"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Restriction on Transfer</w:t>
      </w:r>
      <w:r>
        <w:rPr>
          <w:rFonts w:ascii="Times New Roman" w:cs="Times New Roman" w:eastAsia="Times New Roman" w:hAnsi="Times New Roman"/>
          <w:sz w:val="22"/>
          <w:szCs w:val="22"/>
          <w:color w:val="auto"/>
        </w:rPr>
        <w:t>. The RSUs may not be transferred, pledged, assigned, hypothecated or otherwise disposed of in any way by the Participant, except (i) if permitted by the Board or the Committee, (ii) by will or the laws of descent and distribution or (iii) pursuant to beneficiary designation procedures approved by the Company, in each case in compliance with applicable laws. The RSUs shall not be subject to execution, attachment or similar process. Any attempted assignment, transfer, pledge, hypothecation or other disposition of the RSUs contrary to the provisions of this Award or the Plan shall be null and void and without effect.</w:t>
      </w:r>
    </w:p>
    <w:p>
      <w:pPr>
        <w:spacing w:after="0" w:line="176" w:lineRule="exact"/>
        <w:rPr>
          <w:rFonts w:ascii="Times New Roman" w:cs="Times New Roman" w:eastAsia="Times New Roman" w:hAnsi="Times New Roman"/>
          <w:sz w:val="22"/>
          <w:szCs w:val="22"/>
          <w:color w:val="010000"/>
        </w:rPr>
      </w:pPr>
    </w:p>
    <w:p>
      <w:pPr>
        <w:ind w:left="580" w:hanging="572"/>
        <w:spacing w:after="0" w:line="259" w:lineRule="auto"/>
        <w:tabs>
          <w:tab w:leader="none" w:pos="562"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Data Protection</w:t>
      </w:r>
      <w:r>
        <w:rPr>
          <w:rFonts w:ascii="Times New Roman" w:cs="Times New Roman" w:eastAsia="Times New Roman" w:hAnsi="Times New Roman"/>
          <w:sz w:val="22"/>
          <w:szCs w:val="22"/>
          <w:b w:val="1"/>
          <w:bCs w:val="1"/>
          <w:color w:val="auto"/>
        </w:rPr>
        <w:t xml:space="preserve">. By accepting this Award, the Participant consents to the processing (including international transfer) of personal data as set out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 xml:space="preserve"> attached hereto for the purposes specified therein and to any additional or different processes required by applicable law, rule or regulation</w:t>
      </w:r>
      <w:r>
        <w:rPr>
          <w:rFonts w:ascii="Times New Roman" w:cs="Times New Roman" w:eastAsia="Times New Roman" w:hAnsi="Times New Roman"/>
          <w:sz w:val="22"/>
          <w:szCs w:val="22"/>
          <w:color w:val="auto"/>
        </w:rPr>
        <w:t>.</w:t>
      </w:r>
    </w:p>
    <w:p>
      <w:pPr>
        <w:spacing w:after="0" w:line="170" w:lineRule="exact"/>
        <w:rPr>
          <w:rFonts w:ascii="Times New Roman" w:cs="Times New Roman" w:eastAsia="Times New Roman" w:hAnsi="Times New Roman"/>
          <w:sz w:val="22"/>
          <w:szCs w:val="22"/>
          <w:color w:val="010000"/>
        </w:rPr>
      </w:pPr>
    </w:p>
    <w:p>
      <w:pPr>
        <w:ind w:left="580" w:right="60" w:hanging="572"/>
        <w:spacing w:after="0" w:line="252" w:lineRule="auto"/>
        <w:tabs>
          <w:tab w:leader="none" w:pos="580"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Participant’s Employment</w:t>
      </w:r>
      <w:r>
        <w:rPr>
          <w:rFonts w:ascii="Times New Roman" w:cs="Times New Roman" w:eastAsia="Times New Roman" w:hAnsi="Times New Roman"/>
          <w:sz w:val="22"/>
          <w:szCs w:val="22"/>
          <w:color w:val="auto"/>
        </w:rPr>
        <w:t>. Nothing in this Award or in the RSU shall confer upon the Participant any right to continue in the employ of the Company or any of its Affiliates or interfere in any way with the right of the Company and its Affiliates, in their sole discretion, to terminate the Participant’s employment or to increase or decrease the Participant’s compensation at any time.</w:t>
      </w:r>
    </w:p>
    <w:p>
      <w:pPr>
        <w:spacing w:after="0" w:line="175" w:lineRule="exact"/>
        <w:rPr>
          <w:rFonts w:ascii="Times New Roman" w:cs="Times New Roman" w:eastAsia="Times New Roman" w:hAnsi="Times New Roman"/>
          <w:sz w:val="22"/>
          <w:szCs w:val="22"/>
          <w:color w:val="010000"/>
        </w:rPr>
      </w:pPr>
    </w:p>
    <w:p>
      <w:pPr>
        <w:ind w:left="660" w:right="140" w:hanging="652"/>
        <w:spacing w:after="0" w:line="247" w:lineRule="auto"/>
        <w:tabs>
          <w:tab w:leader="none" w:pos="660"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No Acquired Rights</w:t>
      </w:r>
      <w:r>
        <w:rPr>
          <w:rFonts w:ascii="Times New Roman" w:cs="Times New Roman" w:eastAsia="Times New Roman" w:hAnsi="Times New Roman"/>
          <w:sz w:val="22"/>
          <w:szCs w:val="22"/>
          <w:color w:val="auto"/>
        </w:rPr>
        <w:t>. The Committee or the Board has the power to amend or terminate the Plan at any time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spacing w:after="0" w:line="190" w:lineRule="exact"/>
        <w:rPr>
          <w:rFonts w:ascii="Times New Roman" w:cs="Times New Roman" w:eastAsia="Times New Roman" w:hAnsi="Times New Roman"/>
          <w:sz w:val="22"/>
          <w:szCs w:val="22"/>
          <w:color w:val="010000"/>
        </w:rPr>
      </w:pPr>
    </w:p>
    <w:p>
      <w:pPr>
        <w:ind w:left="580" w:right="380" w:hanging="572"/>
        <w:spacing w:after="0" w:line="271" w:lineRule="auto"/>
        <w:tabs>
          <w:tab w:leader="none" w:pos="562"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Rights of a Stockholder</w:t>
      </w:r>
      <w:r>
        <w:rPr>
          <w:rFonts w:ascii="Times New Roman" w:cs="Times New Roman" w:eastAsia="Times New Roman" w:hAnsi="Times New Roman"/>
          <w:sz w:val="22"/>
          <w:szCs w:val="22"/>
          <w:color w:val="auto"/>
        </w:rPr>
        <w:t>. The Participant shall not have any rights as a stockholder of the Company until the Shares in question have been registered in the Company’s register of stockholders.</w:t>
      </w:r>
    </w:p>
    <w:p>
      <w:pPr>
        <w:spacing w:after="0" w:line="157" w:lineRule="exact"/>
        <w:rPr>
          <w:rFonts w:ascii="Times New Roman" w:cs="Times New Roman" w:eastAsia="Times New Roman" w:hAnsi="Times New Roman"/>
          <w:sz w:val="22"/>
          <w:szCs w:val="22"/>
          <w:color w:val="010000"/>
        </w:rPr>
      </w:pPr>
    </w:p>
    <w:p>
      <w:pPr>
        <w:ind w:left="560" w:hanging="552"/>
        <w:spacing w:after="0"/>
        <w:tabs>
          <w:tab w:leader="none" w:pos="560"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122" w:right="239" w:bottom="1440" w:gutter="0" w:footer="0" w:header="0"/>
        </w:sectPr>
      </w:pPr>
    </w:p>
    <w:bookmarkStart w:id="198" w:name="page199"/>
    <w:bookmarkEnd w:id="198"/>
    <w:p>
      <w:pPr>
        <w:ind w:left="10200"/>
        <w:spacing w:after="0"/>
        <w:rPr>
          <w:sz w:val="20"/>
          <w:szCs w:val="20"/>
          <w:color w:val="auto"/>
        </w:rPr>
      </w:pPr>
      <w:r>
        <w:rPr>
          <w:rFonts w:ascii="Times New Roman" w:cs="Times New Roman" w:eastAsia="Times New Roman" w:hAnsi="Times New Roman"/>
          <w:sz w:val="21"/>
          <w:szCs w:val="21"/>
          <w:b w:val="1"/>
          <w:bCs w:val="1"/>
          <w:color w:val="auto"/>
        </w:rPr>
        <w:t>Exhibit 10.94</w:t>
      </w:r>
    </w:p>
    <w:p>
      <w:pPr>
        <w:spacing w:after="0" w:line="235" w:lineRule="exact"/>
        <w:rPr>
          <w:sz w:val="20"/>
          <w:szCs w:val="20"/>
          <w:color w:val="auto"/>
        </w:rPr>
      </w:pPr>
    </w:p>
    <w:p>
      <w:pPr>
        <w:ind w:left="1300" w:hanging="644"/>
        <w:spacing w:after="0" w:line="247" w:lineRule="auto"/>
        <w:tabs>
          <w:tab w:leader="none" w:pos="1300" w:val="left"/>
        </w:tabs>
        <w:numPr>
          <w:ilvl w:val="1"/>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Participant will pay, or make provisions satisfactory to the Company for payment of any federal, state, local and other applicable taxes required to be withheld in connection with any issuance or transfer of Shares under this Award and to take such action as may be necessary in the opinion of the Company to satisfy all obligations for the payment of such taxes. If Participant has not made payment for applicable taxes, such taxes shall be paid by withholding Shares from the issuance or transfer of Shares due under this Award, rounded down to the nearest whole Share, with the balance to be paid in cash or withheld from compensation or other amount owing to the Participant from the Company or any Affiliate, and the Company and any such Affiliate is hereby authorized to withhold such amounts from any such issuance, transfer, compensation or other amount owing to the Participant.</w:t>
      </w:r>
    </w:p>
    <w:p>
      <w:pPr>
        <w:spacing w:after="0" w:line="186" w:lineRule="exact"/>
        <w:rPr>
          <w:rFonts w:ascii="Times New Roman" w:cs="Times New Roman" w:eastAsia="Times New Roman" w:hAnsi="Times New Roman"/>
          <w:sz w:val="22"/>
          <w:szCs w:val="22"/>
          <w:color w:val="010000"/>
        </w:rPr>
      </w:pPr>
    </w:p>
    <w:p>
      <w:pPr>
        <w:ind w:left="1300" w:hanging="644"/>
        <w:spacing w:after="0" w:line="249" w:lineRule="auto"/>
        <w:tabs>
          <w:tab w:leader="none" w:pos="1300" w:val="left"/>
        </w:tabs>
        <w:numPr>
          <w:ilvl w:val="1"/>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employment with the Company terminates prior to the issuance or transfer of any remaining Shares due to be issued or transferred to the Participant under this Award, the payment of any applicable withholding taxes with respect to any such issuance or transfer shall be made through the withholding of Shares from such issuance or transfer, rounded down to the nearest whole Share, with the balance to be paid in cash or withheld from compensation or other amount owing to the Participant from the Company or any Affiliate, as provided in Section 10(a) above.</w:t>
      </w:r>
    </w:p>
    <w:p>
      <w:pPr>
        <w:spacing w:after="0" w:line="180" w:lineRule="exact"/>
        <w:rPr>
          <w:rFonts w:ascii="Times New Roman" w:cs="Times New Roman" w:eastAsia="Times New Roman" w:hAnsi="Times New Roman"/>
          <w:sz w:val="22"/>
          <w:szCs w:val="22"/>
          <w:color w:val="010000"/>
        </w:rPr>
      </w:pPr>
    </w:p>
    <w:p>
      <w:pPr>
        <w:ind w:left="580" w:right="100" w:hanging="572"/>
        <w:spacing w:after="0" w:line="271" w:lineRule="auto"/>
        <w:tabs>
          <w:tab w:leader="none" w:pos="580" w:val="left"/>
        </w:tabs>
        <w:numPr>
          <w:ilvl w:val="0"/>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The provisions of Section 14(v) of the Plan are hereby incorporated by reference and made a part hereof.</w:t>
      </w:r>
    </w:p>
    <w:p>
      <w:pPr>
        <w:spacing w:after="0" w:line="157" w:lineRule="exact"/>
        <w:rPr>
          <w:rFonts w:ascii="Times New Roman" w:cs="Times New Roman" w:eastAsia="Times New Roman" w:hAnsi="Times New Roman"/>
          <w:sz w:val="22"/>
          <w:szCs w:val="22"/>
          <w:color w:val="010000"/>
        </w:rPr>
      </w:pPr>
    </w:p>
    <w:p>
      <w:pPr>
        <w:ind w:left="580" w:right="280" w:hanging="572"/>
        <w:spacing w:after="0" w:line="295" w:lineRule="auto"/>
        <w:tabs>
          <w:tab w:leader="none" w:pos="562" w:val="left"/>
        </w:tabs>
        <w:numPr>
          <w:ilvl w:val="0"/>
          <w:numId w:val="1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RSUs Subject to Plan</w:t>
      </w:r>
      <w:r>
        <w:rPr>
          <w:rFonts w:ascii="Times New Roman" w:cs="Times New Roman" w:eastAsia="Times New Roman" w:hAnsi="Times New Roman"/>
          <w:sz w:val="21"/>
          <w:szCs w:val="21"/>
          <w:color w:val="auto"/>
        </w:rPr>
        <w:t>. All RSUs are subject to the Plan. In the event of a conflict between any term or provision contained herein and a term or provision of the Plan, the applicable terms and provisions of the Plan will govern and prevail.</w:t>
      </w:r>
    </w:p>
    <w:p>
      <w:pPr>
        <w:spacing w:after="0" w:line="135" w:lineRule="exact"/>
        <w:rPr>
          <w:rFonts w:ascii="Times New Roman" w:cs="Times New Roman" w:eastAsia="Times New Roman" w:hAnsi="Times New Roman"/>
          <w:sz w:val="21"/>
          <w:szCs w:val="21"/>
          <w:color w:val="010000"/>
        </w:rPr>
      </w:pPr>
    </w:p>
    <w:p>
      <w:pPr>
        <w:ind w:left="660" w:right="120" w:hanging="652"/>
        <w:spacing w:after="0" w:line="252" w:lineRule="auto"/>
        <w:tabs>
          <w:tab w:leader="none" w:pos="660" w:val="left"/>
        </w:tabs>
        <w:numPr>
          <w:ilvl w:val="0"/>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spacing w:after="0" w:line="179"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to the Company, to it at: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Aramark</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2400 Market Street</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Philadelphia, Pennsylvania 19103</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96" w:lineRule="exact"/>
        <w:rPr>
          <w:sz w:val="20"/>
          <w:szCs w:val="20"/>
          <w:color w:val="auto"/>
        </w:rPr>
      </w:pPr>
    </w:p>
    <w:p>
      <w:pPr>
        <w:ind w:left="660" w:right="160"/>
        <w:spacing w:after="0" w:line="271" w:lineRule="auto"/>
        <w:rPr>
          <w:sz w:val="20"/>
          <w:szCs w:val="20"/>
          <w:color w:val="auto"/>
        </w:rPr>
      </w:pPr>
      <w:r>
        <w:rPr>
          <w:rFonts w:ascii="Times New Roman" w:cs="Times New Roman" w:eastAsia="Times New Roman" w:hAnsi="Times New Roman"/>
          <w:sz w:val="22"/>
          <w:szCs w:val="22"/>
          <w:color w:val="auto"/>
        </w:rPr>
        <w:t>If to the Participant, to him or her at the address set forth on the signature page hereto; or to such other address as the party to whom notice is to be given may have furnished to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122" w:right="239" w:bottom="1440" w:gutter="0" w:footer="0" w:header="0"/>
        </w:sectPr>
      </w:pPr>
    </w:p>
    <w:bookmarkStart w:id="199" w:name="page200"/>
    <w:bookmarkEnd w:id="199"/>
    <w:p>
      <w:pPr>
        <w:ind w:left="10200"/>
        <w:spacing w:after="0"/>
        <w:rPr>
          <w:sz w:val="20"/>
          <w:szCs w:val="20"/>
          <w:color w:val="auto"/>
        </w:rPr>
      </w:pPr>
      <w:r>
        <w:rPr>
          <w:rFonts w:ascii="Times New Roman" w:cs="Times New Roman" w:eastAsia="Times New Roman" w:hAnsi="Times New Roman"/>
          <w:sz w:val="21"/>
          <w:szCs w:val="21"/>
          <w:b w:val="1"/>
          <w:bCs w:val="1"/>
          <w:color w:val="auto"/>
        </w:rPr>
        <w:t>Exhibit 10.94</w:t>
      </w:r>
    </w:p>
    <w:p>
      <w:pPr>
        <w:spacing w:after="0" w:line="235" w:lineRule="exact"/>
        <w:rPr>
          <w:sz w:val="20"/>
          <w:szCs w:val="20"/>
          <w:color w:val="auto"/>
        </w:rPr>
      </w:pPr>
    </w:p>
    <w:p>
      <w:pPr>
        <w:ind w:left="660" w:right="160"/>
        <w:spacing w:after="0" w:line="249" w:lineRule="auto"/>
        <w:rPr>
          <w:sz w:val="20"/>
          <w:szCs w:val="20"/>
          <w:color w:val="auto"/>
        </w:rPr>
      </w:pPr>
      <w:r>
        <w:rPr>
          <w:rFonts w:ascii="Times New Roman" w:cs="Times New Roman" w:eastAsia="Times New Roman" w:hAnsi="Times New Roman"/>
          <w:sz w:val="22"/>
          <w:szCs w:val="22"/>
          <w:color w:val="auto"/>
        </w:rPr>
        <w:t>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spacing w:after="0" w:line="181" w:lineRule="exact"/>
        <w:rPr>
          <w:sz w:val="20"/>
          <w:szCs w:val="20"/>
          <w:color w:val="auto"/>
        </w:rPr>
      </w:pPr>
    </w:p>
    <w:p>
      <w:pPr>
        <w:ind w:left="580" w:right="440" w:hanging="572"/>
        <w:spacing w:after="0" w:line="271" w:lineRule="auto"/>
        <w:tabs>
          <w:tab w:leader="none" w:pos="562"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Waiver of Breach</w:t>
      </w:r>
      <w:r>
        <w:rPr>
          <w:rFonts w:ascii="Times New Roman" w:cs="Times New Roman" w:eastAsia="Times New Roman" w:hAnsi="Times New Roman"/>
          <w:sz w:val="22"/>
          <w:szCs w:val="22"/>
          <w:color w:val="auto"/>
        </w:rPr>
        <w:t>. The waiver by either party of a breach of any provision of this Award must be in writing and shall not operate or be construed as a waiver of any other or subsequent breach.</w:t>
      </w:r>
    </w:p>
    <w:p>
      <w:pPr>
        <w:spacing w:after="0" w:line="157" w:lineRule="exact"/>
        <w:rPr>
          <w:rFonts w:ascii="Times New Roman" w:cs="Times New Roman" w:eastAsia="Times New Roman" w:hAnsi="Times New Roman"/>
          <w:sz w:val="22"/>
          <w:szCs w:val="22"/>
          <w:color w:val="010000"/>
        </w:rPr>
      </w:pPr>
    </w:p>
    <w:p>
      <w:pPr>
        <w:ind w:left="580" w:right="80" w:hanging="572"/>
        <w:spacing w:after="0" w:line="247" w:lineRule="auto"/>
        <w:tabs>
          <w:tab w:leader="none" w:pos="562"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spacing w:after="0" w:line="186" w:lineRule="exact"/>
        <w:rPr>
          <w:rFonts w:ascii="Times New Roman" w:cs="Times New Roman" w:eastAsia="Times New Roman" w:hAnsi="Times New Roman"/>
          <w:sz w:val="22"/>
          <w:szCs w:val="22"/>
          <w:color w:val="010000"/>
        </w:rPr>
      </w:pPr>
    </w:p>
    <w:p>
      <w:pPr>
        <w:ind w:left="660" w:right="100" w:hanging="652"/>
        <w:spacing w:after="0" w:line="248" w:lineRule="auto"/>
        <w:tabs>
          <w:tab w:leader="none" w:pos="660"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Modification of Rights; Entire Agreement.</w:t>
      </w:r>
      <w:r>
        <w:rPr>
          <w:rFonts w:ascii="Times New Roman" w:cs="Times New Roman" w:eastAsia="Times New Roman" w:hAnsi="Times New Roman"/>
          <w:sz w:val="22"/>
          <w:szCs w:val="22"/>
          <w:color w:val="auto"/>
        </w:rPr>
        <w:t xml:space="preserve"> The Participant’s rights under this Award and the Plan may be modified only to the extent expressly provided under this Award or under Sections 14(a) and (b) of the Plan. This Award and the Plan (and the other writings referred to herein)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spacing w:after="0" w:line="222" w:lineRule="exact"/>
        <w:rPr>
          <w:rFonts w:ascii="Times New Roman" w:cs="Times New Roman" w:eastAsia="Times New Roman" w:hAnsi="Times New Roman"/>
          <w:sz w:val="22"/>
          <w:szCs w:val="22"/>
          <w:color w:val="010000"/>
        </w:rPr>
      </w:pPr>
    </w:p>
    <w:p>
      <w:pPr>
        <w:ind w:left="660" w:right="80" w:hanging="652"/>
        <w:spacing w:after="0" w:line="247" w:lineRule="auto"/>
        <w:tabs>
          <w:tab w:leader="none" w:pos="660"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Clawback upon Breach of Restrictive Covenants</w:t>
      </w:r>
      <w:r>
        <w:rPr>
          <w:rFonts w:ascii="Times New Roman" w:cs="Times New Roman" w:eastAsia="Times New Roman" w:hAnsi="Times New Roman"/>
          <w:sz w:val="22"/>
          <w:szCs w:val="22"/>
          <w:color w:val="auto"/>
        </w:rPr>
        <w:t>. In the event the Participant breaches the Participant’s “Restrictive Covenant Agreement” (as defined below) at any time 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Award and the Participant shall be required to return to the Company all Shares previously issued in respect of the Award to the extent the Participant continues to own such Shares or, if the Participant no longer owns such Shares, the Participant shall be required to repay to the Company the pre-tax cash value of such Shares calculated based on the Fair Market Value of such Shares 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122" w:right="239" w:bottom="1440" w:gutter="0" w:footer="0" w:header="0"/>
        </w:sectPr>
      </w:pPr>
    </w:p>
    <w:bookmarkStart w:id="200" w:name="page201"/>
    <w:bookmarkEnd w:id="200"/>
    <w:p>
      <w:pPr>
        <w:ind w:left="10200"/>
        <w:spacing w:after="0"/>
        <w:rPr>
          <w:sz w:val="20"/>
          <w:szCs w:val="20"/>
          <w:color w:val="auto"/>
        </w:rPr>
      </w:pPr>
      <w:r>
        <w:rPr>
          <w:rFonts w:ascii="Times New Roman" w:cs="Times New Roman" w:eastAsia="Times New Roman" w:hAnsi="Times New Roman"/>
          <w:sz w:val="21"/>
          <w:szCs w:val="21"/>
          <w:b w:val="1"/>
          <w:bCs w:val="1"/>
          <w:color w:val="auto"/>
        </w:rPr>
        <w:t>Exhibit 10.94</w:t>
      </w:r>
    </w:p>
    <w:p>
      <w:pPr>
        <w:spacing w:after="0" w:line="208" w:lineRule="exact"/>
        <w:rPr>
          <w:sz w:val="20"/>
          <w:szCs w:val="20"/>
          <w:color w:val="auto"/>
        </w:rPr>
      </w:pPr>
    </w:p>
    <w:p>
      <w:pPr>
        <w:ind w:left="660" w:right="60"/>
        <w:spacing w:after="0" w:line="231" w:lineRule="auto"/>
        <w:rPr>
          <w:sz w:val="20"/>
          <w:szCs w:val="20"/>
          <w:color w:val="auto"/>
        </w:rPr>
      </w:pPr>
      <w:r>
        <w:rPr>
          <w:rFonts w:ascii="Times New Roman" w:cs="Times New Roman" w:eastAsia="Times New Roman" w:hAnsi="Times New Roman"/>
          <w:sz w:val="21"/>
          <w:szCs w:val="21"/>
          <w:color w:val="auto"/>
        </w:rPr>
        <w:t>the date such Shares were issued to the Participant in respect of the Award.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spacing w:after="0" w:line="178" w:lineRule="exact"/>
        <w:rPr>
          <w:sz w:val="20"/>
          <w:szCs w:val="20"/>
          <w:color w:val="auto"/>
        </w:rPr>
      </w:pPr>
    </w:p>
    <w:p>
      <w:pPr>
        <w:ind w:left="660" w:right="20" w:hanging="652"/>
        <w:spacing w:after="0" w:line="260" w:lineRule="auto"/>
        <w:tabs>
          <w:tab w:leader="none" w:pos="660" w:val="left"/>
        </w:tabs>
        <w:numPr>
          <w:ilvl w:val="0"/>
          <w:numId w:val="1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pacing w:after="0" w:line="176" w:lineRule="exact"/>
        <w:rPr>
          <w:sz w:val="20"/>
          <w:szCs w:val="20"/>
          <w:color w:val="auto"/>
        </w:rPr>
      </w:pPr>
    </w:p>
    <w:p>
      <w:pPr>
        <w:ind w:left="580"/>
        <w:spacing w:after="0"/>
        <w:tabs>
          <w:tab w:leader="none" w:pos="1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[(Per Certificate of Grant)]</w:t>
      </w:r>
    </w:p>
    <w:p>
      <w:pPr>
        <w:spacing w:after="0" w:line="260" w:lineRule="exact"/>
        <w:rPr>
          <w:sz w:val="20"/>
          <w:szCs w:val="20"/>
          <w:color w:val="auto"/>
        </w:rPr>
      </w:pPr>
    </w:p>
    <w:p>
      <w:pPr>
        <w:ind w:left="580"/>
        <w:spacing w:after="0"/>
        <w:tabs>
          <w:tab w:leader="none" w:pos="1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[Acceptance Date]</w:t>
      </w:r>
    </w:p>
    <w:p>
      <w:pPr>
        <w:spacing w:after="0" w:line="2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[Note: Grant will be accepted electronically.]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122" w:right="2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2"/>
          <w:szCs w:val="22"/>
          <w:b w:val="1"/>
          <w:bCs w:val="1"/>
          <w:color w:val="auto"/>
        </w:rPr>
        <w:t>Exhibit 10.94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DATA PROTECTION PROVISION</w:t>
      </w:r>
    </w:p>
    <w:p>
      <w:pPr>
        <w:spacing w:after="0" w:line="214" w:lineRule="exact"/>
        <w:rPr>
          <w:sz w:val="20"/>
          <w:szCs w:val="20"/>
          <w:color w:val="auto"/>
        </w:rPr>
      </w:pPr>
    </w:p>
    <w:p>
      <w:pPr>
        <w:ind w:left="1140" w:right="40" w:hanging="578"/>
        <w:spacing w:after="0" w:line="248" w:lineRule="auto"/>
        <w:tabs>
          <w:tab w:leader="none" w:pos="1140" w:val="left"/>
        </w:tabs>
        <w:numPr>
          <w:ilvl w:val="0"/>
          <w:numId w:val="1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participating in the Plan or accepting any rights granted under it, the Participant consents to the collection and processing by the Company and its Affiliates of personal data relating to the Participant by the Company and its Affiliates and/or agents so that they can fulfill their obligations and exercise their rights under the Plan, issue certificates (if any), statements and communications relating to the Plan and generally administer and manage the Plan, including keeping records of participation levels from time to time. Any such processing shall be in accordance with the purposes and provisions of this data protection provision. References in this provision to the Company and its Affiliates include the Participant's employer.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data will include data:</w:t>
      </w:r>
    </w:p>
    <w:p>
      <w:pPr>
        <w:spacing w:after="0" w:line="139" w:lineRule="exact"/>
        <w:rPr>
          <w:sz w:val="20"/>
          <w:szCs w:val="20"/>
          <w:color w:val="auto"/>
        </w:rPr>
      </w:pPr>
    </w:p>
    <w:p>
      <w:pPr>
        <w:ind w:left="1460" w:right="700" w:firstLine="7"/>
        <w:spacing w:after="0" w:line="284" w:lineRule="auto"/>
        <w:tabs>
          <w:tab w:leader="none" w:pos="1844"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already held in the Participant's records such as the Participant's name and address, ID number, payroll number, length of service and whether the Participant works full-time or part time;</w:t>
      </w:r>
    </w:p>
    <w:p>
      <w:pPr>
        <w:spacing w:after="0" w:line="144" w:lineRule="exact"/>
        <w:rPr>
          <w:rFonts w:ascii="Times New Roman" w:cs="Times New Roman" w:eastAsia="Times New Roman" w:hAnsi="Times New Roman"/>
          <w:sz w:val="22"/>
          <w:szCs w:val="22"/>
          <w:color w:val="010000"/>
        </w:rPr>
      </w:pPr>
    </w:p>
    <w:p>
      <w:pPr>
        <w:ind w:left="1920" w:hanging="453"/>
        <w:spacing w:after="0"/>
        <w:tabs>
          <w:tab w:leader="none" w:pos="1920"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collected upon the Participant accepting the rights granted under the Plan (if applicable); and</w:t>
      </w:r>
    </w:p>
    <w:p>
      <w:pPr>
        <w:spacing w:after="0" w:line="233" w:lineRule="exact"/>
        <w:rPr>
          <w:rFonts w:ascii="Times New Roman" w:cs="Times New Roman" w:eastAsia="Times New Roman" w:hAnsi="Times New Roman"/>
          <w:sz w:val="22"/>
          <w:szCs w:val="22"/>
          <w:color w:val="010000"/>
        </w:rPr>
      </w:pPr>
    </w:p>
    <w:p>
      <w:pPr>
        <w:ind w:left="1980" w:hanging="513"/>
        <w:spacing w:after="0"/>
        <w:tabs>
          <w:tab w:leader="none" w:pos="1980"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subsequently collected</w:t>
      </w:r>
    </w:p>
    <w:p>
      <w:pPr>
        <w:spacing w:after="0" w:line="233" w:lineRule="exact"/>
        <w:rPr>
          <w:sz w:val="20"/>
          <w:szCs w:val="20"/>
          <w:color w:val="auto"/>
        </w:rPr>
      </w:pPr>
    </w:p>
    <w:p>
      <w:pPr>
        <w:ind w:left="1460" w:right="20" w:hanging="647"/>
        <w:spacing w:after="0" w:line="250" w:lineRule="auto"/>
        <w:rPr>
          <w:sz w:val="20"/>
          <w:szCs w:val="20"/>
          <w:color w:val="auto"/>
        </w:rPr>
      </w:pPr>
      <w:r>
        <w:rPr>
          <w:rFonts w:ascii="Times New Roman" w:cs="Times New Roman" w:eastAsia="Times New Roman" w:hAnsi="Times New Roman"/>
          <w:sz w:val="22"/>
          <w:szCs w:val="22"/>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pacing w:after="0" w:line="181" w:lineRule="exact"/>
        <w:rPr>
          <w:sz w:val="20"/>
          <w:szCs w:val="20"/>
          <w:color w:val="auto"/>
        </w:rPr>
      </w:pPr>
    </w:p>
    <w:p>
      <w:pPr>
        <w:ind w:left="1140" w:right="140" w:hanging="578"/>
        <w:spacing w:after="0" w:line="271" w:lineRule="auto"/>
        <w:tabs>
          <w:tab w:leader="none" w:pos="1140" w:val="left"/>
        </w:tabs>
        <w:numPr>
          <w:ilvl w:val="0"/>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consent is in addition to and does not affect any previous consent provided by the Participant to the Company or its Affiliates.</w:t>
      </w:r>
    </w:p>
    <w:p>
      <w:pPr>
        <w:spacing w:after="0" w:line="157" w:lineRule="exact"/>
        <w:rPr>
          <w:rFonts w:ascii="Times New Roman" w:cs="Times New Roman" w:eastAsia="Times New Roman" w:hAnsi="Times New Roman"/>
          <w:sz w:val="22"/>
          <w:szCs w:val="22"/>
          <w:color w:val="010000"/>
        </w:rPr>
      </w:pPr>
    </w:p>
    <w:p>
      <w:pPr>
        <w:ind w:left="1140" w:right="200" w:hanging="578"/>
        <w:spacing w:after="0" w:line="235" w:lineRule="auto"/>
        <w:tabs>
          <w:tab w:leader="none" w:pos="1140" w:val="left"/>
        </w:tabs>
        <w:numPr>
          <w:ilvl w:val="0"/>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particular, the Participant expressly consents to the transfer of personal data about the Participant as described in paragraph (a) above by the Company and its Affiliates and/or agents. Data may be transferred not only within the country in which the Participant is based from time to time or within the EU or the European Economic Area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(“EEA”), but also worldwide, to other employees and officers of the Company and its Affiliates and/or agents and to the following third parties for the purposes described in paragraph (a) above: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9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The European Economic Area is composed of 27 member states of the European Union plus Iceland, Liechtenstein and Norway.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122" w:right="2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2"/>
          <w:szCs w:val="22"/>
          <w:b w:val="1"/>
          <w:bCs w:val="1"/>
          <w:color w:val="auto"/>
        </w:rPr>
        <w:t>Exhibit 10.94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460" w:right="220" w:firstLine="7"/>
        <w:spacing w:after="0" w:line="263" w:lineRule="auto"/>
        <w:tabs>
          <w:tab w:leader="none" w:pos="1844" w:val="left"/>
        </w:tabs>
        <w:numPr>
          <w:ilvl w:val="0"/>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167" w:lineRule="exact"/>
        <w:rPr>
          <w:rFonts w:ascii="Times New Roman" w:cs="Times New Roman" w:eastAsia="Times New Roman" w:hAnsi="Times New Roman"/>
          <w:sz w:val="22"/>
          <w:szCs w:val="22"/>
          <w:color w:val="010000"/>
        </w:rPr>
      </w:pPr>
    </w:p>
    <w:p>
      <w:pPr>
        <w:ind w:left="1460" w:right="400" w:firstLine="7"/>
        <w:spacing w:after="0" w:line="284" w:lineRule="auto"/>
        <w:tabs>
          <w:tab w:leader="none" w:pos="1904" w:val="left"/>
        </w:tabs>
        <w:numPr>
          <w:ilvl w:val="0"/>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regulators, tax authorities, stock or security exchanges and other supervisory, regulatory, governmental or public bodies as required by law;</w:t>
      </w:r>
    </w:p>
    <w:p>
      <w:pPr>
        <w:spacing w:after="0" w:line="144" w:lineRule="exact"/>
        <w:rPr>
          <w:rFonts w:ascii="Times New Roman" w:cs="Times New Roman" w:eastAsia="Times New Roman" w:hAnsi="Times New Roman"/>
          <w:sz w:val="22"/>
          <w:szCs w:val="22"/>
          <w:color w:val="010000"/>
        </w:rPr>
      </w:pPr>
    </w:p>
    <w:p>
      <w:pPr>
        <w:ind w:left="1460" w:right="60" w:firstLine="7"/>
        <w:spacing w:after="0" w:line="309" w:lineRule="auto"/>
        <w:tabs>
          <w:tab w:leader="none" w:pos="1964" w:val="left"/>
        </w:tabs>
        <w:numPr>
          <w:ilvl w:val="0"/>
          <w:numId w:val="17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actual or proposed merger or acquisition partners or proposed assignees of, or those taking or proposing to take security over, the business or assets or stock of the Company or its Affiliates and their agents and contractors;</w:t>
      </w:r>
    </w:p>
    <w:p>
      <w:pPr>
        <w:spacing w:after="0" w:line="120" w:lineRule="exact"/>
        <w:rPr>
          <w:rFonts w:ascii="Times New Roman" w:cs="Times New Roman" w:eastAsia="Times New Roman" w:hAnsi="Times New Roman"/>
          <w:sz w:val="21"/>
          <w:szCs w:val="21"/>
          <w:color w:val="010000"/>
        </w:rPr>
      </w:pPr>
    </w:p>
    <w:p>
      <w:pPr>
        <w:jc w:val="both"/>
        <w:ind w:left="1460" w:right="200" w:firstLine="7"/>
        <w:spacing w:after="0" w:line="263" w:lineRule="auto"/>
        <w:tabs>
          <w:tab w:leader="none" w:pos="1952" w:val="left"/>
        </w:tabs>
        <w:numPr>
          <w:ilvl w:val="0"/>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167" w:lineRule="exact"/>
        <w:rPr>
          <w:rFonts w:ascii="Times New Roman" w:cs="Times New Roman" w:eastAsia="Times New Roman" w:hAnsi="Times New Roman"/>
          <w:sz w:val="22"/>
          <w:szCs w:val="22"/>
          <w:color w:val="010000"/>
        </w:rPr>
      </w:pPr>
    </w:p>
    <w:p>
      <w:pPr>
        <w:ind w:left="1460" w:right="460" w:firstLine="7"/>
        <w:spacing w:after="0" w:line="284" w:lineRule="auto"/>
        <w:tabs>
          <w:tab w:leader="none" w:pos="1892" w:val="left"/>
        </w:tabs>
        <w:numPr>
          <w:ilvl w:val="0"/>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Participant's family members, physicians, heirs, legatees and others associated with the Participant in connection with the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all countries, where the personal data may be transferred to, have an equal level of data protection as in the EU or EEA.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Countries to which data are transferred include the USA and Bermuda.</w:t>
      </w:r>
    </w:p>
    <w:p>
      <w:pPr>
        <w:spacing w:after="0" w:line="236"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22"/>
          <w:szCs w:val="22"/>
          <w:color w:val="auto"/>
        </w:rPr>
        <w:t>All national and international transfer of personal data is only done in order to fulfill the obligations and rights of the Company and/or its Affiliates under the Plan.</w:t>
      </w:r>
    </w:p>
    <w:p>
      <w:pPr>
        <w:spacing w:after="0" w:line="19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21"/>
          <w:szCs w:val="21"/>
          <w:color w:val="auto"/>
        </w:rPr>
        <w:t>The Participant may access, modify, correct or withdraw consent to process most Personal Information about the Participant by contacting the local data protection officer in the country in which the Participant is based. Please note, however, that certain Personal Information about the Participant may be exempt from such access, correction, objection, suppression or deletion rights pursuant to applicable data protection laws, if the Participant has a complaint regarding the manner in which personal information relating to the Participant is dealt with, the Participant should contact the appropriate local data protection officer referred to above.</w:t>
      </w:r>
    </w:p>
    <w:p>
      <w:pPr>
        <w:spacing w:after="0" w:line="206" w:lineRule="exact"/>
        <w:rPr>
          <w:sz w:val="20"/>
          <w:szCs w:val="20"/>
          <w:color w:val="auto"/>
        </w:rPr>
      </w:pPr>
    </w:p>
    <w:p>
      <w:pPr>
        <w:ind w:left="1140" w:hanging="578"/>
        <w:spacing w:after="0" w:line="257" w:lineRule="auto"/>
        <w:tabs>
          <w:tab w:leader="none" w:pos="1140" w:val="left"/>
        </w:tabs>
        <w:numPr>
          <w:ilvl w:val="0"/>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processing (including transfer) of data described above is essential for the administration and operation of the Plan. Therefore, in cases where the Participant wishes to participate in the Plan, it is essential that his/her personal data are processed in the manner described above. At any time the Participant may withdraw his or her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122" w:right="2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2"/>
          <w:szCs w:val="22"/>
          <w:b w:val="1"/>
          <w:bCs w:val="1"/>
          <w:color w:val="auto"/>
        </w:rPr>
        <w:t>Exhibit 10.95</w:t>
      </w:r>
    </w:p>
    <w:p>
      <w:pPr>
        <w:spacing w:after="0" w:line="23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5"/>
          <w:szCs w:val="25"/>
          <w:b w:val="1"/>
          <w:bCs w:val="1"/>
          <w:color w:val="auto"/>
        </w:rPr>
        <w:t>Aramark</w:t>
      </w:r>
    </w:p>
    <w:p>
      <w:pPr>
        <w:spacing w:after="0" w:line="22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5"/>
          <w:szCs w:val="25"/>
          <w:b w:val="1"/>
          <w:bCs w:val="1"/>
          <w:color w:val="auto"/>
        </w:rPr>
        <w:t>FORM OF PERFORMANCE STOCK UNIT AWARD</w:t>
      </w:r>
    </w:p>
    <w:p>
      <w:pPr>
        <w:spacing w:after="0" w:line="200" w:lineRule="exact"/>
        <w:rPr>
          <w:sz w:val="20"/>
          <w:szCs w:val="20"/>
          <w:color w:val="auto"/>
        </w:rPr>
      </w:pPr>
    </w:p>
    <w:p>
      <w:pPr>
        <w:spacing w:after="0" w:line="311" w:lineRule="exact"/>
        <w:rPr>
          <w:sz w:val="20"/>
          <w:szCs w:val="20"/>
          <w:color w:val="auto"/>
        </w:rPr>
      </w:pPr>
    </w:p>
    <w:p>
      <w:pPr>
        <w:ind w:left="660" w:right="140" w:hanging="651"/>
        <w:spacing w:after="0" w:line="260" w:lineRule="auto"/>
        <w:tabs>
          <w:tab w:leader="none" w:pos="66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PSUs</w:t>
      </w:r>
      <w:r>
        <w:rPr>
          <w:rFonts w:ascii="Times New Roman" w:cs="Times New Roman" w:eastAsia="Times New Roman" w:hAnsi="Times New Roman"/>
          <w:sz w:val="21"/>
          <w:szCs w:val="21"/>
          <w:color w:val="auto"/>
        </w:rPr>
        <w:t>. Aramark (formerly known as ARAMARK Holdings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hereby grants the opportunity to vest in a number of Performance Stock Units determined based on the “</w:t>
      </w:r>
      <w:r>
        <w:rPr>
          <w:rFonts w:ascii="Times New Roman" w:cs="Times New Roman" w:eastAsia="Times New Roman" w:hAnsi="Times New Roman"/>
          <w:sz w:val="21"/>
          <w:szCs w:val="21"/>
          <w:u w:val="single" w:color="auto"/>
          <w:color w:val="auto"/>
        </w:rPr>
        <w:t>Target Number of PSUs</w:t>
      </w:r>
      <w:r>
        <w:rPr>
          <w:rFonts w:ascii="Times New Roman" w:cs="Times New Roman" w:eastAsia="Times New Roman" w:hAnsi="Times New Roman"/>
          <w:sz w:val="21"/>
          <w:szCs w:val="21"/>
          <w:color w:val="auto"/>
        </w:rPr>
        <w:t>” set forth on the Certificate of Grant attached to this Award and made a part hereof (the “</w:t>
      </w:r>
      <w:r>
        <w:rPr>
          <w:rFonts w:ascii="Times New Roman" w:cs="Times New Roman" w:eastAsia="Times New Roman" w:hAnsi="Times New Roman"/>
          <w:sz w:val="21"/>
          <w:szCs w:val="21"/>
          <w:u w:val="single" w:color="auto"/>
          <w:color w:val="auto"/>
        </w:rPr>
        <w:t>Certificate of Grant</w:t>
      </w:r>
      <w:r>
        <w:rPr>
          <w:rFonts w:ascii="Times New Roman" w:cs="Times New Roman" w:eastAsia="Times New Roman" w:hAnsi="Times New Roman"/>
          <w:sz w:val="21"/>
          <w:szCs w:val="21"/>
          <w:color w:val="auto"/>
        </w:rPr>
        <w:t xml:space="preserve">”) to the Participant, on the terms and conditions hereinafter set forth including </w:t>
      </w:r>
      <w:r>
        <w:rPr>
          <w:rFonts w:ascii="Times New Roman" w:cs="Times New Roman" w:eastAsia="Times New Roman" w:hAnsi="Times New Roman"/>
          <w:sz w:val="21"/>
          <w:szCs w:val="21"/>
          <w:u w:val="single" w:color="auto"/>
          <w:color w:val="auto"/>
        </w:rPr>
        <w:t>on Schedule I</w:t>
      </w:r>
      <w:r>
        <w:rPr>
          <w:rFonts w:ascii="Times New Roman" w:cs="Times New Roman" w:eastAsia="Times New Roman" w:hAnsi="Times New Roman"/>
          <w:sz w:val="21"/>
          <w:szCs w:val="21"/>
          <w:color w:val="auto"/>
        </w:rPr>
        <w:t xml:space="preserve"> which is made a part hereof. This grant is made pursuant to the terms of the Company 2013 Amended and Restated Stock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which Plan, as amended from time to time, is incorporated herein by reference and made a part of this Award. Each Performance Stock Unit (a “</w:t>
      </w:r>
      <w:r>
        <w:rPr>
          <w:rFonts w:ascii="Times New Roman" w:cs="Times New Roman" w:eastAsia="Times New Roman" w:hAnsi="Times New Roman"/>
          <w:sz w:val="21"/>
          <w:szCs w:val="21"/>
          <w:u w:val="single" w:color="auto"/>
          <w:color w:val="auto"/>
        </w:rPr>
        <w:t>PSU</w:t>
      </w:r>
      <w:r>
        <w:rPr>
          <w:rFonts w:ascii="Times New Roman" w:cs="Times New Roman" w:eastAsia="Times New Roman" w:hAnsi="Times New Roman"/>
          <w:sz w:val="21"/>
          <w:szCs w:val="21"/>
          <w:color w:val="auto"/>
        </w:rPr>
        <w:t>”) represents the unfunded, unsecured right of the Participant to receive a share of Common Stock of the Company (each a “</w:t>
      </w:r>
      <w:r>
        <w:rPr>
          <w:rFonts w:ascii="Times New Roman" w:cs="Times New Roman" w:eastAsia="Times New Roman" w:hAnsi="Times New Roman"/>
          <w:sz w:val="21"/>
          <w:szCs w:val="21"/>
          <w:u w:val="single" w:color="auto"/>
          <w:color w:val="auto"/>
        </w:rPr>
        <w:t>Share</w:t>
      </w:r>
      <w:r>
        <w:rPr>
          <w:rFonts w:ascii="Times New Roman" w:cs="Times New Roman" w:eastAsia="Times New Roman" w:hAnsi="Times New Roman"/>
          <w:sz w:val="21"/>
          <w:szCs w:val="21"/>
          <w:color w:val="auto"/>
        </w:rPr>
        <w:t>”), subject to the terms and conditions hereof, on the date(s) specified herein. Capitalized terms not otherwise defined herein shall have the same meanings as in the Plan and the Certificate of Grant.</w:t>
      </w:r>
    </w:p>
    <w:p>
      <w:pPr>
        <w:spacing w:after="0" w:line="184" w:lineRule="exact"/>
        <w:rPr>
          <w:rFonts w:ascii="Times New Roman" w:cs="Times New Roman" w:eastAsia="Times New Roman" w:hAnsi="Times New Roman"/>
          <w:sz w:val="21"/>
          <w:szCs w:val="21"/>
          <w:color w:val="auto"/>
        </w:rPr>
      </w:pPr>
    </w:p>
    <w:p>
      <w:pPr>
        <w:ind w:left="580" w:hanging="571"/>
        <w:spacing w:after="0"/>
        <w:tabs>
          <w:tab w:leader="none" w:pos="5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and Service Vesting Conditions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Subject to the remainder of the terms and conditions of this Award, so long as the Participant continues Employment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through the relevant Vesting Dates the Participant shall (a) earn, and be eligible to become vested in (in accordance with</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Section 2(b) of this Award), a number of PSUs equal to a percentage of the Target Number of PSUs based on the level of</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Company’s achievement of the performance conditions, with respect to the applicable performance period (the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xml:space="preserve">”), each as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on the date such achievement is certified by the Committee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following the end of the Performance Period (the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(such number of PSUs, once established, the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Earned PSUs</w:t>
      </w:r>
      <w:r>
        <w:rPr>
          <w:rFonts w:ascii="Times New Roman" w:cs="Times New Roman" w:eastAsia="Times New Roman" w:hAnsi="Times New Roman"/>
          <w:sz w:val="21"/>
          <w:szCs w:val="21"/>
          <w:color w:val="auto"/>
        </w:rPr>
        <w:t>”) and (b) on each applicable Vesting Date (or on the Determination Date, if it occurs after a Vesting Date),</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become vested in the corresponding percentage of the Earned PSUs, each as set forth on the Certificate of Grant.</w:t>
      </w:r>
    </w:p>
    <w:p>
      <w:pPr>
        <w:spacing w:after="0" w:line="209" w:lineRule="exact"/>
        <w:rPr>
          <w:sz w:val="20"/>
          <w:szCs w:val="20"/>
          <w:color w:val="auto"/>
        </w:rPr>
      </w:pPr>
    </w:p>
    <w:p>
      <w:pPr>
        <w:ind w:left="580" w:hanging="571"/>
        <w:spacing w:after="0"/>
        <w:tabs>
          <w:tab w:leader="none" w:pos="58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Shares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140" w:hanging="550"/>
        <w:spacing w:after="0" w:line="247" w:lineRule="auto"/>
        <w:tabs>
          <w:tab w:leader="none" w:pos="114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subject to the remainder of this Award, transfer to the Participant a number of Shares of the Company equal to the number (if any) of Earned PSUs under this Award at such time as the Participant becomes vested under the provisions of Section 2 above in the right to such transfer (x) as set forth on the Certificate of Grant under each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as applicable, so long as the Participant remains employed with the Company or any of its Affiliates through each such Vesting Date, or (y) as otherwise provided in Section 3(b) or (c) below (in whole Shares only with the Participant receiving a cash payment equal to the Fair Market Value of any fractional Share on or about the transfer date); provided, however, that in the event a Vesting Date occurs prior to the Determination Date, no transfer of Shares shall occur until the Determination Date.</w:t>
      </w:r>
    </w:p>
    <w:p>
      <w:pPr>
        <w:spacing w:after="0" w:line="1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340"/>
          </w:cols>
          <w:pgMar w:left="320" w:top="122" w:right="2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22"/>
          <w:szCs w:val="22"/>
          <w:b w:val="1"/>
          <w:bCs w:val="1"/>
          <w:color w:val="auto"/>
        </w:rPr>
        <w:t>Exhibit 10.95</w:t>
      </w:r>
    </w:p>
    <w:p>
      <w:pPr>
        <w:spacing w:after="0" w:line="200" w:lineRule="exact"/>
        <w:rPr>
          <w:sz w:val="20"/>
          <w:szCs w:val="20"/>
          <w:color w:val="auto"/>
        </w:rPr>
      </w:pPr>
    </w:p>
    <w:p>
      <w:pPr>
        <w:spacing w:after="0" w:line="334" w:lineRule="exact"/>
        <w:rPr>
          <w:sz w:val="20"/>
          <w:szCs w:val="20"/>
          <w:color w:val="auto"/>
        </w:rPr>
      </w:pPr>
    </w:p>
    <w:p>
      <w:pPr>
        <w:ind w:left="548" w:hanging="548"/>
        <w:spacing w:after="0"/>
        <w:tabs>
          <w:tab w:leader="none" w:pos="54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3(a) of this Award,</w:t>
      </w:r>
    </w:p>
    <w:p>
      <w:pPr>
        <w:spacing w:after="0" w:line="233" w:lineRule="exact"/>
        <w:rPr>
          <w:rFonts w:ascii="Times New Roman" w:cs="Times New Roman" w:eastAsia="Times New Roman" w:hAnsi="Times New Roman"/>
          <w:sz w:val="22"/>
          <w:szCs w:val="22"/>
          <w:color w:val="auto"/>
        </w:rPr>
      </w:pPr>
    </w:p>
    <w:p>
      <w:pPr>
        <w:ind w:left="1368" w:right="40" w:hanging="652"/>
        <w:spacing w:after="0" w:line="246" w:lineRule="auto"/>
        <w:tabs>
          <w:tab w:leader="none" w:pos="1368"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Termination of Relationship as a result of the Participant’s death, Disability, or Retirement with Notice (as defined below) (each, a “</w:t>
      </w:r>
      <w:r>
        <w:rPr>
          <w:rFonts w:ascii="Times New Roman" w:cs="Times New Roman" w:eastAsia="Times New Roman" w:hAnsi="Times New Roman"/>
          <w:sz w:val="22"/>
          <w:szCs w:val="22"/>
          <w:u w:val="single" w:color="auto"/>
          <w:color w:val="auto"/>
        </w:rPr>
        <w:t>Special Termination</w:t>
      </w:r>
      <w:r>
        <w:rPr>
          <w:rFonts w:ascii="Times New Roman" w:cs="Times New Roman" w:eastAsia="Times New Roman" w:hAnsi="Times New Roman"/>
          <w:sz w:val="22"/>
          <w:szCs w:val="22"/>
          <w:color w:val="auto"/>
        </w:rPr>
        <w:t>”), (A) which occurs prior to the Determination Date, the PSUs shall remain outstanding and unvested through the Determination Date, and the installment of Earned PSUs (if any) scheduled to vest on the first Vesting Date shall become vested PSUs as of such Vesting Date and (B) which occurs after the Determination Date, the installment of Earned PSUs (if any) scheduled to vest on the next Vesting Date immediately following such Special Termination shall immediately become vested PSUs; and, in either case of (A) or (B), as applicable, Shares equal to the number of Earned PSUs scheduled to vest on the applicable Vesting Date shall be transferred, and the remaining PSUs which do not become vested pursuant to this Section shall be forfeited; and</w:t>
      </w:r>
    </w:p>
    <w:p>
      <w:pPr>
        <w:spacing w:after="0" w:line="205" w:lineRule="exact"/>
        <w:rPr>
          <w:rFonts w:ascii="Times New Roman" w:cs="Times New Roman" w:eastAsia="Times New Roman" w:hAnsi="Times New Roman"/>
          <w:sz w:val="22"/>
          <w:szCs w:val="22"/>
          <w:color w:val="auto"/>
        </w:rPr>
      </w:pPr>
    </w:p>
    <w:p>
      <w:pPr>
        <w:ind w:left="1368" w:right="400" w:hanging="490"/>
        <w:spacing w:after="0" w:line="268" w:lineRule="auto"/>
        <w:tabs>
          <w:tab w:leader="none" w:pos="1368" w:val="left"/>
        </w:tabs>
        <w:numPr>
          <w:ilvl w:val="2"/>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Termination of Relationship for any reason other than as set forth in clause (i) above, all outstanding PSUs shall be forfeited and immediately cancelled; provided, however, that in the case of a Termination of Relationship after a Vesting Date but prior to the Determination Date, the corresponding portion of Earned PSUs (if any) shall remain outstanding and shall become vested PSUs as of the Determination Date.</w:t>
      </w:r>
    </w:p>
    <w:p>
      <w:pPr>
        <w:spacing w:after="0" w:line="177" w:lineRule="exact"/>
        <w:rPr>
          <w:rFonts w:ascii="Times New Roman" w:cs="Times New Roman" w:eastAsia="Times New Roman" w:hAnsi="Times New Roman"/>
          <w:sz w:val="21"/>
          <w:szCs w:val="21"/>
          <w:color w:val="auto"/>
        </w:rPr>
      </w:pPr>
    </w:p>
    <w:p>
      <w:pPr>
        <w:ind w:left="548" w:right="340" w:hanging="548"/>
        <w:spacing w:after="0" w:line="250" w:lineRule="auto"/>
        <w:tabs>
          <w:tab w:leader="none" w:pos="54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Also notwithstanding Section 3(a) or (b) of this Award, in accordance with the terms of Section 13 of the Plan, in the event of a Termination of Relationship of the Participant by the Company or any of its Affiliates (or successors in interest) without Cause or by the Participant for Good Reason, in each case, that occurs within two years following a Change of Control, the following treatment (under clauses (i) or (ii), as applicable) will apply with respect to any then outstanding PSUs:</w:t>
      </w:r>
    </w:p>
    <w:p>
      <w:pPr>
        <w:spacing w:after="0" w:line="222" w:lineRule="exact"/>
        <w:rPr>
          <w:sz w:val="20"/>
          <w:szCs w:val="20"/>
          <w:color w:val="auto"/>
        </w:rPr>
      </w:pPr>
    </w:p>
    <w:p>
      <w:pPr>
        <w:ind w:left="1928" w:right="60" w:hanging="1043"/>
        <w:spacing w:after="0" w:line="250" w:lineRule="auto"/>
        <w:rPr>
          <w:sz w:val="20"/>
          <w:szCs w:val="20"/>
          <w:color w:val="auto"/>
        </w:rPr>
      </w:pPr>
      <w:r>
        <w:rPr>
          <w:rFonts w:ascii="Times New Roman" w:cs="Times New Roman" w:eastAsia="Times New Roman" w:hAnsi="Times New Roman"/>
          <w:sz w:val="22"/>
          <w:szCs w:val="22"/>
          <w:color w:val="auto"/>
        </w:rPr>
        <w:t>(i)if such termination occurs prior to the Determination Date, then such Performance Period (to the extent not completed) shall end as of such date, then the Target Number of PSUs shall become vested on the date of such Termination of Relationship, and a number of Shares equal to such number of PSUs shall be distributed to the Participant as soon as practicable following the date of such Termination of Relationship; or</w:t>
      </w:r>
    </w:p>
    <w:p>
      <w:pPr>
        <w:spacing w:after="0" w:line="222" w:lineRule="exact"/>
        <w:rPr>
          <w:sz w:val="20"/>
          <w:szCs w:val="20"/>
          <w:color w:val="auto"/>
        </w:rPr>
      </w:pPr>
    </w:p>
    <w:p>
      <w:pPr>
        <w:ind w:left="1988" w:right="420" w:hanging="1097"/>
        <w:spacing w:after="0" w:line="252" w:lineRule="auto"/>
        <w:rPr>
          <w:sz w:val="20"/>
          <w:szCs w:val="20"/>
          <w:color w:val="auto"/>
        </w:rPr>
      </w:pPr>
      <w:r>
        <w:rPr>
          <w:rFonts w:ascii="Times New Roman" w:cs="Times New Roman" w:eastAsia="Times New Roman" w:hAnsi="Times New Roman"/>
          <w:sz w:val="22"/>
          <w:szCs w:val="22"/>
          <w:color w:val="auto"/>
        </w:rPr>
        <w:t>(ii)if such termination occurs on or following the Determination Date, then the Earned PSUs (if any) shall immediately become vested on the date of such Termination of Relationship and a number of Shares equal to such number of Earned PSUs shall be distributed to the Participant as soon as practicable following the date of such Termination of Relationship;</w:t>
      </w:r>
    </w:p>
    <w:p>
      <w:pPr>
        <w:spacing w:after="0" w:line="180" w:lineRule="exact"/>
        <w:rPr>
          <w:sz w:val="20"/>
          <w:szCs w:val="20"/>
          <w:color w:val="auto"/>
        </w:rPr>
      </w:pPr>
    </w:p>
    <w:p>
      <w:pPr>
        <w:ind w:left="548" w:right="160"/>
        <w:spacing w:after="0" w:line="26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Committee may determine that, in lieu of Shares and/or fractional Shares deliverable to the Participant under clauses (i) or (ii) above, the Participant</w:t>
      </w:r>
    </w:p>
    <w:p>
      <w:pPr>
        <w:ind w:left="888" w:right="120"/>
        <w:spacing w:after="0" w:line="271" w:lineRule="auto"/>
        <w:rPr>
          <w:sz w:val="20"/>
          <w:szCs w:val="20"/>
          <w:color w:val="auto"/>
        </w:rPr>
      </w:pPr>
      <w:r>
        <w:rPr>
          <w:rFonts w:ascii="Times New Roman" w:cs="Times New Roman" w:eastAsia="Times New Roman" w:hAnsi="Times New Roman"/>
          <w:sz w:val="22"/>
          <w:szCs w:val="22"/>
          <w:color w:val="auto"/>
        </w:rPr>
        <w:t>shall receive a cash payment equal to the Fair Market Value of such Shares (or fractional Shares, as the case may be) on the Change of Control.</w:t>
      </w:r>
    </w:p>
    <w:p>
      <w:pPr>
        <w:spacing w:after="0" w:line="37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88"/>
          </w:cols>
          <w:pgMar w:left="572" w:top="122" w:right="2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2"/>
          <w:szCs w:val="22"/>
          <w:b w:val="1"/>
          <w:bCs w:val="1"/>
          <w:color w:val="auto"/>
        </w:rPr>
        <w:t>Exhibit 10.95</w:t>
      </w:r>
    </w:p>
    <w:p>
      <w:pPr>
        <w:spacing w:after="0" w:line="224" w:lineRule="exact"/>
        <w:rPr>
          <w:sz w:val="20"/>
          <w:szCs w:val="20"/>
          <w:color w:val="auto"/>
        </w:rPr>
      </w:pPr>
    </w:p>
    <w:p>
      <w:pPr>
        <w:ind w:left="1140" w:hanging="550"/>
        <w:spacing w:after="0" w:line="250" w:lineRule="auto"/>
        <w:tabs>
          <w:tab w:leader="none" w:pos="1140"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each vesting event of any Earned PSUs and the corresponding transfer of Shares as a result thereof, in each case in accordance with Sections 3(a), 3(b) or 3(c) of this Award, as applicable, the Earned PSUs with respect to which Shares have been transferred hereunder shall be extinguished on the relevant transfer dates. In compliance with Section 409A of the Code, in no event shall any transfer occur later than March 15 of the calendar year following the calendar year in which the applicable vesting event occurs under this Award.</w:t>
      </w:r>
    </w:p>
    <w:p>
      <w:pPr>
        <w:spacing w:after="0" w:line="222" w:lineRule="exact"/>
        <w:rPr>
          <w:rFonts w:ascii="Times New Roman" w:cs="Times New Roman" w:eastAsia="Times New Roman" w:hAnsi="Times New Roman"/>
          <w:sz w:val="22"/>
          <w:szCs w:val="22"/>
          <w:color w:val="auto"/>
        </w:rPr>
      </w:pPr>
    </w:p>
    <w:p>
      <w:pPr>
        <w:ind w:left="1140" w:right="60" w:hanging="550"/>
        <w:spacing w:after="0" w:line="260" w:lineRule="auto"/>
        <w:tabs>
          <w:tab w:leader="none" w:pos="1140"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used herein, the term “Retirement with Notice” means the Participant’s retirement from the Company and its Affiliates after providing the Company with at least 6 months’ prior written notice of such intended retirement (and with such notice having been delivered upon or after the Participant’s attainment of age 62) and achieving 5 years of employment with the Company and its Affiliates following October 7, 2019;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6 months after the notice date. All decisions by the Committee with respect to any calculations pursuant to this Section 3 shall be made in good faith after consultation with senior management and shall be final and binding on the Participant absent manifest error by the Committee.</w:t>
      </w:r>
    </w:p>
    <w:p>
      <w:pPr>
        <w:spacing w:after="0" w:line="211" w:lineRule="exact"/>
        <w:rPr>
          <w:rFonts w:ascii="Times New Roman" w:cs="Times New Roman" w:eastAsia="Times New Roman" w:hAnsi="Times New Roman"/>
          <w:sz w:val="21"/>
          <w:szCs w:val="21"/>
          <w:color w:val="auto"/>
        </w:rPr>
      </w:pPr>
    </w:p>
    <w:p>
      <w:pPr>
        <w:ind w:left="580" w:hanging="571"/>
        <w:spacing w:after="0"/>
        <w:tabs>
          <w:tab w:leader="none" w:pos="58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140" w:hanging="550"/>
        <w:spacing w:after="0" w:line="248" w:lineRule="auto"/>
        <w:tabs>
          <w:tab w:leader="none" w:pos="114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on any date while PSUs are outstanding hereunder, the Company shall pay any dividend on the Shares (other than a dividend payable in Shares), the number of PSUs (if any) held by the Participant shall be increased by a number equal to: (a) the product of (x) the number of outstanding PSUs held by the Participant as of the related dividend record date, </w:t>
      </w:r>
      <w:r>
        <w:rPr>
          <w:rFonts w:ascii="Times New Roman" w:cs="Times New Roman" w:eastAsia="Times New Roman" w:hAnsi="Times New Roman"/>
          <w:sz w:val="22"/>
          <w:szCs w:val="22"/>
          <w:u w:val="single" w:color="auto"/>
          <w:color w:val="auto"/>
        </w:rPr>
        <w:t>multiplied</w:t>
      </w:r>
      <w:r>
        <w:rPr>
          <w:rFonts w:ascii="Times New Roman" w:cs="Times New Roman" w:eastAsia="Times New Roman" w:hAnsi="Times New Roman"/>
          <w:sz w:val="22"/>
          <w:szCs w:val="22"/>
          <w:color w:val="auto"/>
        </w:rPr>
        <w:t xml:space="preserve"> 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w:t>
      </w:r>
    </w:p>
    <w:p>
      <w:pPr>
        <w:spacing w:after="0" w:line="195" w:lineRule="exact"/>
        <w:rPr>
          <w:rFonts w:ascii="Times New Roman" w:cs="Times New Roman" w:eastAsia="Times New Roman" w:hAnsi="Times New Roman"/>
          <w:sz w:val="22"/>
          <w:szCs w:val="22"/>
          <w:color w:val="auto"/>
        </w:rPr>
      </w:pPr>
    </w:p>
    <w:p>
      <w:pPr>
        <w:ind w:left="1140" w:right="60" w:hanging="550"/>
        <w:spacing w:after="0" w:line="249" w:lineRule="auto"/>
        <w:tabs>
          <w:tab w:leader="none" w:pos="114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dividend declared on Shares that is payable in the form of Shares, the number of PSUs, if any, held by the Participant shall be increased by a number equal to the product of (I) the number of outstanding PSUs held by the Participant as of the related dividend record date, multiplied by (II) the number of Shares (including any fraction thereof) payable as a dividend on a Share. Shares shall be transferred with respect to all additional PSUs granted pursuant to this Section 4 at the same time as Shares are transferred with respect to the Earned PSUs to which such additional PSUs were attributable.</w:t>
      </w:r>
    </w:p>
    <w:p>
      <w:pPr>
        <w:spacing w:after="0" w:line="194" w:lineRule="exact"/>
        <w:rPr>
          <w:rFonts w:ascii="Times New Roman" w:cs="Times New Roman" w:eastAsia="Times New Roman" w:hAnsi="Times New Roman"/>
          <w:sz w:val="22"/>
          <w:szCs w:val="22"/>
          <w:color w:val="auto"/>
        </w:rPr>
      </w:pPr>
    </w:p>
    <w:p>
      <w:pPr>
        <w:ind w:left="1140" w:right="140" w:hanging="550"/>
        <w:spacing w:after="0" w:line="250" w:lineRule="auto"/>
        <w:tabs>
          <w:tab w:leader="none" w:pos="114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4, the number of PSUs held by the Participant as of the applicable dividend record date shall be deemed to equal (i) zero (0), if such dividend record date occurs prior to the Determination Date or (ii) the Earned PSUs (if any) (with any additional PSUs granted pursuant to this Section 4 to be added to the Earned PSUs held by Participant), if such dividend record date occurs after the Determination Date; provided that, if any dividend on Shares was paid by</w:t>
      </w:r>
    </w:p>
    <w:p>
      <w:pPr>
        <w:spacing w:after="0" w:line="1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340"/>
          </w:cols>
          <w:pgMar w:left="320" w:top="122" w:right="239" w:bottom="1440" w:gutter="0" w:footer="0" w:header="0"/>
        </w:sectPr>
      </w:pPr>
    </w:p>
    <w:bookmarkStart w:id="206" w:name="page207"/>
    <w:bookmarkEnd w:id="206"/>
    <w:p>
      <w:pPr>
        <w:ind w:left="10120"/>
        <w:spacing w:after="0"/>
        <w:rPr>
          <w:sz w:val="20"/>
          <w:szCs w:val="20"/>
          <w:color w:val="auto"/>
        </w:rPr>
      </w:pPr>
      <w:r>
        <w:rPr>
          <w:rFonts w:ascii="Times New Roman" w:cs="Times New Roman" w:eastAsia="Times New Roman" w:hAnsi="Times New Roman"/>
          <w:sz w:val="21"/>
          <w:szCs w:val="21"/>
          <w:b w:val="1"/>
          <w:bCs w:val="1"/>
          <w:color w:val="auto"/>
        </w:rPr>
        <w:t>Exhibit 10.95</w:t>
      </w:r>
    </w:p>
    <w:p>
      <w:pPr>
        <w:spacing w:after="0" w:line="208" w:lineRule="exact"/>
        <w:rPr>
          <w:sz w:val="20"/>
          <w:szCs w:val="20"/>
          <w:color w:val="auto"/>
        </w:rPr>
      </w:pPr>
    </w:p>
    <w:p>
      <w:pPr>
        <w:ind w:left="1140" w:right="20"/>
        <w:spacing w:after="0" w:line="220" w:lineRule="auto"/>
        <w:rPr>
          <w:sz w:val="20"/>
          <w:szCs w:val="20"/>
          <w:color w:val="auto"/>
        </w:rPr>
      </w:pPr>
      <w:r>
        <w:rPr>
          <w:rFonts w:ascii="Times New Roman" w:cs="Times New Roman" w:eastAsia="Times New Roman" w:hAnsi="Times New Roman"/>
          <w:sz w:val="22"/>
          <w:szCs w:val="22"/>
          <w:color w:val="auto"/>
        </w:rPr>
        <w:t>the Company during the period beginning on the Date of Grant and ending on the Determination Date, on the Determination Date, an additional number of PSUs calculated in accordance with this Section 4, assuming Participant had held the number of Earned PSUs (if any) on the record date of such dividend(s), shall be immediately added to the number of Earned PSUs established as of the Determination Date.</w:t>
      </w:r>
    </w:p>
    <w:p>
      <w:pPr>
        <w:spacing w:after="0" w:line="234" w:lineRule="exact"/>
        <w:rPr>
          <w:sz w:val="20"/>
          <w:szCs w:val="20"/>
          <w:color w:val="auto"/>
        </w:rPr>
      </w:pPr>
    </w:p>
    <w:p>
      <w:pPr>
        <w:ind w:left="660" w:right="60" w:hanging="651"/>
        <w:spacing w:after="0" w:line="257" w:lineRule="auto"/>
        <w:tabs>
          <w:tab w:leader="none" w:pos="6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Upon Certain Events</w:t>
      </w:r>
      <w:r>
        <w:rPr>
          <w:rFonts w:ascii="Times New Roman" w:cs="Times New Roman" w:eastAsia="Times New Roman" w:hAnsi="Times New Roman"/>
          <w:sz w:val="22"/>
          <w:szCs w:val="22"/>
          <w:color w:val="auto"/>
        </w:rPr>
        <w:t>. In the event of any event described in Section 12 of the Plan occurring after the Date of Grant, the adjustment provisions (including cash payments) as provided for under Section 12 of the Plan shall apply (without duplication of any dividend adjustments reflected pursuant to Section 4 hereof).</w:t>
      </w:r>
    </w:p>
    <w:p>
      <w:pPr>
        <w:spacing w:after="0" w:line="186" w:lineRule="exact"/>
        <w:rPr>
          <w:rFonts w:ascii="Times New Roman" w:cs="Times New Roman" w:eastAsia="Times New Roman" w:hAnsi="Times New Roman"/>
          <w:sz w:val="22"/>
          <w:szCs w:val="22"/>
          <w:color w:val="auto"/>
        </w:rPr>
      </w:pPr>
    </w:p>
    <w:p>
      <w:pPr>
        <w:ind w:left="660" w:right="40" w:hanging="651"/>
        <w:spacing w:after="0" w:line="249" w:lineRule="auto"/>
        <w:tabs>
          <w:tab w:leader="none" w:pos="6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 on Transfer</w:t>
      </w:r>
      <w:r>
        <w:rPr>
          <w:rFonts w:ascii="Times New Roman" w:cs="Times New Roman" w:eastAsia="Times New Roman" w:hAnsi="Times New Roman"/>
          <w:sz w:val="22"/>
          <w:szCs w:val="22"/>
          <w:color w:val="auto"/>
        </w:rPr>
        <w:t>. The PSUs may not be transferred, pledged, assigned, hypothecated or otherwise disposed of in any way by the Participant, except (i) if permitted by the Board or the Committee, (ii) by will or the laws of descent and distribution or (iii) pursuant to beneficiary designation procedures approved by the Company, in each case in compliance with applicable laws. The PSUs shall not be subject to execution, attachment or similar process. Any attempted assignment, transfer, pledge, hypothecation or other disposition of the PSUs contrary to the provisions of this Award or the Plan shall be null and void and without effect.</w:t>
      </w:r>
    </w:p>
    <w:p>
      <w:pPr>
        <w:spacing w:after="0" w:line="176" w:lineRule="exact"/>
        <w:rPr>
          <w:rFonts w:ascii="Times New Roman" w:cs="Times New Roman" w:eastAsia="Times New Roman" w:hAnsi="Times New Roman"/>
          <w:sz w:val="22"/>
          <w:szCs w:val="22"/>
          <w:color w:val="auto"/>
        </w:rPr>
      </w:pPr>
    </w:p>
    <w:p>
      <w:pPr>
        <w:ind w:left="600" w:right="660" w:hanging="591"/>
        <w:spacing w:after="0" w:line="259" w:lineRule="auto"/>
        <w:tabs>
          <w:tab w:leader="none" w:pos="582"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Protection</w:t>
      </w:r>
      <w:r>
        <w:rPr>
          <w:rFonts w:ascii="Times New Roman" w:cs="Times New Roman" w:eastAsia="Times New Roman" w:hAnsi="Times New Roman"/>
          <w:sz w:val="22"/>
          <w:szCs w:val="22"/>
          <w:b w:val="1"/>
          <w:bCs w:val="1"/>
          <w:color w:val="auto"/>
        </w:rPr>
        <w:t xml:space="preserve">. By accepting this Award, the Participant consents to the processing (including international transfer) of personal data as set out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 xml:space="preserve"> attached hereto for the purposes specified therein and to any additional or different processes required by applicable law, rule or regulation</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ind w:left="600" w:right="20" w:hanging="591"/>
        <w:spacing w:after="0" w:line="252" w:lineRule="auto"/>
        <w:tabs>
          <w:tab w:leader="none" w:pos="582"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Employment</w:t>
      </w:r>
      <w:r>
        <w:rPr>
          <w:rFonts w:ascii="Times New Roman" w:cs="Times New Roman" w:eastAsia="Times New Roman" w:hAnsi="Times New Roman"/>
          <w:sz w:val="22"/>
          <w:szCs w:val="22"/>
          <w:color w:val="auto"/>
        </w:rPr>
        <w:t>. Nothing in this Award or in the PSU shall confer upon the Participant any right to continue in the employ of the Company or any of its Affiliates or interfere in any way with the right of the Company and its Affiliates, in their sole discretion, to terminate the Participant’s employment or to increase or decrease the Participant’s compensation at any time.</w:t>
      </w:r>
    </w:p>
    <w:p>
      <w:pPr>
        <w:spacing w:after="0" w:line="189" w:lineRule="exact"/>
        <w:rPr>
          <w:rFonts w:ascii="Times New Roman" w:cs="Times New Roman" w:eastAsia="Times New Roman" w:hAnsi="Times New Roman"/>
          <w:sz w:val="22"/>
          <w:szCs w:val="22"/>
          <w:color w:val="auto"/>
        </w:rPr>
      </w:pPr>
    </w:p>
    <w:p>
      <w:pPr>
        <w:ind w:left="660" w:right="60" w:hanging="651"/>
        <w:spacing w:after="0" w:line="247" w:lineRule="auto"/>
        <w:tabs>
          <w:tab w:leader="none" w:pos="6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Acquired Rights</w:t>
      </w:r>
      <w:r>
        <w:rPr>
          <w:rFonts w:ascii="Times New Roman" w:cs="Times New Roman" w:eastAsia="Times New Roman" w:hAnsi="Times New Roman"/>
          <w:sz w:val="22"/>
          <w:szCs w:val="22"/>
          <w:color w:val="auto"/>
        </w:rPr>
        <w:t>. The Committee or the Board has the power to amend or terminate the Plan at any time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spacing w:after="0" w:line="203" w:lineRule="exact"/>
        <w:rPr>
          <w:rFonts w:ascii="Times New Roman" w:cs="Times New Roman" w:eastAsia="Times New Roman" w:hAnsi="Times New Roman"/>
          <w:sz w:val="22"/>
          <w:szCs w:val="22"/>
          <w:color w:val="auto"/>
        </w:rPr>
      </w:pPr>
    </w:p>
    <w:p>
      <w:pPr>
        <w:ind w:left="600" w:hanging="591"/>
        <w:spacing w:after="0" w:line="271" w:lineRule="auto"/>
        <w:tabs>
          <w:tab w:leader="none" w:pos="582"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of a Stockholder</w:t>
      </w:r>
      <w:r>
        <w:rPr>
          <w:rFonts w:ascii="Times New Roman" w:cs="Times New Roman" w:eastAsia="Times New Roman" w:hAnsi="Times New Roman"/>
          <w:sz w:val="22"/>
          <w:szCs w:val="22"/>
          <w:color w:val="auto"/>
        </w:rPr>
        <w:t>. The Participant shall not have any rights as a stockholder of the Company until the Shares in question have been registered in the Company’s register of stockholders.</w:t>
      </w:r>
    </w:p>
    <w:p>
      <w:pPr>
        <w:spacing w:after="0" w:line="171" w:lineRule="exact"/>
        <w:rPr>
          <w:rFonts w:ascii="Times New Roman" w:cs="Times New Roman" w:eastAsia="Times New Roman" w:hAnsi="Times New Roman"/>
          <w:sz w:val="22"/>
          <w:szCs w:val="22"/>
          <w:color w:val="auto"/>
        </w:rPr>
      </w:pPr>
    </w:p>
    <w:p>
      <w:pPr>
        <w:ind w:left="580" w:hanging="571"/>
        <w:spacing w:after="0"/>
        <w:tabs>
          <w:tab w:leader="none" w:pos="58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w:t>
      </w:r>
    </w:p>
    <w:p>
      <w:pPr>
        <w:spacing w:after="0" w:line="3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340"/>
          </w:cols>
          <w:pgMar w:left="320" w:top="121" w:right="2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2"/>
          <w:szCs w:val="22"/>
          <w:b w:val="1"/>
          <w:bCs w:val="1"/>
          <w:color w:val="auto"/>
        </w:rPr>
        <w:t>Exhibit 10.95</w:t>
      </w:r>
    </w:p>
    <w:p>
      <w:pPr>
        <w:spacing w:after="0" w:line="278" w:lineRule="exact"/>
        <w:rPr>
          <w:sz w:val="20"/>
          <w:szCs w:val="20"/>
          <w:color w:val="auto"/>
        </w:rPr>
      </w:pPr>
    </w:p>
    <w:p>
      <w:pPr>
        <w:ind w:left="1300" w:right="160" w:hanging="643"/>
        <w:spacing w:after="0" w:line="260" w:lineRule="auto"/>
        <w:tabs>
          <w:tab w:leader="none" w:pos="1300"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will pay, or make provisions satisfactory to the Company for payment of any federal, state, local and other applicable taxes required to be withheld in connection with any issuance or transfer of Shares under this Award and to take such action as may be necessary in the opinion of the Company to satisfy all obligations for the payment of such taxes. If Participant has not made payment for applicable taxes, such taxes shall be paid by withholding Shares from the issuance or transfer of Shares due under this Award, rounded down to the nearest whole Share, with the balance to be paid in cash or withheld from compensation or other amount owing to the Participant from the Company or any Affiliate, and the Company and any such Affiliate is hereby authorized to withhold such amounts from any such issuance, transfer, compensation or other amount owing to the Participant.</w:t>
      </w:r>
    </w:p>
    <w:p>
      <w:pPr>
        <w:spacing w:after="0" w:line="230" w:lineRule="exact"/>
        <w:rPr>
          <w:rFonts w:ascii="Times New Roman" w:cs="Times New Roman" w:eastAsia="Times New Roman" w:hAnsi="Times New Roman"/>
          <w:sz w:val="21"/>
          <w:szCs w:val="21"/>
          <w:color w:val="auto"/>
        </w:rPr>
      </w:pPr>
    </w:p>
    <w:p>
      <w:pPr>
        <w:ind w:left="1300" w:right="360" w:hanging="643"/>
        <w:spacing w:after="0" w:line="249" w:lineRule="auto"/>
        <w:tabs>
          <w:tab w:leader="none" w:pos="1300"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employment with the Company terminates prior to the issuance or transfer of any remaining Shares due to be issued or transferred to the Participant under this Award, the payment of any applicable withholding taxes with respect to any such issuance or transfer shall be made through the withholding of Shares from such issuance or transfer, rounded down to the nearest whole Share, with the balance to be paid in cash or withheld from compensation or other amount owing to the Participant from the Company or any Affiliate, as provided in Section 11(a) above.</w:t>
      </w:r>
    </w:p>
    <w:p>
      <w:pPr>
        <w:spacing w:after="0" w:line="194" w:lineRule="exact"/>
        <w:rPr>
          <w:rFonts w:ascii="Times New Roman" w:cs="Times New Roman" w:eastAsia="Times New Roman" w:hAnsi="Times New Roman"/>
          <w:sz w:val="22"/>
          <w:szCs w:val="22"/>
          <w:color w:val="auto"/>
        </w:rPr>
      </w:pPr>
    </w:p>
    <w:p>
      <w:pPr>
        <w:ind w:left="600" w:right="20" w:hanging="591"/>
        <w:spacing w:after="0" w:line="271" w:lineRule="auto"/>
        <w:tabs>
          <w:tab w:leader="none" w:pos="58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The provisions of Section 14(v) of the Plan are hereby incorporated by reference and made a part hereof.</w:t>
      </w:r>
    </w:p>
    <w:p>
      <w:pPr>
        <w:spacing w:after="0" w:line="171" w:lineRule="exact"/>
        <w:rPr>
          <w:rFonts w:ascii="Times New Roman" w:cs="Times New Roman" w:eastAsia="Times New Roman" w:hAnsi="Times New Roman"/>
          <w:sz w:val="22"/>
          <w:szCs w:val="22"/>
          <w:color w:val="auto"/>
        </w:rPr>
      </w:pPr>
    </w:p>
    <w:p>
      <w:pPr>
        <w:ind w:left="600" w:right="220" w:hanging="591"/>
        <w:spacing w:after="0" w:line="295" w:lineRule="auto"/>
        <w:tabs>
          <w:tab w:leader="none" w:pos="582"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PSUs Subject to Plan</w:t>
      </w:r>
      <w:r>
        <w:rPr>
          <w:rFonts w:ascii="Times New Roman" w:cs="Times New Roman" w:eastAsia="Times New Roman" w:hAnsi="Times New Roman"/>
          <w:sz w:val="21"/>
          <w:szCs w:val="21"/>
          <w:color w:val="auto"/>
        </w:rPr>
        <w:t>. All PSUs are subject to the Plan. In the event of a conflict between any term or provision contained herein and a term or provision of the Plan, the applicable terms and provisions of the Plan will govern and prevail.</w:t>
      </w:r>
    </w:p>
    <w:p>
      <w:pPr>
        <w:spacing w:after="0" w:line="149" w:lineRule="exact"/>
        <w:rPr>
          <w:rFonts w:ascii="Times New Roman" w:cs="Times New Roman" w:eastAsia="Times New Roman" w:hAnsi="Times New Roman"/>
          <w:sz w:val="21"/>
          <w:szCs w:val="21"/>
          <w:color w:val="auto"/>
        </w:rPr>
      </w:pPr>
    </w:p>
    <w:p>
      <w:pPr>
        <w:ind w:left="660" w:right="40" w:hanging="651"/>
        <w:spacing w:after="0" w:line="252" w:lineRule="auto"/>
        <w:tabs>
          <w:tab w:leader="none" w:pos="66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spacing w:after="0" w:line="19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 it at: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Aramark</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2400 Market Street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Philadelphia, Pennsylvania 19103</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36" w:lineRule="exact"/>
        <w:rPr>
          <w:sz w:val="20"/>
          <w:szCs w:val="20"/>
          <w:color w:val="auto"/>
        </w:rPr>
      </w:pPr>
    </w:p>
    <w:p>
      <w:pPr>
        <w:ind w:left="660" w:right="80"/>
        <w:spacing w:after="0" w:line="250" w:lineRule="auto"/>
        <w:rPr>
          <w:sz w:val="20"/>
          <w:szCs w:val="20"/>
          <w:color w:val="auto"/>
        </w:rPr>
      </w:pPr>
      <w:r>
        <w:rPr>
          <w:rFonts w:ascii="Times New Roman" w:cs="Times New Roman" w:eastAsia="Times New Roman" w:hAnsi="Times New Roman"/>
          <w:sz w:val="22"/>
          <w:szCs w:val="22"/>
          <w:color w:val="auto"/>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w:t>
      </w:r>
    </w:p>
    <w:p>
      <w:pPr>
        <w:spacing w:after="0" w:line="1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340"/>
          </w:cols>
          <w:pgMar w:left="320" w:top="122" w:right="239" w:bottom="1440" w:gutter="0" w:footer="0" w:header="0"/>
        </w:sectPr>
      </w:pPr>
    </w:p>
    <w:bookmarkStart w:id="208" w:name="page209"/>
    <w:bookmarkEnd w:id="208"/>
    <w:p>
      <w:pPr>
        <w:ind w:left="10120"/>
        <w:spacing w:after="0"/>
        <w:rPr>
          <w:sz w:val="20"/>
          <w:szCs w:val="20"/>
          <w:color w:val="auto"/>
        </w:rPr>
      </w:pPr>
      <w:r>
        <w:rPr>
          <w:rFonts w:ascii="Times New Roman" w:cs="Times New Roman" w:eastAsia="Times New Roman" w:hAnsi="Times New Roman"/>
          <w:sz w:val="21"/>
          <w:szCs w:val="21"/>
          <w:b w:val="1"/>
          <w:bCs w:val="1"/>
          <w:color w:val="auto"/>
        </w:rPr>
        <w:t>Exhibit 10.95</w:t>
      </w:r>
    </w:p>
    <w:p>
      <w:pPr>
        <w:spacing w:after="0" w:line="235" w:lineRule="exact"/>
        <w:rPr>
          <w:sz w:val="20"/>
          <w:szCs w:val="20"/>
          <w:color w:val="auto"/>
        </w:rPr>
      </w:pPr>
    </w:p>
    <w:p>
      <w:pPr>
        <w:ind w:left="660" w:right="200"/>
        <w:spacing w:after="0" w:line="257" w:lineRule="auto"/>
        <w:rPr>
          <w:sz w:val="20"/>
          <w:szCs w:val="20"/>
          <w:color w:val="auto"/>
        </w:rPr>
      </w:pPr>
      <w:r>
        <w:rPr>
          <w:rFonts w:ascii="Times New Roman" w:cs="Times New Roman" w:eastAsia="Times New Roman" w:hAnsi="Times New Roman"/>
          <w:sz w:val="22"/>
          <w:szCs w:val="22"/>
          <w:color w:val="auto"/>
        </w:rPr>
        <w:t>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spacing w:after="0" w:line="187" w:lineRule="exact"/>
        <w:rPr>
          <w:sz w:val="20"/>
          <w:szCs w:val="20"/>
          <w:color w:val="auto"/>
        </w:rPr>
      </w:pPr>
    </w:p>
    <w:p>
      <w:pPr>
        <w:ind w:left="600" w:right="340" w:hanging="591"/>
        <w:spacing w:after="0" w:line="271" w:lineRule="auto"/>
        <w:tabs>
          <w:tab w:leader="none" w:pos="58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Breach</w:t>
      </w:r>
      <w:r>
        <w:rPr>
          <w:rFonts w:ascii="Times New Roman" w:cs="Times New Roman" w:eastAsia="Times New Roman" w:hAnsi="Times New Roman"/>
          <w:sz w:val="22"/>
          <w:szCs w:val="22"/>
          <w:color w:val="auto"/>
        </w:rPr>
        <w:t>. The waiver by either party of a breach of any provision of this Award must be in writing and shall not operate or be construed as a waiver of any other or subsequent breach.</w:t>
      </w:r>
    </w:p>
    <w:p>
      <w:pPr>
        <w:spacing w:after="0" w:line="171" w:lineRule="exact"/>
        <w:rPr>
          <w:rFonts w:ascii="Times New Roman" w:cs="Times New Roman" w:eastAsia="Times New Roman" w:hAnsi="Times New Roman"/>
          <w:sz w:val="22"/>
          <w:szCs w:val="22"/>
          <w:color w:val="auto"/>
        </w:rPr>
      </w:pPr>
    </w:p>
    <w:p>
      <w:pPr>
        <w:ind w:left="600" w:right="40" w:hanging="591"/>
        <w:spacing w:after="0" w:line="247" w:lineRule="auto"/>
        <w:tabs>
          <w:tab w:leader="none" w:pos="58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spacing w:after="0" w:line="199" w:lineRule="exact"/>
        <w:rPr>
          <w:rFonts w:ascii="Times New Roman" w:cs="Times New Roman" w:eastAsia="Times New Roman" w:hAnsi="Times New Roman"/>
          <w:sz w:val="22"/>
          <w:szCs w:val="22"/>
          <w:color w:val="auto"/>
        </w:rPr>
      </w:pPr>
    </w:p>
    <w:p>
      <w:pPr>
        <w:ind w:left="600" w:right="160" w:hanging="591"/>
        <w:spacing w:after="0" w:line="250" w:lineRule="auto"/>
        <w:tabs>
          <w:tab w:leader="none" w:pos="58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of Rights; Entire Agreement</w:t>
      </w:r>
      <w:r>
        <w:rPr>
          <w:rFonts w:ascii="Times New Roman" w:cs="Times New Roman" w:eastAsia="Times New Roman" w:hAnsi="Times New Roman"/>
          <w:sz w:val="22"/>
          <w:szCs w:val="22"/>
          <w:color w:val="auto"/>
        </w:rPr>
        <w:t>. The Participant’s rights under this Award and the Plan may be modified only to the extent expressly provided under this Award or under Sections 14(a) and (b) of the Plan. This Award and the Plan (and the other writings referred to herein) constitute the entire agreement between the parties with respect to the subject matter hereof and thereof and supersede all prior written or oral negotiations, commitments, representations and agreements with respect thereto.</w:t>
      </w:r>
    </w:p>
    <w:p>
      <w:pPr>
        <w:spacing w:after="0" w:line="194" w:lineRule="exact"/>
        <w:rPr>
          <w:rFonts w:ascii="Times New Roman" w:cs="Times New Roman" w:eastAsia="Times New Roman" w:hAnsi="Times New Roman"/>
          <w:sz w:val="22"/>
          <w:szCs w:val="22"/>
          <w:color w:val="auto"/>
        </w:rPr>
      </w:pPr>
    </w:p>
    <w:p>
      <w:pPr>
        <w:ind w:left="660" w:hanging="651"/>
        <w:spacing w:after="0" w:line="260" w:lineRule="auto"/>
        <w:tabs>
          <w:tab w:leader="none" w:pos="66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pacing w:after="0" w:line="311" w:lineRule="exact"/>
        <w:rPr>
          <w:sz w:val="20"/>
          <w:szCs w:val="20"/>
          <w:color w:val="auto"/>
        </w:rPr>
      </w:pPr>
    </w:p>
    <w:p>
      <w:pPr>
        <w:ind w:left="580"/>
        <w:spacing w:after="0"/>
        <w:tabs>
          <w:tab w:leader="none" w:pos="5220" w:val="left"/>
        </w:tabs>
        <w:rPr>
          <w:sz w:val="20"/>
          <w:szCs w:val="20"/>
          <w:color w:val="auto"/>
        </w:rPr>
      </w:pPr>
      <w:r>
        <w:rPr>
          <w:rFonts w:ascii="Times New Roman" w:cs="Times New Roman" w:eastAsia="Times New Roman" w:hAnsi="Times New Roman"/>
          <w:sz w:val="22"/>
          <w:szCs w:val="22"/>
          <w:color w:val="auto"/>
        </w:rPr>
        <w:t>Name: [see Certificate of Grant - Participant] Date:</w:t>
      </w:r>
      <w:r>
        <w:rPr>
          <w:sz w:val="20"/>
          <w:szCs w:val="20"/>
          <w:color w:val="auto"/>
        </w:rPr>
        <w:tab/>
      </w:r>
      <w:r>
        <w:rPr>
          <w:rFonts w:ascii="Times New Roman" w:cs="Times New Roman" w:eastAsia="Times New Roman" w:hAnsi="Times New Roman"/>
          <w:sz w:val="21"/>
          <w:szCs w:val="21"/>
          <w:color w:val="auto"/>
        </w:rPr>
        <w:t>[Acceptance Date]</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[Note: Grant will be accepted electronically.]</w:t>
      </w: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340"/>
          </w:cols>
          <w:pgMar w:left="320" w:top="122" w:right="2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22"/>
          <w:szCs w:val="22"/>
          <w:b w:val="1"/>
          <w:bCs w:val="1"/>
          <w:color w:val="auto"/>
        </w:rPr>
        <w:t>Exhibit 10.95</w:t>
      </w:r>
    </w:p>
    <w:p>
      <w:pPr>
        <w:spacing w:after="0" w:line="200" w:lineRule="exact"/>
        <w:rPr>
          <w:sz w:val="20"/>
          <w:szCs w:val="20"/>
          <w:color w:val="auto"/>
        </w:rPr>
      </w:pPr>
    </w:p>
    <w:p>
      <w:pPr>
        <w:spacing w:after="0" w:line="27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6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5"/>
          <w:szCs w:val="25"/>
          <w:b w:val="1"/>
          <w:bCs w:val="1"/>
          <w:color w:val="auto"/>
        </w:rPr>
        <w:t>DATA PROTECTION PROVISION</w:t>
      </w:r>
    </w:p>
    <w:p>
      <w:pPr>
        <w:spacing w:after="0" w:line="241" w:lineRule="exact"/>
        <w:rPr>
          <w:sz w:val="20"/>
          <w:szCs w:val="20"/>
          <w:color w:val="auto"/>
        </w:rPr>
      </w:pPr>
    </w:p>
    <w:p>
      <w:pPr>
        <w:ind w:left="1260" w:right="40" w:hanging="590"/>
        <w:spacing w:after="0" w:line="248" w:lineRule="auto"/>
        <w:tabs>
          <w:tab w:leader="none" w:pos="126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participating in the Plan or accepting any rights granted under it, the Participant consents to the collection and processing by the Company and its Affiliates of personal data relating to the Participant by the Company and its Affiliates and/or agents so that they can fulfill their obligations and exercise their rights under the Plan, issue certificates (if any), statements and communications relating to the Plan and generally administer and manage the Plan, including keeping records of participation levels from time to time. Any such processing shall be in accordance with the purposes and provisions of this data protection provision. References in this provision to the Company and its Affiliates include the Participant's employer.</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These data will include data:</w:t>
      </w:r>
    </w:p>
    <w:p>
      <w:pPr>
        <w:spacing w:after="0" w:line="193" w:lineRule="exact"/>
        <w:rPr>
          <w:sz w:val="20"/>
          <w:szCs w:val="20"/>
          <w:color w:val="auto"/>
        </w:rPr>
      </w:pPr>
    </w:p>
    <w:p>
      <w:pPr>
        <w:ind w:left="1580" w:right="400" w:hanging="5"/>
        <w:spacing w:after="0" w:line="236" w:lineRule="auto"/>
        <w:tabs>
          <w:tab w:leader="none" w:pos="216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already held in the Participant's records such as the Participant's name and address, ID number, payroll number, length of service and whether the Participant works full-time or part time;</w:t>
      </w:r>
    </w:p>
    <w:p>
      <w:pPr>
        <w:spacing w:after="0" w:line="150"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collected upon the Participant accepting the rights granted under the Plan (if applicable); and</w:t>
      </w:r>
    </w:p>
    <w:p>
      <w:pPr>
        <w:spacing w:after="0" w:line="206" w:lineRule="exact"/>
        <w:rPr>
          <w:rFonts w:ascii="Times New Roman" w:cs="Times New Roman" w:eastAsia="Times New Roman" w:hAnsi="Times New Roman"/>
          <w:sz w:val="22"/>
          <w:szCs w:val="22"/>
          <w:color w:val="auto"/>
        </w:rPr>
      </w:pPr>
    </w:p>
    <w:p>
      <w:pPr>
        <w:ind w:left="2060" w:hanging="485"/>
        <w:spacing w:after="0"/>
        <w:tabs>
          <w:tab w:leader="none" w:pos="20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subsequently collected</w:t>
      </w:r>
    </w:p>
    <w:p>
      <w:pPr>
        <w:spacing w:after="0" w:line="220" w:lineRule="exact"/>
        <w:rPr>
          <w:sz w:val="20"/>
          <w:szCs w:val="20"/>
          <w:color w:val="auto"/>
        </w:rPr>
      </w:pPr>
    </w:p>
    <w:p>
      <w:pPr>
        <w:ind w:left="1580" w:right="40"/>
        <w:spacing w:after="0" w:line="250" w:lineRule="auto"/>
        <w:rPr>
          <w:sz w:val="20"/>
          <w:szCs w:val="20"/>
          <w:color w:val="auto"/>
        </w:rPr>
      </w:pPr>
      <w:r>
        <w:rPr>
          <w:rFonts w:ascii="Times New Roman" w:cs="Times New Roman" w:eastAsia="Times New Roman" w:hAnsi="Times New Roman"/>
          <w:sz w:val="22"/>
          <w:szCs w:val="22"/>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pacing w:after="0" w:line="181" w:lineRule="exact"/>
        <w:rPr>
          <w:sz w:val="20"/>
          <w:szCs w:val="20"/>
          <w:color w:val="auto"/>
        </w:rPr>
      </w:pPr>
    </w:p>
    <w:p>
      <w:pPr>
        <w:ind w:left="1260" w:right="40" w:hanging="590"/>
        <w:spacing w:after="0" w:line="271" w:lineRule="auto"/>
        <w:tabs>
          <w:tab w:leader="none" w:pos="12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is in addition to and does not affect any previous consent provided by the Participant to the Company or its Affiliates.</w:t>
      </w:r>
    </w:p>
    <w:p>
      <w:pPr>
        <w:spacing w:after="0" w:line="157" w:lineRule="exact"/>
        <w:rPr>
          <w:rFonts w:ascii="Times New Roman" w:cs="Times New Roman" w:eastAsia="Times New Roman" w:hAnsi="Times New Roman"/>
          <w:sz w:val="22"/>
          <w:szCs w:val="22"/>
          <w:color w:val="auto"/>
        </w:rPr>
      </w:pPr>
    </w:p>
    <w:p>
      <w:pPr>
        <w:ind w:left="1260" w:right="80" w:hanging="590"/>
        <w:spacing w:after="0" w:line="235" w:lineRule="auto"/>
        <w:tabs>
          <w:tab w:leader="none" w:pos="12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particular, the Participant expressly consents to the transfer of personal data about the Participant as described in paragraph (a) above by the Company and its Affiliates and/or agents. Data may be transferred not only within the country in which the Participant is based from time to time or within the EU or the European Economic Area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(“EEA”), but also worldwide, to other employees and officers of the Company and its Affiliates and/or agents and to the following third parties for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5" w:lineRule="exact"/>
        <w:rPr>
          <w:sz w:val="20"/>
          <w:szCs w:val="20"/>
          <w:color w:val="auto"/>
        </w:rPr>
      </w:pPr>
    </w:p>
    <w:p>
      <w:pPr>
        <w:ind w:left="220" w:hanging="104"/>
        <w:spacing w:after="0"/>
        <w:tabs>
          <w:tab w:leader="none" w:pos="220" w:val="left"/>
        </w:tabs>
        <w:numPr>
          <w:ilvl w:val="0"/>
          <w:numId w:val="19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1"/>
          <w:szCs w:val="21"/>
          <w:color w:val="auto"/>
        </w:rPr>
        <w:t>The European Economic Area is composed of 27 member states of the European Union plus Iceland, Liechtenstein and Norway.</w:t>
      </w:r>
    </w:p>
    <w:p>
      <w:pPr>
        <w:spacing w:after="0" w:line="181" w:lineRule="exact"/>
        <w:rPr>
          <w:rFonts w:ascii="Times New Roman" w:cs="Times New Roman" w:eastAsia="Times New Roman" w:hAnsi="Times New Roman"/>
          <w:sz w:val="28"/>
          <w:szCs w:val="28"/>
          <w:color w:val="auto"/>
          <w:vertAlign w:val="superscript"/>
        </w:rPr>
      </w:pPr>
    </w:p>
    <w:p>
      <w:pPr>
        <w:ind w:left="5660"/>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color w:val="auto"/>
        </w:rPr>
        <w:t>7</w:t>
      </w:r>
    </w:p>
    <w:p>
      <w:pPr>
        <w:sectPr>
          <w:pgSz w:w="11900" w:h="16838" w:orient="portrait"/>
          <w:cols w:equalWidth="0" w:num="1">
            <w:col w:w="11420"/>
          </w:cols>
          <w:pgMar w:left="240" w:top="122" w:right="2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2"/>
          <w:szCs w:val="22"/>
          <w:b w:val="1"/>
          <w:bCs w:val="1"/>
          <w:color w:val="auto"/>
        </w:rPr>
        <w:t>Exhibit 10.95</w:t>
      </w:r>
    </w:p>
    <w:p>
      <w:pPr>
        <w:spacing w:after="0" w:line="200" w:lineRule="exact"/>
        <w:rPr>
          <w:sz w:val="20"/>
          <w:szCs w:val="20"/>
          <w:color w:val="auto"/>
        </w:rPr>
      </w:pPr>
    </w:p>
    <w:p>
      <w:pPr>
        <w:spacing w:after="0" w:line="3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purposes described in paragraph (a) above:</w:t>
      </w:r>
    </w:p>
    <w:p>
      <w:pPr>
        <w:spacing w:after="0" w:line="193" w:lineRule="exact"/>
        <w:rPr>
          <w:sz w:val="20"/>
          <w:szCs w:val="20"/>
          <w:color w:val="auto"/>
        </w:rPr>
      </w:pPr>
    </w:p>
    <w:p>
      <w:pPr>
        <w:ind w:left="1460" w:right="140" w:firstLine="8"/>
        <w:spacing w:after="0" w:line="226" w:lineRule="auto"/>
        <w:tabs>
          <w:tab w:leader="none" w:pos="205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149" w:lineRule="exact"/>
        <w:rPr>
          <w:rFonts w:ascii="Times New Roman" w:cs="Times New Roman" w:eastAsia="Times New Roman" w:hAnsi="Times New Roman"/>
          <w:sz w:val="22"/>
          <w:szCs w:val="22"/>
          <w:color w:val="auto"/>
        </w:rPr>
      </w:pPr>
    </w:p>
    <w:p>
      <w:pPr>
        <w:ind w:left="1460" w:right="100" w:firstLine="8"/>
        <w:spacing w:after="0" w:line="236" w:lineRule="auto"/>
        <w:tabs>
          <w:tab w:leader="none" w:pos="211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regulators, tax authorities, stock or security exchanges and other supervisory, regulatory, governmental or public bodies as required by law;</w:t>
      </w:r>
    </w:p>
    <w:p>
      <w:pPr>
        <w:spacing w:after="0" w:line="150" w:lineRule="exact"/>
        <w:rPr>
          <w:rFonts w:ascii="Times New Roman" w:cs="Times New Roman" w:eastAsia="Times New Roman" w:hAnsi="Times New Roman"/>
          <w:sz w:val="22"/>
          <w:szCs w:val="22"/>
          <w:color w:val="auto"/>
        </w:rPr>
      </w:pPr>
    </w:p>
    <w:p>
      <w:pPr>
        <w:jc w:val="both"/>
        <w:ind w:left="1460" w:firstLine="8"/>
        <w:spacing w:after="0" w:line="230" w:lineRule="auto"/>
        <w:tabs>
          <w:tab w:leader="none" w:pos="212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actual or proposed merger or acquisition partners or proposed assignees of, or those taking or proposing to take security over, the business or assets or stock of the Company or its Affiliates and their agents and contractors;</w:t>
      </w:r>
    </w:p>
    <w:p>
      <w:pPr>
        <w:spacing w:after="0" w:line="150" w:lineRule="exact"/>
        <w:rPr>
          <w:rFonts w:ascii="Times New Roman" w:cs="Times New Roman" w:eastAsia="Times New Roman" w:hAnsi="Times New Roman"/>
          <w:sz w:val="18"/>
          <w:szCs w:val="18"/>
          <w:color w:val="auto"/>
        </w:rPr>
      </w:pPr>
    </w:p>
    <w:p>
      <w:pPr>
        <w:ind w:left="1460" w:right="20" w:firstLine="8"/>
        <w:spacing w:after="0" w:line="226" w:lineRule="auto"/>
        <w:tabs>
          <w:tab w:leader="none" w:pos="216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149" w:lineRule="exact"/>
        <w:rPr>
          <w:rFonts w:ascii="Times New Roman" w:cs="Times New Roman" w:eastAsia="Times New Roman" w:hAnsi="Times New Roman"/>
          <w:sz w:val="22"/>
          <w:szCs w:val="22"/>
          <w:color w:val="auto"/>
        </w:rPr>
      </w:pPr>
    </w:p>
    <w:p>
      <w:pPr>
        <w:ind w:left="1460" w:right="180" w:firstLine="8"/>
        <w:spacing w:after="0" w:line="236" w:lineRule="auto"/>
        <w:tabs>
          <w:tab w:leader="none" w:pos="210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family members, physicians, heirs, legatees and others associated with the Participant in connection with the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all countries, where the personal data may be transferred to, have an equal level of data protection as in the EU or EEA.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Countries to which data are transferred include the USA and Bermuda.</w:t>
      </w:r>
    </w:p>
    <w:p>
      <w:pPr>
        <w:spacing w:after="0" w:line="196"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All national and international transfer of personal data is only done in order to fulfill the obligations and rights of the Company and/or its Affiliates under the Plan.</w:t>
      </w:r>
    </w:p>
    <w:p>
      <w:pPr>
        <w:spacing w:after="0" w:line="15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2"/>
          <w:szCs w:val="22"/>
          <w:color w:val="auto"/>
        </w:rPr>
        <w:t>The Participant may access, modify, correct or withdraw consent to process most Personal Information about the Participant by contacting the local data protection officer in the country in which the Participant is based. Please note, however, that certain Personal Information about the Participant may be exempt from such access, correction, objection, suppression or deletion rights pursuant to applicable data protection laws, if the Participant has a complaint regarding the manner in which personal information relating to the Participant is dealt with, the Participant should contact the appropriate local data protection officer referred to above.</w:t>
      </w:r>
    </w:p>
    <w:p>
      <w:pPr>
        <w:spacing w:after="0" w:line="181" w:lineRule="exact"/>
        <w:rPr>
          <w:sz w:val="20"/>
          <w:szCs w:val="20"/>
          <w:color w:val="auto"/>
        </w:rPr>
      </w:pPr>
    </w:p>
    <w:p>
      <w:pPr>
        <w:jc w:val="both"/>
        <w:ind w:left="1140" w:right="340" w:hanging="564"/>
        <w:spacing w:after="0" w:line="275" w:lineRule="auto"/>
        <w:tabs>
          <w:tab w:leader="none" w:pos="114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processing (including transfer) of data described above is essential for the administration and operation of the Plan. Therefore, in cases where the Participant wishes to participate in the Plan, it is essential that his/her personal data are processed in the manner described above. At any time the Participant may withdraw his or her consent.</w:t>
      </w:r>
    </w:p>
    <w:p>
      <w:pPr>
        <w:spacing w:after="0" w:line="21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5"/>
          <w:szCs w:val="25"/>
          <w:b w:val="1"/>
          <w:bCs w:val="1"/>
          <w:color w:val="auto"/>
        </w:rPr>
        <w:t>DATA PROTECTION PROVISION</w:t>
      </w:r>
    </w:p>
    <w:p>
      <w:pPr>
        <w:spacing w:after="0" w:line="308" w:lineRule="exact"/>
        <w:rPr>
          <w:sz w:val="20"/>
          <w:szCs w:val="20"/>
          <w:color w:val="auto"/>
        </w:rPr>
      </w:pPr>
    </w:p>
    <w:p>
      <w:pPr>
        <w:ind w:left="1180" w:right="40" w:hanging="577"/>
        <w:spacing w:after="0" w:line="248" w:lineRule="auto"/>
        <w:tabs>
          <w:tab w:leader="none" w:pos="118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participating in the Plan or accepting any rights granted under it, the Participant consents to the collection and processing by the Company and its Affiliates of personal data relating to the Participant by the Company and its Affiliates and/or agents so that they can fulfill their obligations and exercise their rights under the Plan, issue certificates (if any), statements and communications relating to the Plan and generally administer and manage the Plan, including keeping records of participation levels from time to time. Any such processing shall be in accordance with the purposes and provisions of this data protection provision. References in this provision to the Company and its Affiliates include the Participant's employer.</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These data will include data:</w:t>
      </w:r>
    </w:p>
    <w:p>
      <w:pPr>
        <w:spacing w:after="0" w:line="260" w:lineRule="exact"/>
        <w:rPr>
          <w:sz w:val="20"/>
          <w:szCs w:val="20"/>
          <w:color w:val="auto"/>
        </w:rPr>
      </w:pPr>
    </w:p>
    <w:p>
      <w:pPr>
        <w:ind w:left="1500" w:right="580" w:hanging="5"/>
        <w:spacing w:after="0" w:line="284" w:lineRule="auto"/>
        <w:tabs>
          <w:tab w:leader="none" w:pos="188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already held in the Participant's records such as the Participant's name and address, ID number, payroll number, length of service and whether the Participant works full-time or part time;</w:t>
      </w:r>
    </w:p>
    <w:p>
      <w:pPr>
        <w:spacing w:after="0" w:line="157" w:lineRule="exact"/>
        <w:rPr>
          <w:rFonts w:ascii="Times New Roman" w:cs="Times New Roman" w:eastAsia="Times New Roman" w:hAnsi="Times New Roman"/>
          <w:sz w:val="22"/>
          <w:szCs w:val="22"/>
          <w:color w:val="auto"/>
        </w:rPr>
      </w:pPr>
    </w:p>
    <w:p>
      <w:pPr>
        <w:ind w:left="1940" w:hanging="445"/>
        <w:spacing w:after="0"/>
        <w:tabs>
          <w:tab w:leader="none" w:pos="194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collected upon the Participant accepting the rights granted under the Plan (if applicable); and</w:t>
      </w:r>
    </w:p>
    <w:p>
      <w:pPr>
        <w:spacing w:after="0" w:line="246" w:lineRule="exact"/>
        <w:rPr>
          <w:rFonts w:ascii="Times New Roman" w:cs="Times New Roman" w:eastAsia="Times New Roman" w:hAnsi="Times New Roman"/>
          <w:sz w:val="22"/>
          <w:szCs w:val="22"/>
          <w:color w:val="auto"/>
        </w:rPr>
      </w:pPr>
    </w:p>
    <w:p>
      <w:pPr>
        <w:ind w:left="1980" w:hanging="485"/>
        <w:spacing w:after="0"/>
        <w:tabs>
          <w:tab w:leader="none" w:pos="198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subsequently collected</w:t>
      </w:r>
    </w:p>
    <w:p>
      <w:pPr>
        <w:spacing w:after="0" w:line="233" w:lineRule="exact"/>
        <w:rPr>
          <w:sz w:val="20"/>
          <w:szCs w:val="20"/>
          <w:color w:val="auto"/>
        </w:rPr>
      </w:pPr>
    </w:p>
    <w:p>
      <w:pPr>
        <w:ind w:left="1500" w:right="40"/>
        <w:spacing w:after="0" w:line="250" w:lineRule="auto"/>
        <w:rPr>
          <w:sz w:val="20"/>
          <w:szCs w:val="20"/>
          <w:color w:val="auto"/>
        </w:rPr>
      </w:pPr>
      <w:r>
        <w:rPr>
          <w:rFonts w:ascii="Times New Roman" w:cs="Times New Roman" w:eastAsia="Times New Roman" w:hAnsi="Times New Roman"/>
          <w:sz w:val="22"/>
          <w:szCs w:val="22"/>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ectPr>
          <w:pgSz w:w="11900" w:h="16838" w:orient="portrait"/>
          <w:cols w:equalWidth="0" w:num="1">
            <w:col w:w="11340"/>
          </w:cols>
          <w:pgMar w:left="320" w:top="122" w:right="239" w:bottom="15" w:gutter="0" w:footer="0" w:header="0"/>
        </w:sectPr>
      </w:pPr>
    </w:p>
    <w:bookmarkStart w:id="211" w:name="page212"/>
    <w:bookmarkEnd w:id="211"/>
    <w:p>
      <w:pPr>
        <w:ind w:left="1180" w:right="40" w:hanging="577"/>
        <w:spacing w:after="0" w:line="271" w:lineRule="auto"/>
        <w:tabs>
          <w:tab w:leader="none" w:pos="11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is in addition to and does not affect any previous consent provided by the Participant to the Company or its Affiliates.</w:t>
      </w:r>
    </w:p>
    <w:p>
      <w:pPr>
        <w:spacing w:after="0" w:line="157" w:lineRule="exact"/>
        <w:rPr>
          <w:rFonts w:ascii="Times New Roman" w:cs="Times New Roman" w:eastAsia="Times New Roman" w:hAnsi="Times New Roman"/>
          <w:sz w:val="22"/>
          <w:szCs w:val="22"/>
          <w:color w:val="auto"/>
        </w:rPr>
      </w:pPr>
    </w:p>
    <w:p>
      <w:pPr>
        <w:ind w:left="1180" w:right="80" w:hanging="577"/>
        <w:spacing w:after="0" w:line="256" w:lineRule="auto"/>
        <w:tabs>
          <w:tab w:leader="none" w:pos="11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particular, the Participant expressly consents to the transfer of personal data about the Participant as described in paragraph (a) above by the Company and its Affiliates and/or agents. Data may be transferred not only within the country in which the Participant is based from time to time or within the EU or the European Economic Area</w:t>
      </w:r>
      <w:r>
        <w:rPr>
          <w:rFonts w:ascii="Times New Roman" w:cs="Times New Roman" w:eastAsia="Times New Roman" w:hAnsi="Times New Roman"/>
          <w:sz w:val="14"/>
          <w:szCs w:val="14"/>
          <w:color w:val="auto"/>
        </w:rPr>
        <w:t>1</w:t>
      </w:r>
      <w:r>
        <w:rPr>
          <w:rFonts w:ascii="Times New Roman" w:cs="Times New Roman" w:eastAsia="Times New Roman" w:hAnsi="Times New Roman"/>
          <w:sz w:val="22"/>
          <w:szCs w:val="22"/>
          <w:color w:val="auto"/>
        </w:rPr>
        <w:t xml:space="preserve"> (“EEA”), but also worldwide, to other employees and officers of the Company and its Affiliates and/or agents and to the following third parties for</w:t>
      </w: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21"/>
          <w:szCs w:val="21"/>
          <w:color w:val="auto"/>
        </w:rPr>
        <w:t>The European Economic Area is composed of 27 member states of the European Union plus Iceland, Liechtenstein and Norway.</w:t>
      </w:r>
    </w:p>
    <w:p>
      <w:pPr>
        <w:spacing w:after="0" w:line="3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purposes described in paragraph (a) above:</w:t>
      </w:r>
    </w:p>
    <w:p>
      <w:pPr>
        <w:spacing w:after="0" w:line="233" w:lineRule="exact"/>
        <w:rPr>
          <w:sz w:val="20"/>
          <w:szCs w:val="20"/>
          <w:color w:val="auto"/>
        </w:rPr>
      </w:pPr>
    </w:p>
    <w:p>
      <w:pPr>
        <w:ind w:left="1460" w:right="140" w:firstLine="8"/>
        <w:spacing w:after="0" w:line="263" w:lineRule="auto"/>
        <w:tabs>
          <w:tab w:leader="none" w:pos="184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181" w:lineRule="exact"/>
        <w:rPr>
          <w:rFonts w:ascii="Times New Roman" w:cs="Times New Roman" w:eastAsia="Times New Roman" w:hAnsi="Times New Roman"/>
          <w:sz w:val="22"/>
          <w:szCs w:val="22"/>
          <w:color w:val="auto"/>
        </w:rPr>
      </w:pPr>
    </w:p>
    <w:p>
      <w:pPr>
        <w:ind w:left="1460" w:right="320" w:firstLine="8"/>
        <w:spacing w:after="0" w:line="284" w:lineRule="auto"/>
        <w:tabs>
          <w:tab w:leader="none" w:pos="190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regulators, tax authorities, stock or security exchanges and other supervisory, regulatory, governmental or public bodies as required by law;</w:t>
      </w:r>
    </w:p>
    <w:p>
      <w:pPr>
        <w:spacing w:after="0" w:line="157" w:lineRule="exact"/>
        <w:rPr>
          <w:rFonts w:ascii="Times New Roman" w:cs="Times New Roman" w:eastAsia="Times New Roman" w:hAnsi="Times New Roman"/>
          <w:sz w:val="22"/>
          <w:szCs w:val="22"/>
          <w:color w:val="auto"/>
        </w:rPr>
      </w:pPr>
    </w:p>
    <w:p>
      <w:pPr>
        <w:jc w:val="both"/>
        <w:ind w:left="1460" w:firstLine="8"/>
        <w:spacing w:after="0" w:line="263" w:lineRule="auto"/>
        <w:tabs>
          <w:tab w:leader="none" w:pos="199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proposed merger or acquisition partners or proposed assignees of, or those taking or proposing to take security over, the business or assets or stock of the Company or its Affiliates and their agents and contractors;</w:t>
      </w:r>
    </w:p>
    <w:p>
      <w:pPr>
        <w:spacing w:after="0" w:line="181" w:lineRule="exact"/>
        <w:rPr>
          <w:rFonts w:ascii="Times New Roman" w:cs="Times New Roman" w:eastAsia="Times New Roman" w:hAnsi="Times New Roman"/>
          <w:sz w:val="22"/>
          <w:szCs w:val="22"/>
          <w:color w:val="auto"/>
        </w:rPr>
      </w:pPr>
    </w:p>
    <w:p>
      <w:pPr>
        <w:jc w:val="both"/>
        <w:ind w:left="1460" w:right="120" w:firstLine="8"/>
        <w:spacing w:after="0" w:line="263" w:lineRule="auto"/>
        <w:tabs>
          <w:tab w:leader="none" w:pos="1952"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181" w:lineRule="exact"/>
        <w:rPr>
          <w:rFonts w:ascii="Times New Roman" w:cs="Times New Roman" w:eastAsia="Times New Roman" w:hAnsi="Times New Roman"/>
          <w:sz w:val="22"/>
          <w:szCs w:val="22"/>
          <w:color w:val="auto"/>
        </w:rPr>
      </w:pPr>
    </w:p>
    <w:p>
      <w:pPr>
        <w:ind w:left="1460" w:right="380" w:firstLine="8"/>
        <w:spacing w:after="0" w:line="284" w:lineRule="auto"/>
        <w:tabs>
          <w:tab w:leader="none" w:pos="1892"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family members, physicians, heirs, legatees and others associated with the Participant in connection with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all countries, where the personal data may be transferred to, have an equal level of data protection as in the EU or EEA.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Countries to which data are transferred include the USA and Bermuda.</w:t>
      </w:r>
    </w:p>
    <w:p>
      <w:pPr>
        <w:spacing w:after="0" w:line="236"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All national and international transfer of personal data is only done in order to fulfill the obligations and rights of the Company and/or its Affiliates under the Plan.</w:t>
      </w:r>
    </w:p>
    <w:p>
      <w:pPr>
        <w:spacing w:after="0" w:line="19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2"/>
          <w:szCs w:val="22"/>
          <w:color w:val="auto"/>
        </w:rPr>
        <w:t>The Participant may access, modify, correct or withdraw consent to process most Personal Information about the Participant by contacting the local data protection officer in the country in which the Participant is based. Please note, however, that certain Personal Information about the Participant may be exempt from such access, correction, objection, suppression or deletion rights pursuant to applicable data protection laws, if the Participant has a complaint regarding the manner in which personal information relating to the Participant is dealt with, the Participant should contact the appropriate local data protection officer referred to above.</w:t>
      </w:r>
    </w:p>
    <w:p>
      <w:pPr>
        <w:spacing w:after="0" w:line="221" w:lineRule="exact"/>
        <w:rPr>
          <w:sz w:val="20"/>
          <w:szCs w:val="20"/>
          <w:color w:val="auto"/>
        </w:rPr>
      </w:pPr>
    </w:p>
    <w:p>
      <w:pPr>
        <w:jc w:val="both"/>
        <w:ind w:left="1140" w:right="340" w:hanging="550"/>
        <w:spacing w:after="0" w:line="275" w:lineRule="auto"/>
        <w:tabs>
          <w:tab w:leader="none" w:pos="114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processing (including transfer) of data described above is essential for the administration and operation of the Plan. Therefore, in cases where the Participant wishes to participate in the Plan, it is essential that his/her personal data are processed in the manner described above. At any time the Participant may withdraw his or her consent.</w:t>
      </w:r>
    </w:p>
    <w:p>
      <w:pPr>
        <w:spacing w:after="0" w:line="1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340"/>
          </w:cols>
          <w:pgMar w:left="320" w:top="125" w:right="239" w:bottom="1440" w:gutter="0" w:footer="0" w:header="0"/>
        </w:sectPr>
      </w:pPr>
    </w:p>
    <w:bookmarkStart w:id="212" w:name="page213"/>
    <w:bookmarkEnd w:id="212"/>
    <w:p>
      <w:pPr>
        <w:ind w:left="10200"/>
        <w:spacing w:after="0"/>
        <w:rPr>
          <w:sz w:val="20"/>
          <w:szCs w:val="20"/>
          <w:color w:val="auto"/>
        </w:rPr>
      </w:pPr>
      <w:r>
        <w:rPr>
          <w:rFonts w:ascii="Times New Roman" w:cs="Times New Roman" w:eastAsia="Times New Roman" w:hAnsi="Times New Roman"/>
          <w:sz w:val="21"/>
          <w:szCs w:val="21"/>
          <w:b w:val="1"/>
          <w:bCs w:val="1"/>
          <w:color w:val="auto"/>
        </w:rPr>
        <w:t>Exhibit 10.96</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Form of Schedule I</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Performance Condition (PSU)</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Fiscal Years [ ] ([ ] through [ ])</w:t>
      </w:r>
    </w:p>
    <w:p>
      <w:pPr>
        <w:spacing w:after="0" w:line="224"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22"/>
          <w:szCs w:val="22"/>
          <w:color w:val="auto"/>
        </w:rPr>
        <w:t>A number of PSUs equal to a percentage of the Target Number of PSUs set forth on the Certificate of Grant will become Earned PSUs on the Determination Date based on the level of achievement of actual Adjusted Revenue Growth, actual Adjusted Operating Income Growth, actual ROIC and actual Relative TSR Percentile during the Performance Period as set forth in the tables below with [ ]% of the Target Number of PSUs to be determined by achievement of actual Adjusted Revenue Growth, [ ]% to be determined by achievement of actual Adjusted Operating Income Growth and [ ]% to be determined by achievement of actual ROIC, subject, in each case to the TSR Multiplier as described below. Achievement of actual Adjusted Revenue Growth, actual Adjusted Operating Income growth, actual ROIC and/or actual Relative TSR Percentile in between the performance levels set forth in the tables below will be pro-rated based on linear interpolation. The total number of Earned PSUs hereunder, if any, will be the product of (x) the TSR Multiplier and (y) the sum of (i) the applicable percentage of the Target Number of PSUs earned based on actual Adjusted Revenue Growth, (ii) the applicable percentage of the Target Number of PSUs earned based on actual Adjusted Operating Income Growth and (iii) the applicable percentage of the Target Number of PSUs earned based on actual ROIC, in each case, as set forth on the tables below: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Cumulative Target - Adjusted Revenue Growth</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100" w:type="dxa"/>
            <w:vAlign w:val="bottom"/>
            <w:tcBorders>
              <w:right w:val="single" w:sz="8" w:color="auto"/>
            </w:tcBorders>
          </w:tcPr>
          <w:p>
            <w:pPr>
              <w:spacing w:after="0"/>
              <w:rPr>
                <w:sz w:val="24"/>
                <w:szCs w:val="24"/>
                <w:color w:val="auto"/>
              </w:rPr>
            </w:pPr>
          </w:p>
        </w:tc>
        <w:tc>
          <w:tcPr>
            <w:tcW w:w="568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Actual Adjusted Revenue Growth</w:t>
            </w:r>
          </w:p>
        </w:tc>
        <w:tc>
          <w:tcPr>
            <w:tcW w:w="5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 ]% of</w:t>
            </w:r>
          </w:p>
        </w:tc>
        <w:tc>
          <w:tcPr>
            <w:tcW w:w="0" w:type="dxa"/>
            <w:vAlign w:val="bottom"/>
          </w:tcPr>
          <w:p>
            <w:pPr>
              <w:spacing w:after="0"/>
              <w:rPr>
                <w:sz w:val="1"/>
                <w:szCs w:val="1"/>
                <w:color w:val="auto"/>
              </w:rPr>
            </w:pPr>
          </w:p>
        </w:tc>
      </w:tr>
      <w:tr>
        <w:trPr>
          <w:trHeight w:val="287"/>
        </w:trPr>
        <w:tc>
          <w:tcPr>
            <w:tcW w:w="100" w:type="dxa"/>
            <w:vAlign w:val="bottom"/>
            <w:tcBorders>
              <w:right w:val="single" w:sz="8" w:color="auto"/>
            </w:tcBorders>
          </w:tcPr>
          <w:p>
            <w:pPr>
              <w:spacing w:after="0"/>
              <w:rPr>
                <w:sz w:val="24"/>
                <w:szCs w:val="24"/>
                <w:color w:val="auto"/>
              </w:rPr>
            </w:pPr>
          </w:p>
        </w:tc>
        <w:tc>
          <w:tcPr>
            <w:tcW w:w="56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Level</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Target Number of PSUs Earned</w:t>
            </w:r>
          </w:p>
        </w:tc>
        <w:tc>
          <w:tcPr>
            <w:tcW w:w="0" w:type="dxa"/>
            <w:vAlign w:val="bottom"/>
          </w:tcPr>
          <w:p>
            <w:pPr>
              <w:spacing w:after="0"/>
              <w:rPr>
                <w:sz w:val="1"/>
                <w:szCs w:val="1"/>
                <w:color w:val="auto"/>
              </w:rPr>
            </w:pPr>
          </w:p>
        </w:tc>
      </w:tr>
      <w:tr>
        <w:trPr>
          <w:trHeight w:val="135"/>
        </w:trPr>
        <w:tc>
          <w:tcPr>
            <w:tcW w:w="100" w:type="dxa"/>
            <w:vAlign w:val="bottom"/>
            <w:tcBorders>
              <w:right w:val="single" w:sz="8" w:color="auto"/>
            </w:tcBorders>
          </w:tcPr>
          <w:p>
            <w:pPr>
              <w:spacing w:after="0"/>
              <w:rPr>
                <w:sz w:val="11"/>
                <w:szCs w:val="11"/>
                <w:color w:val="auto"/>
              </w:rPr>
            </w:pPr>
          </w:p>
        </w:tc>
        <w:tc>
          <w:tcPr>
            <w:tcW w:w="5680" w:type="dxa"/>
            <w:vAlign w:val="bottom"/>
            <w:tcBorders>
              <w:right w:val="single" w:sz="8" w:color="auto"/>
            </w:tcBorders>
            <w:gridSpan w:val="2"/>
            <w:vMerge w:val="continue"/>
          </w:tcPr>
          <w:p>
            <w:pPr>
              <w:spacing w:after="0"/>
              <w:rPr>
                <w:sz w:val="11"/>
                <w:szCs w:val="11"/>
                <w:color w:val="auto"/>
              </w:rPr>
            </w:pPr>
          </w:p>
        </w:tc>
        <w:tc>
          <w:tcPr>
            <w:tcW w:w="5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(Adjusted Revenue Component), Subject to TSR</w:t>
            </w:r>
          </w:p>
        </w:tc>
        <w:tc>
          <w:tcPr>
            <w:tcW w:w="0" w:type="dxa"/>
            <w:vAlign w:val="bottom"/>
          </w:tcPr>
          <w:p>
            <w:pPr>
              <w:spacing w:after="0"/>
              <w:rPr>
                <w:sz w:val="1"/>
                <w:szCs w:val="1"/>
                <w:color w:val="auto"/>
              </w:rPr>
            </w:pPr>
          </w:p>
        </w:tc>
      </w:tr>
      <w:tr>
        <w:trPr>
          <w:trHeight w:val="200"/>
        </w:trPr>
        <w:tc>
          <w:tcPr>
            <w:tcW w:w="100" w:type="dxa"/>
            <w:vAlign w:val="bottom"/>
            <w:tcBorders>
              <w:right w:val="single" w:sz="8" w:color="auto"/>
            </w:tcBorders>
          </w:tcPr>
          <w:p>
            <w:pPr>
              <w:spacing w:after="0"/>
              <w:rPr>
                <w:sz w:val="17"/>
                <w:szCs w:val="17"/>
                <w:color w:val="auto"/>
              </w:rPr>
            </w:pPr>
          </w:p>
        </w:tc>
        <w:tc>
          <w:tcPr>
            <w:tcW w:w="51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100" w:type="dxa"/>
            <w:vAlign w:val="bottom"/>
            <w:tcBorders>
              <w:right w:val="single" w:sz="8" w:color="auto"/>
            </w:tcBorders>
          </w:tcPr>
          <w:p>
            <w:pPr>
              <w:spacing w:after="0"/>
              <w:rPr>
                <w:sz w:val="24"/>
                <w:szCs w:val="24"/>
                <w:color w:val="auto"/>
              </w:rPr>
            </w:pPr>
          </w:p>
        </w:tc>
        <w:tc>
          <w:tcPr>
            <w:tcW w:w="518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Multiplier</w:t>
            </w:r>
          </w:p>
        </w:tc>
        <w:tc>
          <w:tcPr>
            <w:tcW w:w="0" w:type="dxa"/>
            <w:vAlign w:val="bottom"/>
          </w:tcPr>
          <w:p>
            <w:pPr>
              <w:spacing w:after="0"/>
              <w:rPr>
                <w:sz w:val="1"/>
                <w:szCs w:val="1"/>
                <w:color w:val="auto"/>
              </w:rPr>
            </w:pPr>
          </w:p>
        </w:tc>
      </w:tr>
      <w:tr>
        <w:trPr>
          <w:trHeight w:val="83"/>
        </w:trPr>
        <w:tc>
          <w:tcPr>
            <w:tcW w:w="100" w:type="dxa"/>
            <w:vAlign w:val="bottom"/>
            <w:tcBorders>
              <w:right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100" w:type="dxa"/>
            <w:vAlign w:val="bottom"/>
            <w:tcBorders>
              <w:right w:val="single" w:sz="8" w:color="auto"/>
            </w:tcBorders>
          </w:tcPr>
          <w:p>
            <w:pPr>
              <w:spacing w:after="0"/>
              <w:rPr>
                <w:sz w:val="24"/>
                <w:szCs w:val="24"/>
                <w:color w:val="auto"/>
              </w:rPr>
            </w:pPr>
          </w:p>
        </w:tc>
        <w:tc>
          <w:tcPr>
            <w:tcW w:w="5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less than %</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23"/>
        </w:trPr>
        <w:tc>
          <w:tcPr>
            <w:tcW w:w="100" w:type="dxa"/>
            <w:vAlign w:val="bottom"/>
            <w:tcBorders>
              <w:right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5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100" w:type="dxa"/>
            <w:vAlign w:val="bottom"/>
            <w:tcBorders>
              <w:right w:val="single" w:sz="8" w:color="auto"/>
            </w:tcBorders>
          </w:tcPr>
          <w:p>
            <w:pPr>
              <w:spacing w:after="0"/>
              <w:rPr>
                <w:sz w:val="24"/>
                <w:szCs w:val="24"/>
                <w:color w:val="auto"/>
              </w:rPr>
            </w:pPr>
          </w:p>
        </w:tc>
        <w:tc>
          <w:tcPr>
            <w:tcW w:w="5180" w:type="dxa"/>
            <w:vAlign w:val="bottom"/>
          </w:tcPr>
          <w:p>
            <w:pPr>
              <w:jc w:val="center"/>
              <w:ind w:left="412"/>
              <w:spacing w:after="0"/>
              <w:rPr>
                <w:sz w:val="20"/>
                <w:szCs w:val="20"/>
                <w:color w:val="auto"/>
              </w:rPr>
            </w:pPr>
            <w:r>
              <w:rPr>
                <w:rFonts w:ascii="Times New Roman" w:cs="Times New Roman" w:eastAsia="Times New Roman" w:hAnsi="Times New Roman"/>
                <w:sz w:val="22"/>
                <w:szCs w:val="22"/>
                <w:color w:val="auto"/>
                <w:w w:val="97"/>
              </w:rPr>
              <w:t>%</w:t>
            </w:r>
          </w:p>
        </w:tc>
        <w:tc>
          <w:tcPr>
            <w:tcW w:w="500" w:type="dxa"/>
            <w:vAlign w:val="bottom"/>
            <w:tcBorders>
              <w:right w:val="single" w:sz="8" w:color="auto"/>
            </w:tcBorders>
          </w:tcPr>
          <w:p>
            <w:pPr>
              <w:spacing w:after="0"/>
              <w:rPr>
                <w:sz w:val="24"/>
                <w:szCs w:val="24"/>
                <w:color w:val="auto"/>
              </w:rPr>
            </w:pP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50%</w:t>
            </w:r>
          </w:p>
        </w:tc>
        <w:tc>
          <w:tcPr>
            <w:tcW w:w="0" w:type="dxa"/>
            <w:vAlign w:val="bottom"/>
          </w:tcPr>
          <w:p>
            <w:pPr>
              <w:spacing w:after="0"/>
              <w:rPr>
                <w:sz w:val="1"/>
                <w:szCs w:val="1"/>
                <w:color w:val="auto"/>
              </w:rPr>
            </w:pPr>
          </w:p>
        </w:tc>
      </w:tr>
      <w:tr>
        <w:trPr>
          <w:trHeight w:val="123"/>
        </w:trPr>
        <w:tc>
          <w:tcPr>
            <w:tcW w:w="100" w:type="dxa"/>
            <w:vAlign w:val="bottom"/>
            <w:tcBorders>
              <w:right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5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100" w:type="dxa"/>
            <w:vAlign w:val="bottom"/>
            <w:tcBorders>
              <w:right w:val="single" w:sz="8" w:color="auto"/>
            </w:tcBorders>
          </w:tcPr>
          <w:p>
            <w:pPr>
              <w:spacing w:after="0"/>
              <w:rPr>
                <w:sz w:val="24"/>
                <w:szCs w:val="24"/>
                <w:color w:val="auto"/>
              </w:rPr>
            </w:pPr>
          </w:p>
        </w:tc>
        <w:tc>
          <w:tcPr>
            <w:tcW w:w="5180" w:type="dxa"/>
            <w:vAlign w:val="bottom"/>
          </w:tcPr>
          <w:p>
            <w:pPr>
              <w:jc w:val="center"/>
              <w:ind w:left="412"/>
              <w:spacing w:after="0"/>
              <w:rPr>
                <w:sz w:val="20"/>
                <w:szCs w:val="20"/>
                <w:color w:val="auto"/>
              </w:rPr>
            </w:pPr>
            <w:r>
              <w:rPr>
                <w:rFonts w:ascii="Times New Roman" w:cs="Times New Roman" w:eastAsia="Times New Roman" w:hAnsi="Times New Roman"/>
                <w:sz w:val="22"/>
                <w:szCs w:val="22"/>
                <w:color w:val="auto"/>
                <w:w w:val="97"/>
              </w:rPr>
              <w:t>%</w:t>
            </w:r>
          </w:p>
        </w:tc>
        <w:tc>
          <w:tcPr>
            <w:tcW w:w="500" w:type="dxa"/>
            <w:vAlign w:val="bottom"/>
            <w:tcBorders>
              <w:right w:val="single" w:sz="8" w:color="auto"/>
            </w:tcBorders>
          </w:tcPr>
          <w:p>
            <w:pPr>
              <w:spacing w:after="0"/>
              <w:rPr>
                <w:sz w:val="24"/>
                <w:szCs w:val="24"/>
                <w:color w:val="auto"/>
              </w:rPr>
            </w:pP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0" w:type="dxa"/>
            <w:vAlign w:val="bottom"/>
          </w:tcPr>
          <w:p>
            <w:pPr>
              <w:spacing w:after="0"/>
              <w:rPr>
                <w:sz w:val="1"/>
                <w:szCs w:val="1"/>
                <w:color w:val="auto"/>
              </w:rPr>
            </w:pPr>
          </w:p>
        </w:tc>
      </w:tr>
      <w:tr>
        <w:trPr>
          <w:trHeight w:val="123"/>
        </w:trPr>
        <w:tc>
          <w:tcPr>
            <w:tcW w:w="100" w:type="dxa"/>
            <w:vAlign w:val="bottom"/>
            <w:tcBorders>
              <w:right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5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100" w:type="dxa"/>
            <w:vAlign w:val="bottom"/>
            <w:tcBorders>
              <w:right w:val="single" w:sz="8" w:color="auto"/>
            </w:tcBorders>
          </w:tcPr>
          <w:p>
            <w:pPr>
              <w:spacing w:after="0"/>
              <w:rPr>
                <w:sz w:val="24"/>
                <w:szCs w:val="24"/>
                <w:color w:val="auto"/>
              </w:rPr>
            </w:pPr>
          </w:p>
        </w:tc>
        <w:tc>
          <w:tcPr>
            <w:tcW w:w="5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 or greater</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c>
          <w:tcPr>
            <w:tcW w:w="0" w:type="dxa"/>
            <w:vAlign w:val="bottom"/>
          </w:tcPr>
          <w:p>
            <w:pPr>
              <w:spacing w:after="0"/>
              <w:rPr>
                <w:sz w:val="1"/>
                <w:szCs w:val="1"/>
                <w:color w:val="auto"/>
              </w:rPr>
            </w:pPr>
          </w:p>
        </w:tc>
      </w:tr>
      <w:tr>
        <w:trPr>
          <w:trHeight w:val="123"/>
        </w:trPr>
        <w:tc>
          <w:tcPr>
            <w:tcW w:w="100" w:type="dxa"/>
            <w:vAlign w:val="bottom"/>
            <w:tcBorders>
              <w:right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5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3"/>
        </w:trPr>
        <w:tc>
          <w:tcPr>
            <w:tcW w:w="57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Cumulative Target - Adjusted Operating Income Growth</w:t>
            </w:r>
            <w:r>
              <w:rPr>
                <w:rFonts w:ascii="Times New Roman" w:cs="Times New Roman" w:eastAsia="Times New Roman" w:hAnsi="Times New Roman"/>
                <w:sz w:val="22"/>
                <w:szCs w:val="22"/>
                <w:color w:val="auto"/>
              </w:rPr>
              <w:t>:</w:t>
            </w:r>
          </w:p>
        </w:tc>
        <w:tc>
          <w:tcPr>
            <w:tcW w:w="5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shd w:val="clear" w:color="auto" w:fill="000000"/>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122" w:right="219" w:bottom="1440" w:gutter="0" w:footer="0" w:header="0"/>
        </w:sectPr>
      </w:pPr>
    </w:p>
    <w:bookmarkStart w:id="213" w:name="page214"/>
    <w:bookmarkEnd w:id="213"/>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Exhibit 10.96</w:t>
      </w:r>
    </w:p>
    <w:p>
      <w:pPr>
        <w:spacing w:after="0" w:line="353" w:lineRule="exact"/>
        <w:rPr>
          <w:sz w:val="20"/>
          <w:szCs w:val="20"/>
          <w:color w:val="auto"/>
        </w:rPr>
      </w:pPr>
    </w:p>
    <w:tbl>
      <w:tblPr>
        <w:tblLayout w:type="fixed"/>
        <w:tblInd w:w="90" w:type="dxa"/>
        <w:tblCellMar>
          <w:top w:w="0" w:type="dxa"/>
          <w:left w:w="0" w:type="dxa"/>
          <w:bottom w:w="0" w:type="dxa"/>
          <w:right w:w="0" w:type="dxa"/>
        </w:tblCellMar>
      </w:tblPr>
      <w:tr>
        <w:trPr>
          <w:trHeight w:val="320"/>
        </w:trPr>
        <w:tc>
          <w:tcPr>
            <w:tcW w:w="57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Actual Adjusted Operating Income Growth</w:t>
            </w:r>
          </w:p>
        </w:tc>
        <w:tc>
          <w:tcPr>
            <w:tcW w:w="5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 ]% of</w:t>
            </w:r>
          </w:p>
        </w:tc>
        <w:tc>
          <w:tcPr>
            <w:tcW w:w="0" w:type="dxa"/>
            <w:vAlign w:val="bottom"/>
          </w:tcPr>
          <w:p>
            <w:pPr>
              <w:spacing w:after="0"/>
              <w:rPr>
                <w:sz w:val="1"/>
                <w:szCs w:val="1"/>
                <w:color w:val="auto"/>
              </w:rPr>
            </w:pPr>
          </w:p>
        </w:tc>
      </w:tr>
      <w:tr>
        <w:trPr>
          <w:trHeight w:val="287"/>
        </w:trPr>
        <w:tc>
          <w:tcPr>
            <w:tcW w:w="5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Level</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Target Number of PSUs Earned</w:t>
            </w:r>
          </w:p>
        </w:tc>
        <w:tc>
          <w:tcPr>
            <w:tcW w:w="0" w:type="dxa"/>
            <w:vAlign w:val="bottom"/>
          </w:tcPr>
          <w:p>
            <w:pPr>
              <w:spacing w:after="0"/>
              <w:rPr>
                <w:sz w:val="1"/>
                <w:szCs w:val="1"/>
                <w:color w:val="auto"/>
              </w:rPr>
            </w:pPr>
          </w:p>
        </w:tc>
      </w:tr>
      <w:tr>
        <w:trPr>
          <w:trHeight w:val="135"/>
        </w:trPr>
        <w:tc>
          <w:tcPr>
            <w:tcW w:w="5700" w:type="dxa"/>
            <w:vAlign w:val="bottom"/>
            <w:tcBorders>
              <w:left w:val="single" w:sz="8" w:color="auto"/>
              <w:right w:val="single" w:sz="8" w:color="auto"/>
            </w:tcBorders>
            <w:vMerge w:val="continue"/>
          </w:tcPr>
          <w:p>
            <w:pPr>
              <w:spacing w:after="0"/>
              <w:rPr>
                <w:sz w:val="11"/>
                <w:szCs w:val="11"/>
                <w:color w:val="auto"/>
              </w:rPr>
            </w:pPr>
          </w:p>
        </w:tc>
        <w:tc>
          <w:tcPr>
            <w:tcW w:w="5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(Adjusted Operating Income Component), Subject to TSR</w:t>
            </w:r>
          </w:p>
        </w:tc>
        <w:tc>
          <w:tcPr>
            <w:tcW w:w="0" w:type="dxa"/>
            <w:vAlign w:val="bottom"/>
          </w:tcPr>
          <w:p>
            <w:pPr>
              <w:spacing w:after="0"/>
              <w:rPr>
                <w:sz w:val="1"/>
                <w:szCs w:val="1"/>
                <w:color w:val="auto"/>
              </w:rPr>
            </w:pPr>
          </w:p>
        </w:tc>
      </w:tr>
      <w:tr>
        <w:trPr>
          <w:trHeight w:val="200"/>
        </w:trPr>
        <w:tc>
          <w:tcPr>
            <w:tcW w:w="5700" w:type="dxa"/>
            <w:vAlign w:val="bottom"/>
            <w:tcBorders>
              <w:left w:val="single" w:sz="8" w:color="auto"/>
              <w:right w:val="single" w:sz="8" w:color="auto"/>
            </w:tcBorders>
          </w:tcPr>
          <w:p>
            <w:pPr>
              <w:spacing w:after="0"/>
              <w:rPr>
                <w:sz w:val="17"/>
                <w:szCs w:val="17"/>
                <w:color w:val="auto"/>
              </w:rPr>
            </w:pPr>
          </w:p>
        </w:tc>
        <w:tc>
          <w:tcPr>
            <w:tcW w:w="56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5700" w:type="dxa"/>
            <w:vAlign w:val="bottom"/>
            <w:tcBorders>
              <w:left w:val="single" w:sz="8" w:color="auto"/>
              <w:right w:val="single" w:sz="8" w:color="auto"/>
            </w:tcBorders>
          </w:tcPr>
          <w:p>
            <w:pPr>
              <w:spacing w:after="0"/>
              <w:rPr>
                <w:sz w:val="24"/>
                <w:szCs w:val="24"/>
                <w:color w:val="auto"/>
              </w:rPr>
            </w:pP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Multiplier</w:t>
            </w:r>
          </w:p>
        </w:tc>
        <w:tc>
          <w:tcPr>
            <w:tcW w:w="0" w:type="dxa"/>
            <w:vAlign w:val="bottom"/>
          </w:tcPr>
          <w:p>
            <w:pPr>
              <w:spacing w:after="0"/>
              <w:rPr>
                <w:sz w:val="1"/>
                <w:szCs w:val="1"/>
                <w:color w:val="auto"/>
              </w:rPr>
            </w:pPr>
          </w:p>
        </w:tc>
      </w:tr>
      <w:tr>
        <w:trPr>
          <w:trHeight w:val="83"/>
        </w:trPr>
        <w:tc>
          <w:tcPr>
            <w:tcW w:w="5700" w:type="dxa"/>
            <w:vAlign w:val="bottom"/>
            <w:tcBorders>
              <w:left w:val="single" w:sz="8" w:color="auto"/>
              <w:bottom w:val="single" w:sz="8" w:color="auto"/>
              <w:right w:val="single" w:sz="8" w:color="auto"/>
            </w:tcBorders>
          </w:tcPr>
          <w:p>
            <w:pPr>
              <w:spacing w:after="0"/>
              <w:rPr>
                <w:sz w:val="7"/>
                <w:szCs w:val="7"/>
                <w:color w:val="auto"/>
              </w:rPr>
            </w:pPr>
          </w:p>
        </w:tc>
        <w:tc>
          <w:tcPr>
            <w:tcW w:w="5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5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less than %</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23"/>
        </w:trPr>
        <w:tc>
          <w:tcPr>
            <w:tcW w:w="5700" w:type="dxa"/>
            <w:vAlign w:val="bottom"/>
            <w:tcBorders>
              <w:left w:val="single" w:sz="8" w:color="auto"/>
              <w:bottom w:val="single" w:sz="8" w:color="auto"/>
              <w:right w:val="single" w:sz="8" w:color="auto"/>
            </w:tcBorders>
          </w:tcPr>
          <w:p>
            <w:pPr>
              <w:spacing w:after="0"/>
              <w:rPr>
                <w:sz w:val="10"/>
                <w:szCs w:val="10"/>
                <w:color w:val="auto"/>
              </w:rPr>
            </w:pPr>
          </w:p>
        </w:tc>
        <w:tc>
          <w:tcPr>
            <w:tcW w:w="5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50%</w:t>
            </w:r>
          </w:p>
        </w:tc>
        <w:tc>
          <w:tcPr>
            <w:tcW w:w="0" w:type="dxa"/>
            <w:vAlign w:val="bottom"/>
          </w:tcPr>
          <w:p>
            <w:pPr>
              <w:spacing w:after="0"/>
              <w:rPr>
                <w:sz w:val="1"/>
                <w:szCs w:val="1"/>
                <w:color w:val="auto"/>
              </w:rPr>
            </w:pPr>
          </w:p>
        </w:tc>
      </w:tr>
      <w:tr>
        <w:trPr>
          <w:trHeight w:val="123"/>
        </w:trPr>
        <w:tc>
          <w:tcPr>
            <w:tcW w:w="5700" w:type="dxa"/>
            <w:vAlign w:val="bottom"/>
            <w:tcBorders>
              <w:left w:val="single" w:sz="8" w:color="auto"/>
              <w:bottom w:val="single" w:sz="8" w:color="auto"/>
              <w:right w:val="single" w:sz="8" w:color="auto"/>
            </w:tcBorders>
          </w:tcPr>
          <w:p>
            <w:pPr>
              <w:spacing w:after="0"/>
              <w:rPr>
                <w:sz w:val="10"/>
                <w:szCs w:val="10"/>
                <w:color w:val="auto"/>
              </w:rPr>
            </w:pPr>
          </w:p>
        </w:tc>
        <w:tc>
          <w:tcPr>
            <w:tcW w:w="5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0" w:type="dxa"/>
            <w:vAlign w:val="bottom"/>
          </w:tcPr>
          <w:p>
            <w:pPr>
              <w:spacing w:after="0"/>
              <w:rPr>
                <w:sz w:val="1"/>
                <w:szCs w:val="1"/>
                <w:color w:val="auto"/>
              </w:rPr>
            </w:pPr>
          </w:p>
        </w:tc>
      </w:tr>
      <w:tr>
        <w:trPr>
          <w:trHeight w:val="123"/>
        </w:trPr>
        <w:tc>
          <w:tcPr>
            <w:tcW w:w="5700" w:type="dxa"/>
            <w:vAlign w:val="bottom"/>
            <w:tcBorders>
              <w:left w:val="single" w:sz="8" w:color="auto"/>
              <w:bottom w:val="single" w:sz="8" w:color="auto"/>
              <w:right w:val="single" w:sz="8" w:color="auto"/>
            </w:tcBorders>
          </w:tcPr>
          <w:p>
            <w:pPr>
              <w:spacing w:after="0"/>
              <w:rPr>
                <w:sz w:val="10"/>
                <w:szCs w:val="10"/>
                <w:color w:val="auto"/>
              </w:rPr>
            </w:pPr>
          </w:p>
        </w:tc>
        <w:tc>
          <w:tcPr>
            <w:tcW w:w="5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 or greater</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c>
          <w:tcPr>
            <w:tcW w:w="0" w:type="dxa"/>
            <w:vAlign w:val="bottom"/>
          </w:tcPr>
          <w:p>
            <w:pPr>
              <w:spacing w:after="0"/>
              <w:rPr>
                <w:sz w:val="1"/>
                <w:szCs w:val="1"/>
                <w:color w:val="auto"/>
              </w:rPr>
            </w:pPr>
          </w:p>
        </w:tc>
      </w:tr>
      <w:tr>
        <w:trPr>
          <w:trHeight w:val="123"/>
        </w:trPr>
        <w:tc>
          <w:tcPr>
            <w:tcW w:w="5700" w:type="dxa"/>
            <w:vAlign w:val="bottom"/>
            <w:tcBorders>
              <w:left w:val="single" w:sz="8" w:color="auto"/>
              <w:bottom w:val="single" w:sz="8" w:color="auto"/>
              <w:right w:val="single" w:sz="8" w:color="auto"/>
            </w:tcBorders>
          </w:tcPr>
          <w:p>
            <w:pPr>
              <w:spacing w:after="0"/>
              <w:rPr>
                <w:sz w:val="10"/>
                <w:szCs w:val="10"/>
                <w:color w:val="auto"/>
              </w:rPr>
            </w:pPr>
          </w:p>
        </w:tc>
        <w:tc>
          <w:tcPr>
            <w:tcW w:w="5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Average ROIC During Performance Period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1" w:lineRule="exact"/>
        <w:rPr>
          <w:sz w:val="20"/>
          <w:szCs w:val="20"/>
          <w:color w:val="auto"/>
        </w:rPr>
      </w:pPr>
    </w:p>
    <w:tbl>
      <w:tblPr>
        <w:tblLayout w:type="fixed"/>
        <w:tblInd w:w="90" w:type="dxa"/>
        <w:tblCellMar>
          <w:top w:w="0" w:type="dxa"/>
          <w:left w:w="0" w:type="dxa"/>
          <w:bottom w:w="0" w:type="dxa"/>
          <w:right w:w="0" w:type="dxa"/>
        </w:tblCellMar>
      </w:tblPr>
      <w:tr>
        <w:trPr>
          <w:trHeight w:val="320"/>
        </w:trPr>
        <w:tc>
          <w:tcPr>
            <w:tcW w:w="57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Average ROIC During 3-Year Performance Period</w:t>
            </w:r>
          </w:p>
        </w:tc>
        <w:tc>
          <w:tcPr>
            <w:tcW w:w="5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 ]% of</w:t>
            </w:r>
          </w:p>
        </w:tc>
      </w:tr>
      <w:tr>
        <w:trPr>
          <w:trHeight w:val="287"/>
        </w:trPr>
        <w:tc>
          <w:tcPr>
            <w:tcW w:w="5700" w:type="dxa"/>
            <w:vAlign w:val="bottom"/>
            <w:tcBorders>
              <w:left w:val="single" w:sz="8" w:color="auto"/>
              <w:right w:val="single" w:sz="8" w:color="auto"/>
            </w:tcBorders>
          </w:tcPr>
          <w:p>
            <w:pPr>
              <w:spacing w:after="0"/>
              <w:rPr>
                <w:sz w:val="24"/>
                <w:szCs w:val="24"/>
                <w:color w:val="auto"/>
              </w:rPr>
            </w:pP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Target Number of PSUs Earned</w:t>
            </w:r>
          </w:p>
        </w:tc>
      </w:tr>
      <w:tr>
        <w:trPr>
          <w:trHeight w:val="378"/>
        </w:trPr>
        <w:tc>
          <w:tcPr>
            <w:tcW w:w="5700" w:type="dxa"/>
            <w:vAlign w:val="bottom"/>
            <w:tcBorders>
              <w:left w:val="single" w:sz="8" w:color="auto"/>
              <w:right w:val="single" w:sz="8" w:color="auto"/>
            </w:tcBorders>
          </w:tcPr>
          <w:p>
            <w:pPr>
              <w:spacing w:after="0"/>
              <w:rPr>
                <w:sz w:val="24"/>
                <w:szCs w:val="24"/>
                <w:color w:val="auto"/>
              </w:rPr>
            </w:pP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(ROIC Component), Subject to TSR Multiplier</w:t>
            </w:r>
          </w:p>
        </w:tc>
      </w:tr>
      <w:tr>
        <w:trPr>
          <w:trHeight w:val="83"/>
        </w:trPr>
        <w:tc>
          <w:tcPr>
            <w:tcW w:w="5700" w:type="dxa"/>
            <w:vAlign w:val="bottom"/>
            <w:tcBorders>
              <w:left w:val="single" w:sz="8" w:color="auto"/>
              <w:bottom w:val="single" w:sz="8" w:color="auto"/>
              <w:right w:val="single" w:sz="8" w:color="auto"/>
            </w:tcBorders>
          </w:tcPr>
          <w:p>
            <w:pPr>
              <w:spacing w:after="0"/>
              <w:rPr>
                <w:sz w:val="7"/>
                <w:szCs w:val="7"/>
                <w:color w:val="auto"/>
              </w:rPr>
            </w:pPr>
          </w:p>
        </w:tc>
        <w:tc>
          <w:tcPr>
            <w:tcW w:w="5660" w:type="dxa"/>
            <w:vAlign w:val="bottom"/>
            <w:tcBorders>
              <w:bottom w:val="single" w:sz="8" w:color="auto"/>
              <w:right w:val="single" w:sz="8" w:color="auto"/>
            </w:tcBorders>
          </w:tcPr>
          <w:p>
            <w:pPr>
              <w:spacing w:after="0"/>
              <w:rPr>
                <w:sz w:val="7"/>
                <w:szCs w:val="7"/>
                <w:color w:val="auto"/>
              </w:rPr>
            </w:pPr>
          </w:p>
        </w:tc>
      </w:tr>
      <w:tr>
        <w:trPr>
          <w:trHeight w:val="316"/>
        </w:trPr>
        <w:tc>
          <w:tcPr>
            <w:tcW w:w="5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less than %</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0%</w:t>
            </w:r>
          </w:p>
        </w:tc>
      </w:tr>
      <w:tr>
        <w:trPr>
          <w:trHeight w:val="123"/>
        </w:trPr>
        <w:tc>
          <w:tcPr>
            <w:tcW w:w="5700" w:type="dxa"/>
            <w:vAlign w:val="bottom"/>
            <w:tcBorders>
              <w:left w:val="single" w:sz="8" w:color="auto"/>
              <w:bottom w:val="single" w:sz="8" w:color="auto"/>
              <w:right w:val="single" w:sz="8" w:color="auto"/>
            </w:tcBorders>
          </w:tcPr>
          <w:p>
            <w:pPr>
              <w:spacing w:after="0"/>
              <w:rPr>
                <w:sz w:val="10"/>
                <w:szCs w:val="10"/>
                <w:color w:val="auto"/>
              </w:rPr>
            </w:pPr>
          </w:p>
        </w:tc>
        <w:tc>
          <w:tcPr>
            <w:tcW w:w="5660" w:type="dxa"/>
            <w:vAlign w:val="bottom"/>
            <w:tcBorders>
              <w:bottom w:val="single" w:sz="8" w:color="auto"/>
              <w:right w:val="single" w:sz="8" w:color="auto"/>
            </w:tcBorders>
          </w:tcPr>
          <w:p>
            <w:pPr>
              <w:spacing w:after="0"/>
              <w:rPr>
                <w:sz w:val="10"/>
                <w:szCs w:val="10"/>
                <w:color w:val="auto"/>
              </w:rPr>
            </w:pPr>
          </w:p>
        </w:tc>
      </w:tr>
      <w:tr>
        <w:trPr>
          <w:trHeight w:val="316"/>
        </w:trPr>
        <w:tc>
          <w:tcPr>
            <w:tcW w:w="5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50%</w:t>
            </w:r>
          </w:p>
        </w:tc>
      </w:tr>
      <w:tr>
        <w:trPr>
          <w:trHeight w:val="123"/>
        </w:trPr>
        <w:tc>
          <w:tcPr>
            <w:tcW w:w="5700" w:type="dxa"/>
            <w:vAlign w:val="bottom"/>
            <w:tcBorders>
              <w:left w:val="single" w:sz="8" w:color="auto"/>
              <w:bottom w:val="single" w:sz="8" w:color="auto"/>
              <w:right w:val="single" w:sz="8" w:color="auto"/>
            </w:tcBorders>
          </w:tcPr>
          <w:p>
            <w:pPr>
              <w:spacing w:after="0"/>
              <w:rPr>
                <w:sz w:val="10"/>
                <w:szCs w:val="10"/>
                <w:color w:val="auto"/>
              </w:rPr>
            </w:pPr>
          </w:p>
        </w:tc>
        <w:tc>
          <w:tcPr>
            <w:tcW w:w="5660" w:type="dxa"/>
            <w:vAlign w:val="bottom"/>
            <w:tcBorders>
              <w:bottom w:val="single" w:sz="8" w:color="auto"/>
              <w:right w:val="single" w:sz="8" w:color="auto"/>
            </w:tcBorders>
          </w:tcPr>
          <w:p>
            <w:pPr>
              <w:spacing w:after="0"/>
              <w:rPr>
                <w:sz w:val="10"/>
                <w:szCs w:val="10"/>
                <w:color w:val="auto"/>
              </w:rPr>
            </w:pPr>
          </w:p>
        </w:tc>
      </w:tr>
      <w:tr>
        <w:trPr>
          <w:trHeight w:val="316"/>
        </w:trPr>
        <w:tc>
          <w:tcPr>
            <w:tcW w:w="5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123"/>
        </w:trPr>
        <w:tc>
          <w:tcPr>
            <w:tcW w:w="5700" w:type="dxa"/>
            <w:vAlign w:val="bottom"/>
            <w:tcBorders>
              <w:left w:val="single" w:sz="8" w:color="auto"/>
              <w:bottom w:val="single" w:sz="8" w:color="auto"/>
              <w:right w:val="single" w:sz="8" w:color="auto"/>
            </w:tcBorders>
          </w:tcPr>
          <w:p>
            <w:pPr>
              <w:spacing w:after="0"/>
              <w:rPr>
                <w:sz w:val="10"/>
                <w:szCs w:val="10"/>
                <w:color w:val="auto"/>
              </w:rPr>
            </w:pPr>
          </w:p>
        </w:tc>
        <w:tc>
          <w:tcPr>
            <w:tcW w:w="5660" w:type="dxa"/>
            <w:vAlign w:val="bottom"/>
            <w:tcBorders>
              <w:bottom w:val="single" w:sz="8" w:color="auto"/>
              <w:right w:val="single" w:sz="8" w:color="auto"/>
            </w:tcBorders>
          </w:tcPr>
          <w:p>
            <w:pPr>
              <w:spacing w:after="0"/>
              <w:rPr>
                <w:sz w:val="10"/>
                <w:szCs w:val="10"/>
                <w:color w:val="auto"/>
              </w:rPr>
            </w:pPr>
          </w:p>
        </w:tc>
      </w:tr>
      <w:tr>
        <w:trPr>
          <w:trHeight w:val="316"/>
        </w:trPr>
        <w:tc>
          <w:tcPr>
            <w:tcW w:w="5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 or greater</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r>
      <w:tr>
        <w:trPr>
          <w:trHeight w:val="123"/>
        </w:trPr>
        <w:tc>
          <w:tcPr>
            <w:tcW w:w="5700" w:type="dxa"/>
            <w:vAlign w:val="bottom"/>
            <w:tcBorders>
              <w:left w:val="single" w:sz="8" w:color="auto"/>
              <w:bottom w:val="single" w:sz="8" w:color="auto"/>
              <w:right w:val="single" w:sz="8" w:color="auto"/>
            </w:tcBorders>
          </w:tcPr>
          <w:p>
            <w:pPr>
              <w:spacing w:after="0"/>
              <w:rPr>
                <w:sz w:val="10"/>
                <w:szCs w:val="10"/>
                <w:color w:val="auto"/>
              </w:rPr>
            </w:pPr>
          </w:p>
        </w:tc>
        <w:tc>
          <w:tcPr>
            <w:tcW w:w="566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TSR Multiplier:</w:t>
      </w:r>
    </w:p>
    <w:p>
      <w:pPr>
        <w:spacing w:after="0" w:line="393"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5700" w:type="dxa"/>
            <w:vAlign w:val="bottom"/>
            <w:tcBorders>
              <w:top w:val="single" w:sz="8" w:color="auto"/>
              <w:left w:val="single" w:sz="8" w:color="auto"/>
              <w:right w:val="single" w:sz="8" w:color="auto"/>
            </w:tcBorders>
            <w:gridSpan w:val="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Relative TSR Percentile</w:t>
            </w:r>
          </w:p>
        </w:tc>
        <w:tc>
          <w:tcPr>
            <w:tcW w:w="2120" w:type="dxa"/>
            <w:vAlign w:val="bottom"/>
            <w:tcBorders>
              <w:top w:val="single" w:sz="8" w:color="auto"/>
            </w:tcBorders>
          </w:tcPr>
          <w:p>
            <w:pPr>
              <w:spacing w:after="0"/>
              <w:rPr>
                <w:sz w:val="24"/>
                <w:szCs w:val="24"/>
                <w:color w:val="auto"/>
              </w:rPr>
            </w:pPr>
          </w:p>
        </w:tc>
        <w:tc>
          <w:tcPr>
            <w:tcW w:w="3540" w:type="dxa"/>
            <w:vAlign w:val="bottom"/>
            <w:tcBorders>
              <w:top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2"/>
                <w:szCs w:val="22"/>
                <w:b w:val="1"/>
                <w:bCs w:val="1"/>
                <w:color w:val="auto"/>
              </w:rPr>
              <w:t>TSR Multiplier</w:t>
            </w:r>
          </w:p>
        </w:tc>
      </w:tr>
      <w:tr>
        <w:trPr>
          <w:trHeight w:val="156"/>
        </w:trPr>
        <w:tc>
          <w:tcPr>
            <w:tcW w:w="1760" w:type="dxa"/>
            <w:vAlign w:val="bottom"/>
            <w:tcBorders>
              <w:left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2120" w:type="dxa"/>
            <w:vAlign w:val="bottom"/>
            <w:tcBorders>
              <w:bottom w:val="single" w:sz="8" w:color="auto"/>
              <w:right w:val="single" w:sz="8" w:color="auto"/>
            </w:tcBorders>
          </w:tcPr>
          <w:p>
            <w:pPr>
              <w:spacing w:after="0"/>
              <w:rPr>
                <w:sz w:val="13"/>
                <w:szCs w:val="13"/>
                <w:color w:val="auto"/>
              </w:rPr>
            </w:pPr>
          </w:p>
        </w:tc>
      </w:tr>
      <w:tr>
        <w:trPr>
          <w:trHeight w:val="264"/>
        </w:trPr>
        <w:tc>
          <w:tcPr>
            <w:tcW w:w="17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800" w:type="dxa"/>
            <w:vAlign w:val="bottom"/>
            <w:tcBorders>
              <w:right w:val="single" w:sz="8" w:color="auto"/>
            </w:tcBorders>
            <w:gridSpan w:val="7"/>
          </w:tcPr>
          <w:p>
            <w:pPr>
              <w:jc w:val="center"/>
              <w:ind w:right="1860"/>
              <w:spacing w:after="0"/>
              <w:rPr>
                <w:sz w:val="20"/>
                <w:szCs w:val="20"/>
                <w:color w:val="auto"/>
              </w:rPr>
            </w:pPr>
            <w:r>
              <w:rPr>
                <w:rFonts w:ascii="Times New Roman" w:cs="Times New Roman" w:eastAsia="Times New Roman" w:hAnsi="Times New Roman"/>
                <w:sz w:val="22"/>
                <w:szCs w:val="22"/>
                <w:color w:val="auto"/>
                <w:w w:val="97"/>
              </w:rPr>
              <w:t>th Percentile or Above</w:t>
            </w:r>
          </w:p>
        </w:tc>
        <w:tc>
          <w:tcPr>
            <w:tcW w:w="3080" w:type="dxa"/>
            <w:vAlign w:val="bottom"/>
            <w:gridSpan w:val="5"/>
          </w:tcPr>
          <w:p>
            <w:pPr>
              <w:jc w:val="center"/>
              <w:ind w:left="2472"/>
              <w:spacing w:after="0"/>
              <w:rPr>
                <w:sz w:val="20"/>
                <w:szCs w:val="20"/>
                <w:color w:val="auto"/>
              </w:rPr>
            </w:pPr>
            <w:r>
              <w:rPr>
                <w:rFonts w:ascii="Times New Roman" w:cs="Times New Roman" w:eastAsia="Times New Roman" w:hAnsi="Times New Roman"/>
                <w:sz w:val="22"/>
                <w:szCs w:val="22"/>
                <w:color w:val="auto"/>
                <w:w w:val="97"/>
              </w:rPr>
              <w:t>125%</w:t>
            </w:r>
          </w:p>
        </w:tc>
        <w:tc>
          <w:tcPr>
            <w:tcW w:w="460" w:type="dxa"/>
            <w:vAlign w:val="bottom"/>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r>
      <w:tr>
        <w:trPr>
          <w:trHeight w:val="156"/>
        </w:trPr>
        <w:tc>
          <w:tcPr>
            <w:tcW w:w="1760" w:type="dxa"/>
            <w:vAlign w:val="bottom"/>
            <w:tcBorders>
              <w:left w:val="single" w:sz="8" w:color="auto"/>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20" w:type="dxa"/>
            <w:vAlign w:val="bottom"/>
            <w:tcBorders>
              <w:bottom w:val="single" w:sz="8" w:color="auto"/>
              <w:right w:val="single" w:sz="8" w:color="auto"/>
            </w:tcBorders>
          </w:tcPr>
          <w:p>
            <w:pPr>
              <w:spacing w:after="0"/>
              <w:rPr>
                <w:sz w:val="13"/>
                <w:szCs w:val="13"/>
                <w:color w:val="auto"/>
              </w:rPr>
            </w:pPr>
          </w:p>
        </w:tc>
      </w:tr>
      <w:tr>
        <w:trPr>
          <w:trHeight w:val="264"/>
        </w:trPr>
        <w:tc>
          <w:tcPr>
            <w:tcW w:w="17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80" w:type="dxa"/>
            <w:vAlign w:val="bottom"/>
            <w:tcBorders>
              <w:right w:val="single" w:sz="8" w:color="auto"/>
            </w:tcBorders>
            <w:gridSpan w:val="6"/>
          </w:tcPr>
          <w:p>
            <w:pPr>
              <w:jc w:val="center"/>
              <w:ind w:right="1880"/>
              <w:spacing w:after="0"/>
              <w:rPr>
                <w:sz w:val="20"/>
                <w:szCs w:val="20"/>
                <w:color w:val="auto"/>
              </w:rPr>
            </w:pPr>
            <w:r>
              <w:rPr>
                <w:rFonts w:ascii="Times New Roman" w:cs="Times New Roman" w:eastAsia="Times New Roman" w:hAnsi="Times New Roman"/>
                <w:sz w:val="22"/>
                <w:szCs w:val="22"/>
                <w:color w:val="auto"/>
                <w:w w:val="97"/>
              </w:rPr>
              <w:t>Percentile</w:t>
            </w:r>
          </w:p>
        </w:tc>
        <w:tc>
          <w:tcPr>
            <w:tcW w:w="3080" w:type="dxa"/>
            <w:vAlign w:val="bottom"/>
            <w:gridSpan w:val="5"/>
          </w:tcPr>
          <w:p>
            <w:pPr>
              <w:jc w:val="center"/>
              <w:ind w:left="2472"/>
              <w:spacing w:after="0"/>
              <w:rPr>
                <w:sz w:val="20"/>
                <w:szCs w:val="20"/>
                <w:color w:val="auto"/>
              </w:rPr>
            </w:pPr>
            <w:r>
              <w:rPr>
                <w:rFonts w:ascii="Times New Roman" w:cs="Times New Roman" w:eastAsia="Times New Roman" w:hAnsi="Times New Roman"/>
                <w:sz w:val="22"/>
                <w:szCs w:val="22"/>
                <w:color w:val="auto"/>
                <w:w w:val="97"/>
              </w:rPr>
              <w:t>100%</w:t>
            </w:r>
          </w:p>
        </w:tc>
        <w:tc>
          <w:tcPr>
            <w:tcW w:w="460" w:type="dxa"/>
            <w:vAlign w:val="bottom"/>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r>
      <w:tr>
        <w:trPr>
          <w:trHeight w:val="156"/>
        </w:trPr>
        <w:tc>
          <w:tcPr>
            <w:tcW w:w="1760" w:type="dxa"/>
            <w:vAlign w:val="bottom"/>
            <w:tcBorders>
              <w:left w:val="single" w:sz="8" w:color="auto"/>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20" w:type="dxa"/>
            <w:vAlign w:val="bottom"/>
            <w:tcBorders>
              <w:bottom w:val="single" w:sz="8" w:color="auto"/>
              <w:right w:val="single" w:sz="8" w:color="auto"/>
            </w:tcBorders>
          </w:tcPr>
          <w:p>
            <w:pPr>
              <w:spacing w:after="0"/>
              <w:rPr>
                <w:sz w:val="13"/>
                <w:szCs w:val="13"/>
                <w:color w:val="auto"/>
              </w:rPr>
            </w:pPr>
          </w:p>
        </w:tc>
      </w:tr>
      <w:tr>
        <w:trPr>
          <w:trHeight w:val="264"/>
        </w:trPr>
        <w:tc>
          <w:tcPr>
            <w:tcW w:w="17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80" w:type="dxa"/>
            <w:vAlign w:val="bottom"/>
            <w:tcBorders>
              <w:right w:val="single" w:sz="8" w:color="auto"/>
            </w:tcBorders>
            <w:gridSpan w:val="6"/>
          </w:tcPr>
          <w:p>
            <w:pPr>
              <w:jc w:val="center"/>
              <w:ind w:right="1880"/>
              <w:spacing w:after="0"/>
              <w:rPr>
                <w:sz w:val="20"/>
                <w:szCs w:val="20"/>
                <w:color w:val="auto"/>
              </w:rPr>
            </w:pPr>
            <w:r>
              <w:rPr>
                <w:rFonts w:ascii="Times New Roman" w:cs="Times New Roman" w:eastAsia="Times New Roman" w:hAnsi="Times New Roman"/>
                <w:sz w:val="22"/>
                <w:szCs w:val="22"/>
                <w:color w:val="auto"/>
                <w:w w:val="98"/>
              </w:rPr>
              <w:t>th Percentile or below</w:t>
            </w:r>
          </w:p>
        </w:tc>
        <w:tc>
          <w:tcPr>
            <w:tcW w:w="3020" w:type="dxa"/>
            <w:vAlign w:val="bottom"/>
            <w:gridSpan w:val="4"/>
          </w:tcPr>
          <w:p>
            <w:pPr>
              <w:jc w:val="center"/>
              <w:ind w:left="2532"/>
              <w:spacing w:after="0"/>
              <w:rPr>
                <w:sz w:val="20"/>
                <w:szCs w:val="20"/>
                <w:color w:val="auto"/>
              </w:rPr>
            </w:pPr>
            <w:r>
              <w:rPr>
                <w:rFonts w:ascii="Times New Roman" w:cs="Times New Roman" w:eastAsia="Times New Roman" w:hAnsi="Times New Roman"/>
                <w:sz w:val="22"/>
                <w:szCs w:val="22"/>
                <w:color w:val="auto"/>
                <w:w w:val="94"/>
              </w:rPr>
              <w:t>75%</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r>
      <w:tr>
        <w:trPr>
          <w:trHeight w:val="156"/>
        </w:trPr>
        <w:tc>
          <w:tcPr>
            <w:tcW w:w="1760" w:type="dxa"/>
            <w:vAlign w:val="bottom"/>
            <w:tcBorders>
              <w:left w:val="single" w:sz="8" w:color="auto"/>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2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95"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u w:val="single" w:color="auto"/>
          <w:color w:val="auto"/>
        </w:rPr>
        <w:t>Adjusted Operating Income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means operating income adjusted in the discretion of the Committee which may consider: (a) the change in amortization of acquisition-related intangible assets; (b) the impact of the change in fair value related to certain gasoline and diesel agreements; (c) severance and other charges; (d) the effect of major acquisitions and divestitures; (e) merger and integration related charges related to material acquisitions; (f) tax reform related employee reinvestments; (g) changes in currency rates; and (h) other items impacting comparability.</w:t>
      </w:r>
    </w:p>
    <w:p>
      <w:pPr>
        <w:sectPr>
          <w:pgSz w:w="11900" w:h="16838" w:orient="portrait"/>
          <w:cols w:equalWidth="0" w:num="1">
            <w:col w:w="11440"/>
          </w:cols>
          <w:pgMar w:left="240" w:top="122" w:right="21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2"/>
          <w:szCs w:val="22"/>
          <w:b w:val="1"/>
          <w:bCs w:val="1"/>
          <w:color w:val="auto"/>
        </w:rPr>
        <w:t>Exhibit 10.96</w:t>
      </w:r>
    </w:p>
    <w:p>
      <w:pPr>
        <w:spacing w:after="0" w:line="200" w:lineRule="exact"/>
        <w:rPr>
          <w:sz w:val="20"/>
          <w:szCs w:val="20"/>
          <w:color w:val="auto"/>
        </w:rPr>
      </w:pPr>
    </w:p>
    <w:p>
      <w:pPr>
        <w:spacing w:after="0" w:line="27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b w:val="1"/>
          <w:bCs w:val="1"/>
          <w:u w:val="single" w:color="auto"/>
          <w:color w:val="auto"/>
        </w:rPr>
        <w:t>“Adjusted Operating Income Growth”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operating income growth adjusted in the discretion of the Committee which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 : (a) the change in amortization of acquisition-related intangible assets; (b) the impact of the change in fair value related to certain gasoline and diesel agreements; (c) severance and other charges; (d) the effect of major acquisitions and divestitures; (e) merger and integration related charges related to material acquisitions; (f) tax reform related employee reinvestments; (g) changes in currency rates; and (h) other items impacting comparability.</w:t>
      </w:r>
    </w:p>
    <w:p>
      <w:pPr>
        <w:spacing w:after="0" w:line="176"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“Adjusted Revenue”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revenue, adjusted in the discretion of the Committee which may consider the impact of currency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translation and acquisitions and divestitures.</w:t>
      </w:r>
    </w:p>
    <w:p>
      <w:pPr>
        <w:spacing w:after="0" w:line="15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“Adjusted Revenue Growth”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revenue growth, adjusted in the discretion of the Committee which may consider the impact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currency translation and acquisitions and divestitures.</w:t>
      </w:r>
    </w:p>
    <w:p>
      <w:pPr>
        <w:spacing w:after="0" w:line="15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auto"/>
        </w:rPr>
        <w:t>“Average Invested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simple average of : (a) the total outstanding debt; plus (b) stockholders equity; minus (c)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change in amortization of acquisition-related intangible assets net intangibles and goodwill resulting from the application of purchase accounting to the 2007 going-private transaction, as reported for the second and third fiscal year-ends of the Performance Period.</w:t>
      </w:r>
    </w:p>
    <w:p>
      <w:pPr>
        <w:spacing w:after="0" w:line="17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“ROIC</w:t>
      </w:r>
      <w:r>
        <w:rPr>
          <w:rFonts w:ascii="Times New Roman" w:cs="Times New Roman" w:eastAsia="Times New Roman" w:hAnsi="Times New Roman"/>
          <w:sz w:val="22"/>
          <w:szCs w:val="22"/>
          <w:color w:val="auto"/>
        </w:rPr>
        <w:t>” means: (x) operating income for the fiscal year ending [ ] after taxes adjusted in the discretion of the Committee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consider (a) the cumulative effect of a change in accounting principle, income or loss from disposed or discontinued operations and any gains or losses on disposed or discontinued operations, all as determined in accordance with United States GAAP; (b) the change in amortization of acquisition-related intangible assets; (c) any severance or other costs related to the Company’s major restructuring efforts; (d) any significant gains, losses or settlements that impact comparability between years; (e) any changes in the fair value of gas and diesel fuel derivatives; (f) the effects of changes in foreign currency translation rates from such rates used in the calculation of the ROIC target; (g) the impact of material acquisitions and divestitures that impact the comparability with the target other than the acquisitions of Avendra and AmeriPride; and (h) the impact of any changes to tax rates or deductions or other changes to the Internal Revenue Code (the “Code”) from the Code as it existed during [ ], in any case that have a material impact on net income; divided by (y) Average Invested Capital.</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Relative TSR Percentile</w:t>
      </w:r>
    </w:p>
    <w:p>
      <w:pPr>
        <w:spacing w:after="0" w:line="260"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22"/>
          <w:szCs w:val="22"/>
          <w:b w:val="1"/>
          <w:bCs w:val="1"/>
          <w:color w:val="auto"/>
        </w:rPr>
        <w:t>TSR Measurement Period</w:t>
      </w:r>
      <w:r>
        <w:rPr>
          <w:rFonts w:ascii="Times New Roman" w:cs="Times New Roman" w:eastAsia="Times New Roman" w:hAnsi="Times New Roman"/>
          <w:sz w:val="22"/>
          <w:szCs w:val="22"/>
          <w:color w:val="auto"/>
        </w:rPr>
        <w:t>: The period commencing on [ ] and ending on the earlier of (i) [ ] and (ii) the date upon which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of Control occurs.</w:t>
      </w:r>
    </w:p>
    <w:p>
      <w:pPr>
        <w:spacing w:after="0" w:line="190"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TSR Multiplier: </w:t>
      </w:r>
      <w:r>
        <w:rPr>
          <w:rFonts w:ascii="Times New Roman" w:cs="Times New Roman" w:eastAsia="Times New Roman" w:hAnsi="Times New Roman"/>
          <w:sz w:val="22"/>
          <w:szCs w:val="22"/>
          <w:color w:val="auto"/>
        </w:rPr>
        <w:t>The applicable multiplier percentage for purposes of determining the number of Earned PSUs based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actual Relative TSR Percentile, as set forth on the table set forth above.</w:t>
      </w:r>
    </w:p>
    <w:p>
      <w:pPr>
        <w:sectPr>
          <w:pgSz w:w="11900" w:h="16838" w:orient="portrait"/>
          <w:cols w:equalWidth="0" w:num="1">
            <w:col w:w="11420"/>
          </w:cols>
          <w:pgMar w:left="240" w:top="122" w:right="239" w:bottom="1440" w:gutter="0" w:footer="0" w:header="0"/>
        </w:sectPr>
      </w:pPr>
    </w:p>
    <w:bookmarkStart w:id="215" w:name="page216"/>
    <w:bookmarkEnd w:id="215"/>
    <w:p>
      <w:pPr>
        <w:ind w:left="10200"/>
        <w:spacing w:after="0"/>
        <w:rPr>
          <w:sz w:val="20"/>
          <w:szCs w:val="20"/>
          <w:color w:val="auto"/>
        </w:rPr>
      </w:pPr>
      <w:r>
        <w:rPr>
          <w:rFonts w:ascii="Times New Roman" w:cs="Times New Roman" w:eastAsia="Times New Roman" w:hAnsi="Times New Roman"/>
          <w:sz w:val="21"/>
          <w:szCs w:val="21"/>
          <w:b w:val="1"/>
          <w:bCs w:val="1"/>
          <w:color w:val="auto"/>
        </w:rPr>
        <w:t>Exhibit 10.96</w:t>
      </w:r>
    </w:p>
    <w:p>
      <w:pPr>
        <w:spacing w:after="0" w:line="231"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Relative TSR Percentile</w:t>
      </w:r>
      <w:r>
        <w:rPr>
          <w:rFonts w:ascii="Times New Roman" w:cs="Times New Roman" w:eastAsia="Times New Roman" w:hAnsi="Times New Roman"/>
          <w:sz w:val="22"/>
          <w:szCs w:val="22"/>
          <w:color w:val="auto"/>
        </w:rPr>
        <w:t>: The Relative TSR Percentile shall be the Company’s Total Shareholder Return (as calculated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TSR Measurement Period, ranked as a percentile as compared to the Total Shareholder Return of the other companies within the Peer Group.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Total Shareholder Return</w:t>
      </w:r>
      <w:r>
        <w:rPr>
          <w:rFonts w:ascii="Times New Roman" w:cs="Times New Roman" w:eastAsia="Times New Roman" w:hAnsi="Times New Roman"/>
          <w:sz w:val="22"/>
          <w:szCs w:val="22"/>
          <w:color w:val="auto"/>
        </w:rPr>
        <w:t>” means, with respect to any company, an amount (expressed as a percentage return) equal to:</w:t>
      </w:r>
    </w:p>
    <w:p>
      <w:pPr>
        <w:spacing w:after="0" w:line="260" w:lineRule="exact"/>
        <w:rPr>
          <w:sz w:val="20"/>
          <w:szCs w:val="20"/>
          <w:color w:val="auto"/>
        </w:rPr>
      </w:pPr>
    </w:p>
    <w:p>
      <w:pPr>
        <w:ind w:left="660" w:right="500" w:hanging="4"/>
        <w:spacing w:after="0" w:line="259" w:lineRule="auto"/>
        <w:tabs>
          <w:tab w:leader="none" w:pos="91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(x) the Ending Stock Price minus the Beginning Stock Price,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(y) the amount of any dividends and distributions paid on a per share basis (calculated as if such dividends had been reinvested in the applicable company’s common stock on the applicable dividend date) cumulatively over the performance period,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u w:val="single" w:color="auto"/>
          <w:color w:val="auto"/>
        </w:rPr>
        <w:t>divided by</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(ii) the Beginning Stock Price.</w:t>
      </w:r>
    </w:p>
    <w:p>
      <w:pPr>
        <w:spacing w:after="0" w:line="25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Beginning Stock Price</w:t>
      </w:r>
      <w:r>
        <w:rPr>
          <w:rFonts w:ascii="Times New Roman" w:cs="Times New Roman" w:eastAsia="Times New Roman" w:hAnsi="Times New Roman"/>
          <w:sz w:val="22"/>
          <w:szCs w:val="22"/>
          <w:color w:val="auto"/>
        </w:rPr>
        <w:t>” means, with respect to any company, the average closing price per share of common stock for the twenty (20) trading days immediately prior to the first trading day of the TSR Measurement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Ending Stock Price</w:t>
      </w:r>
      <w:r>
        <w:rPr>
          <w:rFonts w:ascii="Times New Roman" w:cs="Times New Roman" w:eastAsia="Times New Roman" w:hAnsi="Times New Roman"/>
          <w:sz w:val="22"/>
          <w:szCs w:val="22"/>
          <w:color w:val="auto"/>
        </w:rPr>
        <w:t>” means, with respect to any company, the average closing price per share of common stock for the twenty</w:t>
      </w:r>
    </w:p>
    <w:p>
      <w:pPr>
        <w:spacing w:after="0" w:line="32" w:lineRule="exact"/>
        <w:rPr>
          <w:sz w:val="20"/>
          <w:szCs w:val="20"/>
          <w:color w:val="auto"/>
        </w:rPr>
      </w:pPr>
    </w:p>
    <w:p>
      <w:pPr>
        <w:ind w:right="4160" w:firstLine="8"/>
        <w:spacing w:after="0" w:line="492" w:lineRule="auto"/>
        <w:tabs>
          <w:tab w:leader="none" w:pos="41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days immediately prior to the last day of the TSR Measurement Period. “</w:t>
      </w:r>
      <w:r>
        <w:rPr>
          <w:rFonts w:ascii="Times New Roman" w:cs="Times New Roman" w:eastAsia="Times New Roman" w:hAnsi="Times New Roman"/>
          <w:sz w:val="22"/>
          <w:szCs w:val="22"/>
          <w:b w:val="1"/>
          <w:bCs w:val="1"/>
          <w:u w:val="single" w:color="auto"/>
          <w:color w:val="auto"/>
        </w:rPr>
        <w:t>Peer Group</w:t>
      </w:r>
      <w:r>
        <w:rPr>
          <w:rFonts w:ascii="Times New Roman" w:cs="Times New Roman" w:eastAsia="Times New Roman" w:hAnsi="Times New Roman"/>
          <w:sz w:val="22"/>
          <w:szCs w:val="22"/>
          <w:color w:val="auto"/>
        </w:rPr>
        <w:t>” means the following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Any company in the Peer Group that ceases to be publicly held during the TSR Measurement Period (i) due to bankruptcy, liquidation or reorganization, shall remain in the Peer Group for purposes of calculation of the Relative TSR Percentile (with such company deemed to have a Total Shareholder Return of -100% and ranked at the bottom of the Peer Group) or (ii) due to a merger, sale, acquisition, business combination or other similar event, shall be excluded from the Peer Group for purposes of calculation of the Relative TSR Percentile.</w:t>
      </w:r>
    </w:p>
    <w:p>
      <w:pPr>
        <w:sectPr>
          <w:pgSz w:w="11900" w:h="16838" w:orient="portrait"/>
          <w:cols w:equalWidth="0" w:num="1">
            <w:col w:w="11420"/>
          </w:cols>
          <w:pgMar w:left="240" w:top="122" w:right="2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6"/>
                <w:szCs w:val="16"/>
                <w:color w:val="auto"/>
              </w:rPr>
            </w:pPr>
          </w:p>
        </w:tc>
        <w:tc>
          <w:tcPr>
            <w:tcW w:w="2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Jurisdiction of Formation</w:t>
            </w:r>
          </w:p>
        </w:tc>
      </w:tr>
      <w:tr>
        <w:trPr>
          <w:trHeight w:val="259"/>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080" w:type="dxa"/>
            <w:vAlign w:val="bottom"/>
          </w:tcPr>
          <w:p>
            <w:pPr>
              <w:spacing w:after="0"/>
              <w:rPr>
                <w:sz w:val="22"/>
                <w:szCs w:val="22"/>
                <w:color w:val="auto"/>
              </w:rPr>
            </w:pP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0"/>
                <w:szCs w:val="10"/>
                <w:color w:val="auto"/>
              </w:rPr>
              <w:t>st</w:t>
            </w:r>
            <w:r>
              <w:rPr>
                <w:rFonts w:ascii="Times New Roman" w:cs="Times New Roman" w:eastAsia="Times New Roman" w:hAnsi="Times New Roman"/>
                <w:sz w:val="14"/>
                <w:szCs w:val="14"/>
                <w:color w:val="auto"/>
              </w:rPr>
              <w:t xml:space="preserve"> &amp; Fresh,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Active Industrial Uniform Co. Inc.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New York</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Alcatraz Hospitality,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American Snack &amp; Beverage,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Florida</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AmeriPride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AMP Limited Partnership</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Minnesota</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American Food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Ohio</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Asia Management,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Aviation Services Limited Partnership</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Business &amp; Industry,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Business Center,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Business Dining Services of Texas,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Texas</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Business Facilities,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Campus,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Cleanroom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Cleanroom Services (Puerto Rico), Inc.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Concessions Services Joint Venture</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Texas</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Confection,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Construction Services, Inc.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Construction and Energy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Alt. Name: Aramark Asset Solutions</w:t>
            </w:r>
          </w:p>
        </w:tc>
        <w:tc>
          <w:tcPr>
            <w:tcW w:w="2080" w:type="dxa"/>
            <w:vAlign w:val="bottom"/>
          </w:tcPr>
          <w:p>
            <w:pPr>
              <w:spacing w:after="0"/>
              <w:rPr>
                <w:sz w:val="23"/>
                <w:szCs w:val="23"/>
                <w:color w:val="auto"/>
              </w:rPr>
            </w:pP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Consumer Discount Company</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Pennsylvania</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Correctional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Distribution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Educational Group,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Educational Services of Texas,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Texas</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Educational Services of Vermont, Inc.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Vermont</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Educational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Entertainment,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Facility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FHC Business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FHC Campus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FHC Correctional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FHC Healthcare Support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FHC Kansas, Inc.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Kansas</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FHC Refreshment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FHC School Support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FHC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FHC Sports and Entertainment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FHC,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Food and Support Services Group, Inc.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Food Service of Texas,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Texas</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Food Service,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FSM,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Global, Inc.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Healthcare Support Services of the Virgin Islands, Inc.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Healthcare Support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Industrial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Intermediate HoldCo Corporation</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Japan,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Lakewood Associates</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Georgia</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Management Services Limited Partnership</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Management,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Mexico Group,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Organizational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Aramark Personnel Services, LLC</w:t>
            </w:r>
          </w:p>
        </w:tc>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420"/>
          </w:cols>
          <w:pgMar w:left="240" w:top="124" w:right="239" w:bottom="0" w:gutter="0" w:footer="0" w:header="0"/>
        </w:sectPr>
      </w:pPr>
    </w:p>
    <w:bookmarkStart w:id="217" w:name="page218"/>
    <w:bookmarkEnd w:id="2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Processing,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Qualified Opportunity Fund,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Rail Services,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RBI, Inc.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Receivables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Refreshment Group, Inc.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Refreshment Services of Tampa,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Refreshment Services,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S&amp;E/QCF Joint Venture</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Texas</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Schools Facilities,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Schools,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SCM, Inc.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Senior Living Services,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Services, Inc.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Services of Kansas, Inc.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Kansas</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Services of Puerto Rico, Inc.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SM Management Services, Inc.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SMMS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SMMS Real Estate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Sports and Entertainment Group,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Sports and Entertainment Services of Texas,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Texas</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Sports and Entertainment Services,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Sports Facilities,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Sports,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Technical Services North Carolina, Inc.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9"/>
              </w:rPr>
              <w:t>North Carolina</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Togwotee,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Trademark Services, Inc.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U.S. Offshore Services,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Uniform &amp; Career Apparel Group, Inc.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Uniform &amp; Career Apparel,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Alt. Name: Aramark Uniform Services; Wearguard-Crest</w:t>
            </w:r>
          </w:p>
        </w:tc>
        <w:tc>
          <w:tcPr>
            <w:tcW w:w="1480" w:type="dxa"/>
            <w:vAlign w:val="bottom"/>
          </w:tcPr>
          <w:p>
            <w:pPr>
              <w:spacing w:after="0"/>
              <w:rPr>
                <w:sz w:val="23"/>
                <w:szCs w:val="23"/>
                <w:color w:val="auto"/>
              </w:rPr>
            </w:pP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Uniform Manufacturing Company</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Uniform Services (Matchpoint)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Uniform Services (Rochester)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Uniform Services (Supply Chain),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Uniform Services (Syracuse)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Uniform Services (Texas)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Uniform Services (West Adams)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Venue Services, Inc.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WTC,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 Chugach Alaska Services,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Aramark-Clarksville Club, Inc.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Arkansas</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Aramark-FINCO of Texas,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Texas</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Aramark-Gourmet DPS,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Michigan</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Aramark-KWAME of St. Louis,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Aramark-SFS Healthcare J.V.,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Aramark/Giacometti Joint Venture</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Oregon</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Aramark/Globetrotters,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Aramark/GM Concessions Joint Venture</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Pennsylvania</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Aramark/Gourmet HE-1,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9"/>
              </w:rPr>
              <w:t>North Carolina</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Aramark/Gourmet HE-2,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9"/>
              </w:rPr>
              <w:t>North Carolina</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Aramark/Hart Lyman Entertainment,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Aramark/HF Company</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Pennsylvania</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Aramark/HMS,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Aramark/Martin's Stadium Concession Services OPACY Joint Venture</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Maryland</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Aramark/QHC,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Aramark/SFS Joint Venture</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Avendra, LLC</w:t>
            </w:r>
          </w:p>
        </w:tc>
        <w:tc>
          <w:tcPr>
            <w:tcW w:w="1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380"/>
          </w:cols>
          <w:pgMar w:left="280" w:top="124" w:right="239" w:bottom="0" w:gutter="0" w:footer="0" w:header="0"/>
        </w:sectPr>
      </w:pPr>
    </w:p>
    <w:bookmarkStart w:id="219" w:name="page220"/>
    <w:bookmarkEnd w:id="2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ectPr>
          <w:pgSz w:w="11900" w:h="16838" w:orient="portrait"/>
          <w:cols w:equalWidth="0" w:num="1">
            <w:col w:w="11380"/>
          </w:cols>
          <w:pgMar w:left="280" w:top="124" w:right="239" w:bottom="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Avendra Gaming,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Avendra Replenishment,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Brand Coffee Service,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BuyEfficient,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Canyonlands Rafting Hospitality,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Cliff House Hospitality,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Corporate Coffee Systems,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Crater Lake Hospitality,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D.G. Maren II,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Delicious on West Street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Delsac VIII,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Doyon/Aramark Denali National Park Concessions Joint Venture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Filterfresh Coffee Service,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Filterfresh Franchise Group,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Fine Host Holdings,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Freedom Ferry Services,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Glacier Bay National Park and Preserve Concessions,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Glen Canyon Rafting Hospitality,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 Uncle Services,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Gourmet Aramark Services,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Guaranty Energy Group 1981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Harrison Conference Associates,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Harrison Conference Services of North Carolina,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Harry M. Stevens,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Harry M. Stevens, Inc. of New Jersey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Harry M. Stevens, Inc. of Penn.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HPSI Purchasing Services,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Institutional Processing Services,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L&amp;N Uniform Supply,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Lake Tahoe Cruises,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Landy Textile Rental Services,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Lifeworks Restaurant Group,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Muir Woods Hospitality,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MyAssistant,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North Rim Hospitality,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Old Time Coffee 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Olympic Peninsula Hospitality,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Overall Laundry Services,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Paradise Hornblower,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Ballpark Concessions Joint Venture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Restaura,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Rushmore Hospitality,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South Rim Hospitality,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Sun Office Service,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Tarrant County Concessions,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Aramark Foundation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Travel Systems,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Wilderness River Adventures,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Yosemite Hospitality,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Texas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Alaska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Alaska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Montana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North Carolina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Jersey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Pennsylvania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California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California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Pennsylvania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California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Washington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California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Pennsylvania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Michigan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Texas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Texas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Pennsylvania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Nevada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200" w:lineRule="exact"/>
        <w:rPr>
          <w:sz w:val="20"/>
          <w:szCs w:val="20"/>
          <w:color w:val="auto"/>
        </w:rPr>
      </w:pPr>
    </w:p>
    <w:p>
      <w:pPr>
        <w:sectPr>
          <w:pgSz w:w="11900" w:h="16838" w:orient="portrait"/>
          <w:cols w:equalWidth="0" w:num="2">
            <w:col w:w="4600" w:space="720"/>
            <w:col w:w="6060"/>
          </w:cols>
          <w:pgMar w:left="280" w:top="124" w:right="239" w:bottom="0" w:gutter="0" w:footer="0" w:header="0"/>
          <w:type w:val="continuous"/>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International:</w:t>
      </w:r>
    </w:p>
    <w:p>
      <w:pPr>
        <w:sectPr>
          <w:pgSz w:w="11900" w:h="16838" w:orient="portrait"/>
          <w:cols w:equalWidth="0" w:num="1">
            <w:col w:w="11380"/>
          </w:cols>
          <w:pgMar w:left="280" w:top="124" w:right="239" w:bottom="0" w:gutter="0" w:footer="0" w:header="0"/>
          <w:type w:val="continuous"/>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AIL Servicos Alimenticios e Participacoes Ltda.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AIM Services Co. Ltd.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(BVI)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B.V.</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Canada Ltd.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CCT Trustees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China Dining Services (Shanghai)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China Holdings Limited</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Brazil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Japan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British Virgin Islands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Netherlands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Hong Kong</w:t>
      </w:r>
    </w:p>
    <w:p>
      <w:pPr>
        <w:sectPr>
          <w:pgSz w:w="11900" w:h="16838" w:orient="portrait"/>
          <w:cols w:equalWidth="0" w:num="2">
            <w:col w:w="4600" w:space="720"/>
            <w:col w:w="6060"/>
          </w:cols>
          <w:pgMar w:left="280" w:top="124" w:right="239" w:bottom="0" w:gutter="0" w:footer="0" w:header="0"/>
          <w:type w:val="continuous"/>
        </w:sectPr>
      </w:pPr>
    </w:p>
    <w:bookmarkStart w:id="221" w:name="page222"/>
    <w:bookmarkEnd w:id="2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ectPr>
          <w:pgSz w:w="11900" w:h="16838" w:orient="portrait"/>
          <w:cols w:equalWidth="0" w:num="1">
            <w:col w:w="11380"/>
          </w:cols>
          <w:pgMar w:left="280" w:top="124" w:right="239" w:bottom="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Cleaning S.A.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Co. Ltd.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Defence Services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Denmark ApS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Entertainment Services (Canada)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Global Group S.a.r.l.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GmbH</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Gulf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Gulf Limited Catering Services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Holding Deutschland GmbH</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International Finance S.a.r.l.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International Holdings S.a.r.l.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Inversiones Latinoamericanas Limitada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Investments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Ireland Holdings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Japan Holdings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Kazakhstan Ltd.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KSA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Mexico, S.A. de C.V.</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Monclova Manufacturing de Mexico, S.A. de C.V.</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Monclova Support, S.A.de C.V.</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Norway SA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Property Services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Quebec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Regional Treasury Europe DAC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Remote Workplace Services Ltd.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Restaurations GmbH</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S.A.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S.A. de C.V.</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SARL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School Catering Facility Ltd.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Service Industries (China) Co., Ltd.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Services SA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Servicios de Catering, S.L.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Servicios Industriales, S. de R.L. de C.V.</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Servicios Integrales, S.A.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Servicios SRL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Servicios Mineros y Remotos Limitada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Servicos Alimenticos e Participacoes Ltda.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Trustees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Uniform Holding de Mexico, S.A. de C.V.</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Uniform Services (Canada) Ltd.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Uniform Services Japan Corporation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Workplace Solutions (UK) Ltd.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Workplace Solutions Yonetim Hizmetleri Limited Sirketi</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 S.R.O.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Aramark/Dasko Restaurant and Catering Services S.A.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ARAMONT Company Ltd.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Avendra Canada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Avoca Handweavers Designs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Avoca Handweavers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Avoca Handweavers NI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Avoca Handweavers Shops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Avoca Handweavers UK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Beijing Golden Collar Dining Ltd.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Boompjes Hotel BV</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Campbell Catering (N.I.)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Belgium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Korea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Denmark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Luxembourg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Germany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Qatar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Germany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Luxembourg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Luxembourg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Kazakhstan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Saudi Arabia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Mexico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Mexico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Mexico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Norway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Germany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Belgium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Mexico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Luxembourg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Czech Republic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Belgium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Spain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Mexico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Spain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Argentina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Brazil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Mexico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Japan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Turkey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Czech Republic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Greece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Bermuda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Northern 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Netherlands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Northern Ireland</w:t>
      </w:r>
    </w:p>
    <w:p>
      <w:pPr>
        <w:sectPr>
          <w:pgSz w:w="11900" w:h="16838" w:orient="portrait"/>
          <w:cols w:equalWidth="0" w:num="2">
            <w:col w:w="4600" w:space="720"/>
            <w:col w:w="6060"/>
          </w:cols>
          <w:pgMar w:left="280" w:top="124" w:right="239" w:bottom="0" w:gutter="0" w:footer="0" w:header="0"/>
          <w:type w:val="continuous"/>
        </w:sectPr>
      </w:pPr>
    </w:p>
    <w:bookmarkStart w:id="223" w:name="page224"/>
    <w:bookmarkEnd w:id="2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ectPr>
          <w:pgSz w:w="11900" w:h="16838" w:orient="portrait"/>
          <w:cols w:equalWidth="0" w:num="1">
            <w:col w:w="11380"/>
          </w:cols>
          <w:pgMar w:left="280" w:top="124"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Campbell Catering Holdings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Campbell Catering Ltd.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Campbell Catering Services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Canadian Linen and Uniform Service 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CDR Mantenimiento Integral S.A.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Central de Abastecimiento Limitada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Central de Restaurantes Aramark Limitada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Central de Restaurantes Aramark Multiservicios Limitada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Central de Restaurantes S.R.L.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Central Multiservicios S.R.L.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Centrapal S.R.L.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Centro de Innovacion y Servicio S.A.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Comertel SA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Comertel Educa SLU</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Comertel Residencia SLU</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Complete Purchasing Services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Distributor JV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Dongguan Best Property Management Co., Ltd.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Food JV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Gestion de Alimentacion y Limpieza Colectivadades SLU</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Glenrye Properties Services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GTB Gastro Team Bremen GmbH</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Instituto ICS S.A.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Inversiones Aramark Chile Limitada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Inversiones Centralcorp Limitada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Inversiones en Aseo y Mantenimiento S.A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Irish Estates (Facilities Management)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 Mount Weavers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Nissho Linen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Pelican Procurement Services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Prem Hospitality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Premgroup Franchise Services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Premier Management Company (Dublin)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Quebec Linge 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Spokesoft Technologies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Trinity Hospitality Services GmbH</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Trinity Hospitality Services SARL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Trinity Purchasing N.V.</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Vector Environmental Services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Vector Workplace and Facility Management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Veris UK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Argentina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Argentina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Argentina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Spain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Spain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Spain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British Virgin Islands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British Virgin Islands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Spain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Germany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Japan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Canada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Germany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Belgium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Northern 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Ireland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ectPr>
          <w:pgSz w:w="11900" w:h="16838" w:orient="portrait"/>
          <w:cols w:equalWidth="0" w:num="2">
            <w:col w:w="4600" w:space="720"/>
            <w:col w:w="6060"/>
          </w:cols>
          <w:pgMar w:left="280" w:top="124" w:right="239" w:bottom="1440" w:gutter="0" w:footer="0" w:header="0"/>
          <w:type w:val="continuous"/>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333-192775 and 333-192776) on Forms S-8 and (Nos. 333-202133 and 333-219920) on Forms S-3, of Aramark of our reports dated November 26, 2019, with respect to the consolidated balance sheets of Aramark as of September 27, 2019 and September 28, 2018, and the related consolidated statements of income, comprehensive income, cash flows, and stockholders’ equity for each of the fiscal years ended September 27, 2019, September 28, 2018 and September 29, 2017, and the related notes and the related financial statement schedule II (collectively the consolidated financial statements), and the effectiveness of internal control over financial reporting as of September 27, 2019, which reports appear in the September 27, 2019 annual report on Form 10-K of Aramark.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 refers to a change in the method of accounting for revenue</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2019</w:t>
      </w:r>
    </w:p>
    <w:p>
      <w:pPr>
        <w:sectPr>
          <w:pgSz w:w="11900" w:h="16838" w:orient="portrait"/>
          <w:cols w:equalWidth="0" w:num="1">
            <w:col w:w="11420"/>
          </w:cols>
          <w:pgMar w:left="240" w:top="117" w:right="2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Zillmer, Chief Executive Officer, certify that:</w:t>
      </w:r>
    </w:p>
    <w:p>
      <w:pPr>
        <w:spacing w:after="0" w:line="185" w:lineRule="exact"/>
        <w:rPr>
          <w:sz w:val="20"/>
          <w:szCs w:val="20"/>
          <w:color w:val="auto"/>
        </w:rPr>
      </w:pPr>
    </w:p>
    <w:p>
      <w:pPr>
        <w:ind w:left="320" w:hanging="312"/>
        <w:spacing w:after="0"/>
        <w:tabs>
          <w:tab w:leader="none" w:pos="3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Aramark for the fiscal year ended September 27, 2019;</w:t>
      </w:r>
    </w:p>
    <w:p>
      <w:pPr>
        <w:spacing w:after="0" w:line="184" w:lineRule="exact"/>
        <w:rPr>
          <w:rFonts w:ascii="Times New Roman" w:cs="Times New Roman" w:eastAsia="Times New Roman" w:hAnsi="Times New Roman"/>
          <w:sz w:val="18"/>
          <w:szCs w:val="18"/>
          <w:color w:val="auto"/>
        </w:rPr>
      </w:pPr>
    </w:p>
    <w:p>
      <w:pPr>
        <w:ind w:right="440" w:firstLine="8"/>
        <w:spacing w:after="0" w:line="282" w:lineRule="auto"/>
        <w:tabs>
          <w:tab w:leader="none" w:pos="31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600" w:firstLine="8"/>
        <w:spacing w:after="0" w:line="282" w:lineRule="auto"/>
        <w:tabs>
          <w:tab w:leader="none" w:pos="31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260" w:firstLine="8"/>
        <w:spacing w:after="0" w:line="266" w:lineRule="auto"/>
        <w:tabs>
          <w:tab w:leader="none" w:pos="31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340" w:firstLine="8"/>
        <w:spacing w:after="0" w:line="282" w:lineRule="auto"/>
        <w:tabs>
          <w:tab w:leader="none" w:pos="31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305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711" w:right="2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CERTIFICATIONS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Bramlage, Jr., Executive Vice President and Chief Financial Officer, certify that:</w:t>
      </w:r>
    </w:p>
    <w:p>
      <w:pPr>
        <w:spacing w:after="0" w:line="185" w:lineRule="exact"/>
        <w:rPr>
          <w:sz w:val="20"/>
          <w:szCs w:val="20"/>
          <w:color w:val="auto"/>
        </w:rPr>
      </w:pPr>
    </w:p>
    <w:p>
      <w:pPr>
        <w:ind w:left="320" w:hanging="312"/>
        <w:spacing w:after="0"/>
        <w:tabs>
          <w:tab w:leader="none" w:pos="3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Aramark for the fiscal year ended September 27, 2019;</w:t>
      </w:r>
    </w:p>
    <w:p>
      <w:pPr>
        <w:spacing w:after="0" w:line="184" w:lineRule="exact"/>
        <w:rPr>
          <w:rFonts w:ascii="Times New Roman" w:cs="Times New Roman" w:eastAsia="Times New Roman" w:hAnsi="Times New Roman"/>
          <w:sz w:val="18"/>
          <w:szCs w:val="18"/>
          <w:color w:val="auto"/>
        </w:rPr>
      </w:pPr>
    </w:p>
    <w:p>
      <w:pPr>
        <w:ind w:right="440" w:firstLine="8"/>
        <w:spacing w:after="0" w:line="282" w:lineRule="auto"/>
        <w:tabs>
          <w:tab w:leader="none" w:pos="31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600" w:firstLine="8"/>
        <w:spacing w:after="0" w:line="282" w:lineRule="auto"/>
        <w:tabs>
          <w:tab w:leader="none" w:pos="31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260" w:firstLine="8"/>
        <w:spacing w:after="0" w:line="266" w:lineRule="auto"/>
        <w:tabs>
          <w:tab w:leader="none" w:pos="31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340" w:firstLine="8"/>
        <w:spacing w:after="0" w:line="282" w:lineRule="auto"/>
        <w:tabs>
          <w:tab w:leader="none" w:pos="31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P. B</w:t>
      </w:r>
      <w:r>
        <w:rPr>
          <w:rFonts w:ascii="Times New Roman" w:cs="Times New Roman" w:eastAsia="Times New Roman" w:hAnsi="Times New Roman"/>
          <w:sz w:val="14"/>
          <w:szCs w:val="14"/>
          <w:color w:val="auto"/>
        </w:rPr>
        <w:t>RAMLAGE,</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305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Stephen P. Bramlage, Jr.</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550" w:right="2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Aramark (the “Company”) on Form 10-K for the fiscal year ended September 27, 2019, as filed with the Securities and Exchange Commission on the date hereof (the “Report”), we, John J. Zillmer, Chief Executive Officer of the Company, and Stephen P. Bramlage, Jr., Executive Vice President and Chief Financial Officer of the Company, each certify, pursuant to 18 U.S.C. Section 1350, as adopted pursuant to Section 906 of the Sarbanes-Oxley Act of 2002, that, based on each of our knowledge:</w:t>
      </w:r>
    </w:p>
    <w:p>
      <w:pPr>
        <w:spacing w:after="0" w:line="140" w:lineRule="exact"/>
        <w:rPr>
          <w:sz w:val="20"/>
          <w:szCs w:val="20"/>
          <w:color w:val="auto"/>
        </w:rPr>
      </w:pPr>
    </w:p>
    <w:p>
      <w:pPr>
        <w:ind w:left="400" w:hanging="392"/>
        <w:spacing w:after="0"/>
        <w:tabs>
          <w:tab w:leader="none" w:pos="4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305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P. B</w:t>
      </w:r>
      <w:r>
        <w:rPr>
          <w:rFonts w:ascii="Times New Roman" w:cs="Times New Roman" w:eastAsia="Times New Roman" w:hAnsi="Times New Roman"/>
          <w:sz w:val="14"/>
          <w:szCs w:val="14"/>
          <w:color w:val="auto"/>
        </w:rPr>
        <w:t>RAMLAGE,</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305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Stephen P. Bramlage, Jr.</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420"/>
      </w:cols>
      <w:pgMar w:left="240" w:top="5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
      <w:numFmt w:val="bullet"/>
      <w:start w:val="1"/>
    </w:lvl>
  </w:abstractNum>
  <w:abstractNum w:abstractNumId="3">
    <w:nsid w:val="14FCE74E"/>
    <w:multiLevelType w:val="hybridMultilevel"/>
    <w:lvl w:ilvl="0">
      <w:lvlJc w:val="left"/>
      <w:lvlText w:val="•"/>
      <w:numFmt w:val="bullet"/>
      <w:start w:val="1"/>
    </w:lvl>
  </w:abstractNum>
  <w:abstractNum w:abstractNumId="4">
    <w:nsid w:val="6A3DD3E8"/>
    <w:multiLevelType w:val="hybridMultilevel"/>
    <w:lvl w:ilvl="0">
      <w:lvlJc w:val="left"/>
      <w:lvlText w:val="•"/>
      <w:numFmt w:val="bullet"/>
      <w:start w:val="1"/>
    </w:lvl>
  </w:abstractNum>
  <w:abstractNum w:abstractNumId="5">
    <w:nsid w:val="71C91298"/>
    <w:multiLevelType w:val="hybridMultilevel"/>
    <w:lvl w:ilvl="0">
      <w:lvlJc w:val="left"/>
      <w:lvlText w:val="•"/>
      <w:numFmt w:val="bullet"/>
      <w:start w:val="1"/>
    </w:lvl>
  </w:abstractNum>
  <w:abstractNum w:abstractNumId="6">
    <w:nsid w:val="9DAF632"/>
    <w:multiLevelType w:val="hybridMultilevel"/>
    <w:lvl w:ilvl="0">
      <w:lvlJc w:val="left"/>
      <w:lvlText w:val="•"/>
      <w:numFmt w:val="bullet"/>
      <w:start w:val="1"/>
    </w:lvl>
  </w:abstractNum>
  <w:abstractNum w:abstractNumId="7">
    <w:nsid w:val="53299938"/>
    <w:multiLevelType w:val="hybridMultilevel"/>
    <w:lvl w:ilvl="0">
      <w:lvlJc w:val="left"/>
      <w:lvlText w:val="(%1)"/>
      <w:numFmt w:val="decimal"/>
      <w:start w:val="1"/>
    </w:lvl>
  </w:abstractNum>
  <w:abstractNum w:abstractNumId="8">
    <w:nsid w:val="1FBFE8E0"/>
    <w:multiLevelType w:val="hybridMultilevel"/>
    <w:lvl w:ilvl="0">
      <w:lvlJc w:val="left"/>
      <w:lvlText w:val="•"/>
      <w:numFmt w:val="bullet"/>
      <w:start w:val="1"/>
    </w:lvl>
  </w:abstractNum>
  <w:abstractNum w:abstractNumId="9">
    <w:nsid w:val="5092CA79"/>
    <w:multiLevelType w:val="hybridMultilevel"/>
    <w:lvl w:ilvl="0">
      <w:lvlJc w:val="left"/>
      <w:lvlText w:val="(%1)"/>
      <w:numFmt w:val="decimal"/>
      <w:start w:val="1"/>
    </w:lvl>
  </w:abstractNum>
  <w:abstractNum w:abstractNumId="10">
    <w:nsid w:val="1D545C4D"/>
    <w:multiLevelType w:val="hybridMultilevel"/>
    <w:lvl w:ilvl="0">
      <w:lvlJc w:val="left"/>
      <w:lvlText w:val="•"/>
      <w:numFmt w:val="bullet"/>
      <w:start w:val="1"/>
    </w:lvl>
  </w:abstractNum>
  <w:abstractNum w:abstractNumId="11">
    <w:nsid w:val="59ADEA3D"/>
    <w:multiLevelType w:val="hybridMultilevel"/>
    <w:lvl w:ilvl="0">
      <w:lvlJc w:val="left"/>
      <w:lvlText w:val="•"/>
      <w:numFmt w:val="bullet"/>
      <w:start w:val="1"/>
    </w:lvl>
  </w:abstractNum>
  <w:abstractNum w:abstractNumId="12">
    <w:nsid w:val="288F1A34"/>
    <w:multiLevelType w:val="hybridMultilevel"/>
    <w:lvl w:ilvl="0">
      <w:lvlJc w:val="left"/>
      <w:lvlText w:val="•"/>
      <w:numFmt w:val="bullet"/>
      <w:start w:val="1"/>
    </w:lvl>
  </w:abstractNum>
  <w:abstractNum w:abstractNumId="13">
    <w:nsid w:val="2A155DBC"/>
    <w:multiLevelType w:val="hybridMultilevel"/>
    <w:lvl w:ilvl="0">
      <w:lvlJc w:val="left"/>
      <w:lvlText w:val="•"/>
      <w:numFmt w:val="bullet"/>
      <w:start w:val="1"/>
    </w:lvl>
  </w:abstractNum>
  <w:abstractNum w:abstractNumId="14">
    <w:nsid w:val="1D9F6E5F"/>
    <w:multiLevelType w:val="hybridMultilevel"/>
    <w:lvl w:ilvl="0">
      <w:lvlJc w:val="left"/>
      <w:lvlText w:val="•"/>
      <w:numFmt w:val="bullet"/>
      <w:start w:val="1"/>
    </w:lvl>
  </w:abstractNum>
  <w:abstractNum w:abstractNumId="15">
    <w:nsid w:val="97E1B4E"/>
    <w:multiLevelType w:val="hybridMultilevel"/>
    <w:lvl w:ilvl="0">
      <w:lvlJc w:val="left"/>
      <w:lvlText w:val="•"/>
      <w:numFmt w:val="bullet"/>
      <w:start w:val="1"/>
    </w:lvl>
  </w:abstractNum>
  <w:abstractNum w:abstractNumId="16">
    <w:nsid w:val="51088277"/>
    <w:multiLevelType w:val="hybridMultilevel"/>
    <w:lvl w:ilvl="0">
      <w:lvlJc w:val="left"/>
      <w:lvlText w:val="•"/>
      <w:numFmt w:val="bullet"/>
      <w:start w:val="1"/>
    </w:lvl>
  </w:abstractNum>
  <w:abstractNum w:abstractNumId="17">
    <w:nsid w:val="1CA0C5FA"/>
    <w:multiLevelType w:val="hybridMultilevel"/>
    <w:lvl w:ilvl="0">
      <w:lvlJc w:val="left"/>
      <w:lvlText w:val="•"/>
      <w:numFmt w:val="bullet"/>
      <w:start w:val="1"/>
    </w:lvl>
  </w:abstractNum>
  <w:abstractNum w:abstractNumId="18">
    <w:nsid w:val="53584BCB"/>
    <w:multiLevelType w:val="hybridMultilevel"/>
    <w:lvl w:ilvl="0">
      <w:lvlJc w:val="left"/>
      <w:lvlText w:val="•"/>
      <w:numFmt w:val="bullet"/>
      <w:start w:val="1"/>
    </w:lvl>
  </w:abstractNum>
  <w:abstractNum w:abstractNumId="19">
    <w:nsid w:val="415E286C"/>
    <w:multiLevelType w:val="hybridMultilevel"/>
    <w:lvl w:ilvl="0">
      <w:lvlJc w:val="left"/>
      <w:lvlText w:val="•"/>
      <w:numFmt w:val="bullet"/>
      <w:start w:val="1"/>
    </w:lvl>
  </w:abstractNum>
  <w:abstractNum w:abstractNumId="20">
    <w:nsid w:val="7C58FD05"/>
    <w:multiLevelType w:val="hybridMultilevel"/>
    <w:lvl w:ilvl="0">
      <w:lvlJc w:val="left"/>
      <w:lvlText w:val="•"/>
      <w:numFmt w:val="bullet"/>
      <w:start w:val="1"/>
    </w:lvl>
  </w:abstractNum>
  <w:abstractNum w:abstractNumId="21">
    <w:nsid w:val="23D86AAC"/>
    <w:multiLevelType w:val="hybridMultilevel"/>
    <w:lvl w:ilvl="0">
      <w:lvlJc w:val="left"/>
      <w:lvlText w:val="•"/>
      <w:numFmt w:val="bullet"/>
      <w:start w:val="1"/>
    </w:lvl>
  </w:abstractNum>
  <w:abstractNum w:abstractNumId="22">
    <w:nsid w:val="45E6D486"/>
    <w:multiLevelType w:val="hybridMultilevel"/>
    <w:lvl w:ilvl="0">
      <w:lvlJc w:val="left"/>
      <w:lvlText w:val="•"/>
      <w:numFmt w:val="bullet"/>
      <w:start w:val="1"/>
    </w:lvl>
  </w:abstractNum>
  <w:abstractNum w:abstractNumId="23">
    <w:nsid w:val="5C10FE21"/>
    <w:multiLevelType w:val="hybridMultilevel"/>
    <w:lvl w:ilvl="0">
      <w:lvlJc w:val="left"/>
      <w:lvlText w:val="(%1)"/>
      <w:numFmt w:val="decimal"/>
      <w:start w:val="1"/>
    </w:lvl>
  </w:abstractNum>
  <w:abstractNum w:abstractNumId="24">
    <w:nsid w:val="E7FFA2B"/>
    <w:multiLevelType w:val="hybridMultilevel"/>
    <w:lvl w:ilvl="0">
      <w:lvlJc w:val="left"/>
      <w:lvlText w:val="(%1)"/>
      <w:numFmt w:val="decimal"/>
      <w:start w:val="2"/>
    </w:lvl>
  </w:abstractNum>
  <w:abstractNum w:abstractNumId="25">
    <w:nsid w:val="3C5991AA"/>
    <w:multiLevelType w:val="hybridMultilevel"/>
    <w:lvl w:ilvl="0">
      <w:lvlJc w:val="left"/>
      <w:lvlText w:val="(%1)"/>
      <w:numFmt w:val="decimal"/>
      <w:start w:val="1"/>
    </w:lvl>
  </w:abstractNum>
  <w:abstractNum w:abstractNumId="26">
    <w:nsid w:val="4BD8591A"/>
    <w:multiLevelType w:val="hybridMultilevel"/>
    <w:lvl w:ilvl="0">
      <w:lvlJc w:val="left"/>
      <w:lvlText w:val="(%1)"/>
      <w:numFmt w:val="decimal"/>
      <w:start w:val="1"/>
    </w:lvl>
  </w:abstractNum>
  <w:abstractNum w:abstractNumId="27">
    <w:nsid w:val="78DF6A55"/>
    <w:multiLevelType w:val="hybridMultilevel"/>
    <w:lvl w:ilvl="0">
      <w:lvlJc w:val="left"/>
      <w:lvlText w:val="•"/>
      <w:numFmt w:val="bullet"/>
      <w:start w:val="1"/>
    </w:lvl>
  </w:abstractNum>
  <w:abstractNum w:abstractNumId="28">
    <w:nsid w:val="39B7AAA2"/>
    <w:multiLevelType w:val="hybridMultilevel"/>
    <w:lvl w:ilvl="0">
      <w:lvlJc w:val="left"/>
      <w:lvlText w:val="•"/>
      <w:numFmt w:val="bullet"/>
      <w:start w:val="1"/>
    </w:lvl>
  </w:abstractNum>
  <w:abstractNum w:abstractNumId="29">
    <w:nsid w:val="2B0D8DBE"/>
    <w:multiLevelType w:val="hybridMultilevel"/>
    <w:lvl w:ilvl="0">
      <w:lvlJc w:val="left"/>
      <w:lvlText w:val="(%1)"/>
      <w:numFmt w:val="lowerLetter"/>
      <w:start w:val="1"/>
    </w:lvl>
  </w:abstractNum>
  <w:abstractNum w:abstractNumId="30">
    <w:nsid w:val="6C80EC70"/>
    <w:multiLevelType w:val="hybridMultilevel"/>
    <w:lvl w:ilvl="0">
      <w:lvlJc w:val="left"/>
      <w:lvlText w:val="(%1)"/>
      <w:numFmt w:val="lowerLetter"/>
      <w:start w:val="1"/>
    </w:lvl>
  </w:abstractNum>
  <w:abstractNum w:abstractNumId="31">
    <w:nsid w:val="379E21B5"/>
    <w:multiLevelType w:val="hybridMultilevel"/>
    <w:lvl w:ilvl="0">
      <w:lvlJc w:val="left"/>
      <w:lvlText w:val="(%1)"/>
      <w:numFmt w:val="lowerLetter"/>
      <w:start w:val="2"/>
    </w:lvl>
  </w:abstractNum>
  <w:abstractNum w:abstractNumId="32">
    <w:nsid w:val="69E373"/>
    <w:multiLevelType w:val="hybridMultilevel"/>
    <w:lvl w:ilvl="0">
      <w:lvlJc w:val="left"/>
      <w:lvlText w:val="(%1)"/>
      <w:numFmt w:val="lowerLetter"/>
      <w:start w:val="3"/>
    </w:lvl>
  </w:abstractNum>
  <w:abstractNum w:abstractNumId="33">
    <w:nsid w:val="2C27173B"/>
    <w:multiLevelType w:val="hybridMultilevel"/>
    <w:lvl w:ilvl="0">
      <w:lvlJc w:val="left"/>
      <w:lvlText w:val="•"/>
      <w:numFmt w:val="bullet"/>
      <w:start w:val="1"/>
    </w:lvl>
  </w:abstractNum>
  <w:abstractNum w:abstractNumId="34">
    <w:nsid w:val="4C9B0904"/>
    <w:multiLevelType w:val="hybridMultilevel"/>
    <w:lvl w:ilvl="0">
      <w:lvlJc w:val="left"/>
      <w:lvlText w:val="•"/>
      <w:numFmt w:val="bullet"/>
      <w:start w:val="1"/>
    </w:lvl>
  </w:abstractNum>
  <w:abstractNum w:abstractNumId="35">
    <w:nsid w:val="6AA7B75C"/>
    <w:multiLevelType w:val="hybridMultilevel"/>
    <w:lvl w:ilvl="0">
      <w:lvlJc w:val="left"/>
      <w:lvlText w:val="(%1)"/>
      <w:numFmt w:val="decimal"/>
      <w:start w:val="1"/>
    </w:lvl>
  </w:abstractNum>
  <w:abstractNum w:abstractNumId="36">
    <w:nsid w:val="1DF029D3"/>
    <w:multiLevelType w:val="hybridMultilevel"/>
    <w:lvl w:ilvl="0">
      <w:lvlJc w:val="left"/>
      <w:lvlText w:val="(%1)"/>
      <w:numFmt w:val="decimal"/>
      <w:start w:val="1"/>
    </w:lvl>
  </w:abstractNum>
  <w:abstractNum w:abstractNumId="37">
    <w:nsid w:val="5675FF36"/>
    <w:multiLevelType w:val="hybridMultilevel"/>
    <w:lvl w:ilvl="0">
      <w:lvlJc w:val="left"/>
      <w:lvlText w:val="(%1)"/>
      <w:numFmt w:val="decimal"/>
      <w:start w:val="1"/>
    </w:lvl>
  </w:abstractNum>
  <w:abstractNum w:abstractNumId="38">
    <w:nsid w:val="3DD15094"/>
    <w:multiLevelType w:val="hybridMultilevel"/>
    <w:lvl w:ilvl="0">
      <w:lvlJc w:val="left"/>
      <w:lvlText w:val="(%1)"/>
      <w:numFmt w:val="decimal"/>
      <w:start w:val="1"/>
    </w:lvl>
  </w:abstractNum>
  <w:abstractNum w:abstractNumId="39">
    <w:nsid w:val="3DB012B3"/>
    <w:multiLevelType w:val="hybridMultilevel"/>
    <w:lvl w:ilvl="0">
      <w:lvlJc w:val="left"/>
      <w:lvlText w:val="•"/>
      <w:numFmt w:val="bullet"/>
      <w:start w:val="1"/>
    </w:lvl>
  </w:abstractNum>
  <w:abstractNum w:abstractNumId="40">
    <w:nsid w:val="2708C9AF"/>
    <w:multiLevelType w:val="hybridMultilevel"/>
    <w:lvl w:ilvl="0">
      <w:lvlJc w:val="left"/>
      <w:lvlText w:val="•"/>
      <w:numFmt w:val="bullet"/>
      <w:start w:val="1"/>
    </w:lvl>
  </w:abstractNum>
  <w:abstractNum w:abstractNumId="41">
    <w:nsid w:val="5B25ACE2"/>
    <w:multiLevelType w:val="hybridMultilevel"/>
    <w:lvl w:ilvl="0">
      <w:lvlJc w:val="left"/>
      <w:lvlText w:val="•"/>
      <w:numFmt w:val="bullet"/>
      <w:start w:val="1"/>
    </w:lvl>
  </w:abstractNum>
  <w:abstractNum w:abstractNumId="42">
    <w:nsid w:val="175DFCF0"/>
    <w:multiLevelType w:val="hybridMultilevel"/>
    <w:lvl w:ilvl="0">
      <w:lvlJc w:val="left"/>
      <w:lvlText w:val="(%1)"/>
      <w:numFmt w:val="decimal"/>
      <w:start w:val="1"/>
    </w:lvl>
  </w:abstractNum>
  <w:abstractNum w:abstractNumId="43">
    <w:nsid w:val="4F97E3E4"/>
    <w:multiLevelType w:val="hybridMultilevel"/>
    <w:lvl w:ilvl="0">
      <w:lvlJc w:val="left"/>
      <w:lvlText w:val="(%1)"/>
      <w:numFmt w:val="decimal"/>
      <w:start w:val="1"/>
    </w:lvl>
  </w:abstractNum>
  <w:abstractNum w:abstractNumId="44">
    <w:nsid w:val="53B0A9E"/>
    <w:multiLevelType w:val="hybridMultilevel"/>
    <w:lvl w:ilvl="0">
      <w:lvlJc w:val="left"/>
      <w:lvlText w:val="•"/>
      <w:numFmt w:val="bullet"/>
      <w:start w:val="1"/>
    </w:lvl>
  </w:abstractNum>
  <w:abstractNum w:abstractNumId="45">
    <w:nsid w:val="34FD6B4F"/>
    <w:multiLevelType w:val="hybridMultilevel"/>
    <w:lvl w:ilvl="0">
      <w:lvlJc w:val="left"/>
      <w:lvlText w:val="•"/>
      <w:numFmt w:val="bullet"/>
      <w:start w:val="1"/>
    </w:lvl>
  </w:abstractNum>
  <w:abstractNum w:abstractNumId="46">
    <w:nsid w:val="5915FF32"/>
    <w:multiLevelType w:val="hybridMultilevel"/>
    <w:lvl w:ilvl="0">
      <w:lvlJc w:val="left"/>
      <w:lvlText w:val="(%1)"/>
      <w:numFmt w:val="decimal"/>
      <w:start w:val="1"/>
    </w:lvl>
  </w:abstractNum>
  <w:abstractNum w:abstractNumId="47">
    <w:nsid w:val="56438D15"/>
    <w:multiLevelType w:val="hybridMultilevel"/>
    <w:lvl w:ilvl="0">
      <w:lvlJc w:val="left"/>
      <w:lvlText w:val="•"/>
      <w:numFmt w:val="bullet"/>
      <w:start w:val="1"/>
    </w:lvl>
  </w:abstractNum>
  <w:abstractNum w:abstractNumId="48">
    <w:nsid w:val="519E3149"/>
    <w:multiLevelType w:val="hybridMultilevel"/>
    <w:lvl w:ilvl="0">
      <w:lvlJc w:val="left"/>
      <w:lvlText w:val="•"/>
      <w:numFmt w:val="bullet"/>
      <w:start w:val="1"/>
    </w:lvl>
  </w:abstractNum>
  <w:abstractNum w:abstractNumId="49">
    <w:nsid w:val="2C6E4AFD"/>
    <w:multiLevelType w:val="hybridMultilevel"/>
    <w:lvl w:ilvl="0">
      <w:lvlJc w:val="left"/>
      <w:lvlText w:val="(%1)"/>
      <w:numFmt w:val="decimal"/>
      <w:start w:val="1"/>
    </w:lvl>
  </w:abstractNum>
  <w:abstractNum w:abstractNumId="50">
    <w:nsid w:val="17A1B582"/>
    <w:multiLevelType w:val="hybridMultilevel"/>
    <w:lvl w:ilvl="0">
      <w:lvlJc w:val="left"/>
      <w:lvlText w:val="%1."/>
      <w:numFmt w:val="lowerLetter"/>
      <w:start w:val="1"/>
    </w:lvl>
  </w:abstractNum>
  <w:abstractNum w:abstractNumId="51">
    <w:nsid w:val="4DF72E4E"/>
    <w:multiLevelType w:val="hybridMultilevel"/>
    <w:lvl w:ilvl="0">
      <w:lvlJc w:val="left"/>
      <w:lvlText w:val="(%1)"/>
      <w:numFmt w:val="decimal"/>
      <w:start w:val="1"/>
    </w:lvl>
  </w:abstractNum>
  <w:abstractNum w:abstractNumId="52">
    <w:nsid w:val="5046B5A9"/>
    <w:multiLevelType w:val="hybridMultilevel"/>
    <w:lvl w:ilvl="0">
      <w:lvlJc w:val="left"/>
      <w:lvlText w:val="(%1)"/>
      <w:numFmt w:val="decimal"/>
      <w:start w:val="1"/>
    </w:lvl>
  </w:abstractNum>
  <w:abstractNum w:abstractNumId="53">
    <w:nsid w:val="5D888A08"/>
    <w:multiLevelType w:val="hybridMultilevel"/>
    <w:lvl w:ilvl="0">
      <w:lvlJc w:val="left"/>
      <w:lvlText w:val="(%1)"/>
      <w:numFmt w:val="decimal"/>
      <w:start w:val="1"/>
    </w:lvl>
  </w:abstractNum>
  <w:abstractNum w:abstractNumId="54">
    <w:nsid w:val="2A082C70"/>
    <w:multiLevelType w:val="hybridMultilevel"/>
    <w:lvl w:ilvl="0">
      <w:lvlJc w:val="left"/>
      <w:lvlText w:val="(%1)"/>
      <w:numFmt w:val="decimal"/>
      <w:start w:val="1"/>
    </w:lvl>
  </w:abstractNum>
  <w:abstractNum w:abstractNumId="55">
    <w:nsid w:val="5EC6AFD4"/>
    <w:multiLevelType w:val="hybridMultilevel"/>
    <w:lvl w:ilvl="0">
      <w:lvlJc w:val="left"/>
      <w:lvlText w:val="(%1)"/>
      <w:numFmt w:val="decimal"/>
      <w:start w:val="1"/>
    </w:lvl>
  </w:abstractNum>
  <w:abstractNum w:abstractNumId="56">
    <w:nsid w:val="19E21BB2"/>
    <w:multiLevelType w:val="hybridMultilevel"/>
    <w:lvl w:ilvl="0">
      <w:lvlJc w:val="left"/>
      <w:lvlText w:val="(%1)"/>
      <w:numFmt w:val="decimal"/>
      <w:start w:val="1"/>
    </w:lvl>
  </w:abstractNum>
  <w:abstractNum w:abstractNumId="57">
    <w:nsid w:val="75E0858A"/>
    <w:multiLevelType w:val="hybridMultilevel"/>
    <w:lvl w:ilvl="0">
      <w:lvlJc w:val="left"/>
      <w:lvlText w:val="•"/>
      <w:numFmt w:val="bullet"/>
      <w:start w:val="1"/>
    </w:lvl>
  </w:abstractNum>
  <w:abstractNum w:abstractNumId="58">
    <w:nsid w:val="57A61A29"/>
    <w:multiLevelType w:val="hybridMultilevel"/>
    <w:lvl w:ilvl="0">
      <w:lvlJc w:val="left"/>
      <w:lvlText w:val="•"/>
      <w:numFmt w:val="bullet"/>
      <w:start w:val="1"/>
    </w:lvl>
  </w:abstractNum>
  <w:abstractNum w:abstractNumId="59">
    <w:nsid w:val="5399C654"/>
    <w:multiLevelType w:val="hybridMultilevel"/>
    <w:lvl w:ilvl="0">
      <w:lvlJc w:val="left"/>
      <w:lvlText w:val="(%1)"/>
      <w:numFmt w:val="decimal"/>
      <w:start w:val="1"/>
    </w:lvl>
  </w:abstractNum>
  <w:abstractNum w:abstractNumId="60">
    <w:nsid w:val="20EE1348"/>
    <w:multiLevelType w:val="hybridMultilevel"/>
    <w:lvl w:ilvl="0">
      <w:lvlJc w:val="left"/>
      <w:lvlText w:val="•"/>
      <w:numFmt w:val="bullet"/>
      <w:start w:val="1"/>
    </w:lvl>
  </w:abstractNum>
  <w:abstractNum w:abstractNumId="61">
    <w:nsid w:val="4427069A"/>
    <w:multiLevelType w:val="hybridMultilevel"/>
    <w:lvl w:ilvl="0">
      <w:lvlJc w:val="left"/>
      <w:lvlText w:val="•"/>
      <w:numFmt w:val="bullet"/>
      <w:start w:val="1"/>
    </w:lvl>
  </w:abstractNum>
  <w:abstractNum w:abstractNumId="62">
    <w:nsid w:val="B37E80A"/>
    <w:multiLevelType w:val="hybridMultilevel"/>
    <w:lvl w:ilvl="0">
      <w:lvlJc w:val="left"/>
      <w:lvlText w:val="%1."/>
      <w:numFmt w:val="upperLetter"/>
      <w:start w:val="1"/>
    </w:lvl>
  </w:abstractNum>
  <w:abstractNum w:abstractNumId="63">
    <w:nsid w:val="2157F6BC"/>
    <w:multiLevelType w:val="hybridMultilevel"/>
    <w:lvl w:ilvl="0">
      <w:lvlJc w:val="left"/>
      <w:lvlText w:val="%1."/>
      <w:numFmt w:val="upperLetter"/>
      <w:start w:val="2"/>
    </w:lvl>
  </w:abstractNum>
  <w:abstractNum w:abstractNumId="64">
    <w:nsid w:val="704E1DD5"/>
    <w:multiLevelType w:val="hybridMultilevel"/>
    <w:lvl w:ilvl="0">
      <w:lvlJc w:val="left"/>
      <w:lvlText w:val="%1."/>
      <w:numFmt w:val="upperLetter"/>
      <w:start w:val="1"/>
    </w:lvl>
    <w:lvl w:ilvl="1">
      <w:lvlJc w:val="left"/>
      <w:lvlText w:val="%2."/>
      <w:numFmt w:val="decimal"/>
      <w:start w:val="1"/>
    </w:lvl>
  </w:abstractNum>
  <w:abstractNum w:abstractNumId="65">
    <w:nsid w:val="57D2F10E"/>
    <w:multiLevelType w:val="hybridMultilevel"/>
    <w:lvl w:ilvl="0">
      <w:lvlJc w:val="left"/>
      <w:lvlText w:val="%1."/>
      <w:numFmt w:val="decimal"/>
      <w:start w:val="2"/>
    </w:lvl>
    <w:lvl w:ilvl="1">
      <w:lvlJc w:val="left"/>
      <w:lvlText w:val="(%2)"/>
      <w:numFmt w:val="lowerLetter"/>
      <w:start w:val="1"/>
    </w:lvl>
  </w:abstractNum>
  <w:abstractNum w:abstractNumId="66">
    <w:nsid w:val="BFFAE18"/>
    <w:multiLevelType w:val="hybridMultilevel"/>
    <w:lvl w:ilvl="0">
      <w:lvlJc w:val="left"/>
      <w:lvlText w:val="(%1)"/>
      <w:numFmt w:val="lowerLetter"/>
      <w:start w:val="2"/>
    </w:lvl>
  </w:abstractNum>
  <w:abstractNum w:abstractNumId="67">
    <w:nsid w:val="E3E47A8"/>
    <w:multiLevelType w:val="hybridMultilevel"/>
    <w:lvl w:ilvl="0">
      <w:lvlJc w:val="left"/>
      <w:lvlText w:val="%1."/>
      <w:numFmt w:val="upperLetter"/>
      <w:start w:val="2"/>
    </w:lvl>
  </w:abstractNum>
  <w:abstractNum w:abstractNumId="68">
    <w:nsid w:val="2E48F044"/>
    <w:multiLevelType w:val="hybridMultilevel"/>
    <w:lvl w:ilvl="0">
      <w:lvlJc w:val="left"/>
      <w:lvlText w:val="%1."/>
      <w:numFmt w:val="upperLetter"/>
      <w:start w:val="1"/>
    </w:lvl>
  </w:abstractNum>
  <w:abstractNum w:abstractNumId="69">
    <w:nsid w:val="49D0FEAC"/>
    <w:multiLevelType w:val="hybridMultilevel"/>
    <w:lvl w:ilvl="0">
      <w:lvlJc w:val="left"/>
      <w:lvlText w:val="%1."/>
      <w:numFmt w:val="upperLetter"/>
      <w:start w:val="4"/>
    </w:lvl>
  </w:abstractNum>
  <w:abstractNum w:abstractNumId="70">
    <w:nsid w:val="4BEE5A5B"/>
    <w:multiLevelType w:val="hybridMultilevel"/>
    <w:lvl w:ilvl="0">
      <w:lvlJc w:val="left"/>
      <w:lvlText w:val="%1."/>
      <w:numFmt w:val="upperLetter"/>
      <w:start w:val="7"/>
    </w:lvl>
  </w:abstractNum>
  <w:abstractNum w:abstractNumId="71">
    <w:nsid w:val="5551B9F3"/>
    <w:multiLevelType w:val="hybridMultilevel"/>
    <w:lvl w:ilvl="0">
      <w:lvlJc w:val="left"/>
      <w:lvlText w:val="%1."/>
      <w:numFmt w:val="upperLetter"/>
      <w:start w:val="10"/>
    </w:lvl>
  </w:abstractNum>
  <w:abstractNum w:abstractNumId="72">
    <w:nsid w:val="24F6AB8E"/>
    <w:multiLevelType w:val="hybridMultilevel"/>
    <w:lvl w:ilvl="0">
      <w:lvlJc w:val="left"/>
      <w:lvlText w:val="*"/>
      <w:numFmt w:val="bullet"/>
      <w:start w:val="1"/>
    </w:lvl>
  </w:abstractNum>
  <w:abstractNum w:abstractNumId="73">
    <w:nsid w:val="634C574C"/>
    <w:multiLevelType w:val="hybridMultilevel"/>
    <w:lvl w:ilvl="0">
      <w:lvlJc w:val="left"/>
      <w:lvlText w:val="%1."/>
      <w:numFmt w:val="upperLetter"/>
      <w:start w:val="1"/>
    </w:lvl>
  </w:abstractNum>
  <w:abstractNum w:abstractNumId="74">
    <w:nsid w:val="24E99DD7"/>
    <w:multiLevelType w:val="hybridMultilevel"/>
    <w:lvl w:ilvl="0">
      <w:lvlJc w:val="left"/>
      <w:lvlText w:val="%1."/>
      <w:numFmt w:val="upperLetter"/>
      <w:start w:val="2"/>
    </w:lvl>
  </w:abstractNum>
  <w:abstractNum w:abstractNumId="75">
    <w:nsid w:val="2A31B62D"/>
    <w:multiLevelType w:val="hybridMultilevel"/>
    <w:lvl w:ilvl="0">
      <w:lvlJc w:val="left"/>
      <w:lvlText w:val="(%1)"/>
      <w:numFmt w:val="lowerRoman"/>
      <w:start w:val="1"/>
    </w:lvl>
  </w:abstractNum>
  <w:abstractNum w:abstractNumId="76">
    <w:nsid w:val="1849C29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7">
    <w:nsid w:val="7DFF9D09"/>
    <w:multiLevelType w:val="hybridMultilevel"/>
    <w:lvl w:ilvl="0">
      <w:lvlJc w:val="left"/>
      <w:lvlText w:val="%1."/>
      <w:numFmt w:val="upperLetter"/>
      <w:start w:val="2"/>
    </w:lvl>
  </w:abstractNum>
  <w:abstractNum w:abstractNumId="78">
    <w:nsid w:val="754342"/>
    <w:multiLevelType w:val="hybridMultilevel"/>
    <w:lvl w:ilvl="0">
      <w:lvlJc w:val="left"/>
      <w:lvlText w:val="%1."/>
      <w:numFmt w:val="upperLetter"/>
      <w:start w:val="4"/>
    </w:lvl>
  </w:abstractNum>
  <w:abstractNum w:abstractNumId="79">
    <w:nsid w:val="69E7F3E5"/>
    <w:multiLevelType w:val="hybridMultilevel"/>
    <w:lvl w:ilvl="0">
      <w:lvlJc w:val="left"/>
      <w:lvlText w:val="%1."/>
      <w:numFmt w:val="upperLetter"/>
      <w:start w:val="1"/>
    </w:lvl>
  </w:abstractNum>
  <w:abstractNum w:abstractNumId="80">
    <w:nsid w:val="2A6DE806"/>
    <w:multiLevelType w:val="hybridMultilevel"/>
    <w:lvl w:ilvl="0">
      <w:lvlJc w:val="left"/>
      <w:lvlText w:val="%1."/>
      <w:numFmt w:val="upperLetter"/>
      <w:start w:val="4"/>
    </w:lvl>
  </w:abstractNum>
  <w:abstractNum w:abstractNumId="81">
    <w:nsid w:val="1816F8C4"/>
    <w:multiLevelType w:val="hybridMultilevel"/>
    <w:lvl w:ilvl="0">
      <w:lvlJc w:val="left"/>
      <w:lvlText w:val="%1."/>
      <w:numFmt w:val="upperLetter"/>
      <w:start w:val="6"/>
    </w:lvl>
  </w:abstractNum>
  <w:abstractNum w:abstractNumId="82">
    <w:nsid w:val="37DF2233"/>
    <w:multiLevelType w:val="hybridMultilevel"/>
    <w:lvl w:ilvl="0">
      <w:lvlJc w:val="left"/>
      <w:lvlText w:val="%1."/>
      <w:numFmt w:val="upperLetter"/>
      <w:start w:val="12"/>
    </w:lvl>
  </w:abstractNum>
  <w:abstractNum w:abstractNumId="83">
    <w:nsid w:val="7AB49DAF"/>
    <w:multiLevelType w:val="hybridMultilevel"/>
    <w:lvl w:ilvl="0">
      <w:lvlJc w:val="left"/>
      <w:lvlText w:val="%1."/>
      <w:numFmt w:val="decimal"/>
      <w:start w:val="1"/>
    </w:lvl>
  </w:abstractNum>
  <w:abstractNum w:abstractNumId="84">
    <w:nsid w:val="759F82CD"/>
    <w:multiLevelType w:val="hybridMultilevel"/>
    <w:lvl w:ilvl="0">
      <w:lvlJc w:val="left"/>
      <w:lvlText w:val="%1."/>
      <w:numFmt w:val="decimal"/>
      <w:start w:val="2"/>
    </w:lvl>
  </w:abstractNum>
  <w:abstractNum w:abstractNumId="85">
    <w:nsid w:val="61E74EA3"/>
    <w:multiLevelType w:val="hybridMultilevel"/>
    <w:lvl w:ilvl="0">
      <w:lvlJc w:val="left"/>
      <w:lvlText w:val="%1."/>
      <w:numFmt w:val="decimal"/>
      <w:start w:val="3"/>
    </w:lvl>
  </w:abstractNum>
  <w:abstractNum w:abstractNumId="86">
    <w:nsid w:val="597B4D84"/>
    <w:multiLevelType w:val="hybridMultilevel"/>
    <w:lvl w:ilvl="0">
      <w:lvlJc w:val="left"/>
      <w:lvlText w:val="%1."/>
      <w:numFmt w:val="lowerLetter"/>
      <w:start w:val="1"/>
    </w:lvl>
  </w:abstractNum>
  <w:abstractNum w:abstractNumId="87">
    <w:nsid w:val="F819E7F"/>
    <w:multiLevelType w:val="hybridMultilevel"/>
    <w:lvl w:ilvl="0">
      <w:lvlJc w:val="left"/>
      <w:lvlText w:val="(%1)"/>
      <w:numFmt w:val="decimal"/>
      <w:start w:val="1"/>
    </w:lvl>
  </w:abstractNum>
  <w:abstractNum w:abstractNumId="88">
    <w:nsid w:val="57C7D42D"/>
    <w:multiLevelType w:val="hybridMultilevel"/>
    <w:lvl w:ilvl="0">
      <w:lvlJc w:val="left"/>
      <w:lvlText w:val="%1"/>
      <w:numFmt w:val="lowerLetter"/>
      <w:start w:val="1"/>
    </w:lvl>
    <w:lvl w:ilvl="1">
      <w:lvlJc w:val="left"/>
      <w:lvlText w:val="(%2)"/>
      <w:numFmt w:val="decimal"/>
      <w:start w:val="2"/>
    </w:lvl>
  </w:abstractNum>
  <w:abstractNum w:abstractNumId="89">
    <w:nsid w:val="312167AD"/>
    <w:multiLevelType w:val="hybridMultilevel"/>
    <w:lvl w:ilvl="0">
      <w:lvlJc w:val="left"/>
      <w:lvlText w:val="%1."/>
      <w:numFmt w:val="lowerLetter"/>
      <w:start w:val="2"/>
    </w:lvl>
    <w:lvl w:ilvl="1">
      <w:lvlJc w:val="left"/>
      <w:lvlText w:val="%2"/>
      <w:numFmt w:val="decimal"/>
      <w:start w:val="1"/>
    </w:lvl>
  </w:abstractNum>
  <w:abstractNum w:abstractNumId="90">
    <w:nsid w:val="631B64D4"/>
    <w:multiLevelType w:val="hybridMultilevel"/>
    <w:lvl w:ilvl="0">
      <w:lvlJc w:val="left"/>
      <w:lvlText w:val="%1"/>
      <w:numFmt w:val="decimal"/>
      <w:start w:val="1"/>
    </w:lvl>
    <w:lvl w:ilvl="1">
      <w:lvlJc w:val="left"/>
      <w:lvlText w:val="%2."/>
      <w:numFmt w:val="lowerLetter"/>
      <w:start w:val="5"/>
    </w:lvl>
  </w:abstractNum>
  <w:abstractNum w:abstractNumId="91">
    <w:nsid w:val="78B5E776"/>
    <w:multiLevelType w:val="hybridMultilevel"/>
    <w:lvl w:ilvl="0">
      <w:lvlJc w:val="left"/>
      <w:lvlText w:val="%1."/>
      <w:numFmt w:val="decimal"/>
      <w:start w:val="4"/>
    </w:lvl>
    <w:lvl w:ilvl="1">
      <w:lvlJc w:val="left"/>
      <w:lvlText w:val="%2"/>
      <w:numFmt w:val="lowerLetter"/>
      <w:start w:val="1"/>
    </w:lvl>
  </w:abstractNum>
  <w:abstractNum w:abstractNumId="92">
    <w:nsid w:val="75486E47"/>
    <w:multiLevelType w:val="hybridMultilevel"/>
    <w:lvl w:ilvl="0">
      <w:lvlJc w:val="left"/>
      <w:lvlText w:val="%1."/>
      <w:numFmt w:val="decimal"/>
      <w:start w:val="5"/>
    </w:lvl>
    <w:lvl w:ilvl="1">
      <w:lvlJc w:val="left"/>
      <w:lvlText w:val="%2."/>
      <w:numFmt w:val="lowerLetter"/>
      <w:start w:val="1"/>
    </w:lvl>
  </w:abstractNum>
  <w:abstractNum w:abstractNumId="93">
    <w:nsid w:val="6E534CDE"/>
    <w:multiLevelType w:val="hybridMultilevel"/>
    <w:lvl w:ilvl="0">
      <w:lvlJc w:val="left"/>
      <w:lvlText w:val="%1"/>
      <w:numFmt w:val="decimal"/>
      <w:start w:val="1"/>
    </w:lvl>
    <w:lvl w:ilvl="1">
      <w:lvlJc w:val="left"/>
      <w:lvlText w:val="%2."/>
      <w:numFmt w:val="lowerLetter"/>
      <w:start w:val="3"/>
    </w:lvl>
  </w:abstractNum>
  <w:abstractNum w:abstractNumId="94">
    <w:nsid w:val="1A0DDE32"/>
    <w:multiLevelType w:val="hybridMultilevel"/>
    <w:lvl w:ilvl="0">
      <w:lvlJc w:val="left"/>
      <w:lvlText w:val="%1."/>
      <w:numFmt w:val="decimal"/>
      <w:start w:val="6"/>
    </w:lvl>
    <w:lvl w:ilvl="1">
      <w:lvlJc w:val="left"/>
      <w:lvlText w:val="%2"/>
      <w:numFmt w:val="lowerLetter"/>
      <w:start w:val="1"/>
    </w:lvl>
  </w:abstractNum>
  <w:abstractNum w:abstractNumId="95">
    <w:nsid w:val="65968C1C"/>
    <w:multiLevelType w:val="hybridMultilevel"/>
    <w:lvl w:ilvl="0">
      <w:lvlJc w:val="left"/>
      <w:lvlText w:val="%1."/>
      <w:numFmt w:val="decimal"/>
      <w:start w:val="7"/>
    </w:lvl>
  </w:abstractNum>
  <w:abstractNum w:abstractNumId="96">
    <w:nsid w:val="46263DEC"/>
    <w:multiLevelType w:val="hybridMultilevel"/>
    <w:lvl w:ilvl="0">
      <w:lvlJc w:val="left"/>
      <w:lvlText w:val="%1."/>
      <w:numFmt w:val="decimal"/>
      <w:start w:val="8"/>
    </w:lvl>
  </w:abstractNum>
  <w:abstractNum w:abstractNumId="97">
    <w:nsid w:val="260D8C4A"/>
    <w:multiLevelType w:val="hybridMultilevel"/>
    <w:lvl w:ilvl="0">
      <w:lvlJc w:val="left"/>
      <w:lvlText w:val="%1."/>
      <w:numFmt w:val="decimal"/>
      <w:start w:val="9"/>
    </w:lvl>
  </w:abstractNum>
  <w:abstractNum w:abstractNumId="98">
    <w:nsid w:val="73D4D3C4"/>
    <w:multiLevelType w:val="hybridMultilevel"/>
    <w:lvl w:ilvl="0">
      <w:lvlJc w:val="left"/>
      <w:lvlText w:val="%1."/>
      <w:numFmt w:val="decimal"/>
      <w:start w:val="10"/>
    </w:lvl>
  </w:abstractNum>
  <w:abstractNum w:abstractNumId="99">
    <w:nsid w:val="746F2E30"/>
    <w:multiLevelType w:val="hybridMultilevel"/>
    <w:lvl w:ilvl="0">
      <w:lvlJc w:val="left"/>
      <w:lvlText w:val="%1."/>
      <w:numFmt w:val="decimal"/>
      <w:start w:val="11"/>
    </w:lvl>
  </w:abstractNum>
  <w:abstractNum w:abstractNumId="100">
    <w:nsid w:val="6FDE8AF6"/>
    <w:multiLevelType w:val="hybridMultilevel"/>
    <w:lvl w:ilvl="0">
      <w:lvlJc w:val="left"/>
      <w:lvlText w:val="%1."/>
      <w:numFmt w:val="decimal"/>
      <w:start w:val="12"/>
    </w:lvl>
  </w:abstractNum>
  <w:abstractNum w:abstractNumId="101">
    <w:nsid w:val="3FC32E20"/>
    <w:multiLevelType w:val="hybridMultilevel"/>
    <w:lvl w:ilvl="0">
      <w:lvlJc w:val="left"/>
      <w:lvlText w:val="%1."/>
      <w:numFmt w:val="decimal"/>
      <w:start w:val="13"/>
    </w:lvl>
  </w:abstractNum>
  <w:abstractNum w:abstractNumId="102">
    <w:nsid w:val="49C0E823"/>
    <w:multiLevelType w:val="hybridMultilevel"/>
    <w:lvl w:ilvl="0">
      <w:lvlJc w:val="left"/>
      <w:lvlText w:val="%1."/>
      <w:numFmt w:val="decimal"/>
      <w:start w:val="14"/>
    </w:lvl>
  </w:abstractNum>
  <w:abstractNum w:abstractNumId="103">
    <w:nsid w:val="14D53685"/>
    <w:multiLevelType w:val="hybridMultilevel"/>
    <w:lvl w:ilvl="0">
      <w:lvlJc w:val="left"/>
      <w:lvlText w:val="%1."/>
      <w:numFmt w:val="decimal"/>
      <w:start w:val="15"/>
    </w:lvl>
  </w:abstractNum>
  <w:abstractNum w:abstractNumId="104">
    <w:nsid w:val="230F856C"/>
    <w:multiLevelType w:val="hybridMultilevel"/>
    <w:lvl w:ilvl="0">
      <w:lvlJc w:val="left"/>
      <w:lvlText w:val="%1."/>
      <w:numFmt w:val="decimal"/>
      <w:start w:val="1"/>
    </w:lvl>
    <w:lvl w:ilvl="1">
      <w:lvlJc w:val="left"/>
      <w:lvlText w:val="(%2)"/>
      <w:numFmt w:val="lowerRoman"/>
      <w:start w:val="1"/>
    </w:lvl>
  </w:abstractNum>
  <w:abstractNum w:abstractNumId="105">
    <w:nsid w:val="6EAA85FB"/>
    <w:multiLevelType w:val="hybridMultilevel"/>
    <w:lvl w:ilvl="0">
      <w:lvlJc w:val="left"/>
      <w:lvlText w:val="(%1)"/>
      <w:numFmt w:val="lowerRoman"/>
      <w:start w:val="3"/>
    </w:lvl>
  </w:abstractNum>
  <w:abstractNum w:abstractNumId="106">
    <w:nsid w:val="3F06ECB2"/>
    <w:multiLevelType w:val="hybridMultilevel"/>
    <w:lvl w:ilvl="0">
      <w:lvlJc w:val="left"/>
      <w:lvlText w:val="%1."/>
      <w:numFmt w:val="decimal"/>
      <w:start w:val="7"/>
    </w:lvl>
    <w:lvl w:ilvl="1">
      <w:lvlJc w:val="left"/>
      <w:lvlText w:val="(%2)"/>
      <w:numFmt w:val="lowerLetter"/>
      <w:start w:val="1"/>
    </w:lvl>
  </w:abstractNum>
  <w:abstractNum w:abstractNumId="107">
    <w:nsid w:val="3B594807"/>
    <w:multiLevelType w:val="hybridMultilevel"/>
    <w:lvl w:ilvl="0">
      <w:lvlJc w:val="left"/>
      <w:lvlText w:val="%1."/>
      <w:numFmt w:val="decimal"/>
      <w:start w:val="10"/>
    </w:lvl>
  </w:abstractNum>
  <w:abstractNum w:abstractNumId="108">
    <w:nsid w:val="6CAA2304"/>
    <w:multiLevelType w:val="hybridMultilevel"/>
    <w:lvl w:ilvl="0">
      <w:lvlJc w:val="left"/>
      <w:lvlText w:val="%1."/>
      <w:numFmt w:val="decimal"/>
      <w:start w:val="1"/>
    </w:lvl>
    <w:lvl w:ilvl="1">
      <w:lvlJc w:val="left"/>
      <w:lvlText w:val="(%2)"/>
      <w:numFmt w:val="lowerLetter"/>
      <w:start w:val="1"/>
    </w:lvl>
  </w:abstractNum>
  <w:abstractNum w:abstractNumId="109">
    <w:nsid w:val="3F7C2FF4"/>
    <w:multiLevelType w:val="hybridMultilevel"/>
    <w:lvl w:ilvl="0">
      <w:lvlJc w:val="left"/>
      <w:lvlText w:val="(%1)"/>
      <w:numFmt w:val="lowerRoman"/>
      <w:start w:val="2"/>
    </w:lvl>
  </w:abstractNum>
  <w:abstractNum w:abstractNumId="110">
    <w:nsid w:val="25413BEC"/>
    <w:multiLevelType w:val="hybridMultilevel"/>
    <w:lvl w:ilvl="0">
      <w:lvlJc w:val="left"/>
      <w:lvlText w:val="(%1)"/>
      <w:numFmt w:val="lowerLetter"/>
      <w:start w:val="2"/>
    </w:lvl>
  </w:abstractNum>
  <w:abstractNum w:abstractNumId="111">
    <w:nsid w:val="17180B0B"/>
    <w:multiLevelType w:val="hybridMultilevel"/>
    <w:lvl w:ilvl="0">
      <w:lvlJc w:val="left"/>
      <w:lvlText w:val="(%1)"/>
      <w:numFmt w:val="lowerLetter"/>
      <w:start w:val="3"/>
    </w:lvl>
  </w:abstractNum>
  <w:abstractNum w:abstractNumId="112">
    <w:nsid w:val="579328B9"/>
    <w:multiLevelType w:val="hybridMultilevel"/>
    <w:lvl w:ilvl="0">
      <w:lvlJc w:val="left"/>
      <w:lvlText w:val="%1."/>
      <w:numFmt w:val="decimal"/>
      <w:start w:val="2"/>
    </w:lvl>
    <w:lvl w:ilvl="1">
      <w:lvlJc w:val="left"/>
      <w:lvlText w:val="(%2)"/>
      <w:numFmt w:val="lowerLetter"/>
      <w:start w:val="1"/>
    </w:lvl>
  </w:abstractNum>
  <w:abstractNum w:abstractNumId="113">
    <w:nsid w:val="5D205E2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4">
    <w:nsid w:val="11CCA8BA"/>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1"/>
    </w:lvl>
  </w:abstractNum>
  <w:abstractNum w:abstractNumId="115">
    <w:nsid w:val="4D32AB8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16">
    <w:nsid w:val="3F07ACC3"/>
    <w:multiLevelType w:val="hybridMultilevel"/>
    <w:lvl w:ilvl="0">
      <w:lvlJc w:val="left"/>
      <w:lvlText w:val="%1."/>
      <w:numFmt w:val="decimal"/>
      <w:start w:val="4"/>
    </w:lvl>
    <w:lvl w:ilvl="1">
      <w:lvlJc w:val="left"/>
      <w:lvlText w:val="(%2)"/>
      <w:numFmt w:val="lowerLetter"/>
      <w:start w:val="1"/>
    </w:lvl>
  </w:abstractNum>
  <w:abstractNum w:abstractNumId="117">
    <w:nsid w:val="6B47F63E"/>
    <w:multiLevelType w:val="hybridMultilevel"/>
    <w:lvl w:ilvl="0">
      <w:lvlJc w:val="left"/>
      <w:lvlText w:val="%1"/>
      <w:numFmt w:val="lowerLetter"/>
      <w:start w:val="1"/>
    </w:lvl>
    <w:lvl w:ilvl="1">
      <w:lvlJc w:val="left"/>
      <w:lvlText w:val="(%2)"/>
      <w:numFmt w:val="lowerRoman"/>
      <w:start w:val="1"/>
    </w:lvl>
  </w:abstractNum>
  <w:abstractNum w:abstractNumId="118">
    <w:nsid w:val="5CB44A05"/>
    <w:multiLevelType w:val="hybridMultilevel"/>
    <w:lvl w:ilvl="0">
      <w:lvlJc w:val="left"/>
      <w:lvlText w:val="(%1)"/>
      <w:numFmt w:val="lowerLetter"/>
      <w:start w:val="2"/>
    </w:lvl>
    <w:lvl w:ilvl="1">
      <w:lvlJc w:val="left"/>
      <w:lvlText w:val="%2"/>
      <w:numFmt w:val="lowerRoman"/>
      <w:start w:val="1"/>
    </w:lvl>
  </w:abstractNum>
  <w:abstractNum w:abstractNumId="119">
    <w:nsid w:val="16CF80F1"/>
    <w:multiLevelType w:val="hybridMultilevel"/>
    <w:lvl w:ilvl="0">
      <w:lvlJc w:val="left"/>
      <w:lvlText w:val="%1."/>
      <w:numFmt w:val="decimal"/>
      <w:start w:val="6"/>
    </w:lvl>
  </w:abstractNum>
  <w:abstractNum w:abstractNumId="120">
    <w:nsid w:val="1C695DEC"/>
    <w:multiLevelType w:val="hybridMultilevel"/>
    <w:lvl w:ilvl="0">
      <w:lvlJc w:val="left"/>
      <w:lvlText w:val="%1."/>
      <w:numFmt w:val="decimal"/>
      <w:start w:val="7"/>
    </w:lvl>
  </w:abstractNum>
  <w:abstractNum w:abstractNumId="121">
    <w:nsid w:val="3FCFAED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2">
    <w:nsid w:val="F85686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3">
    <w:nsid w:val="11B1CC33"/>
    <w:multiLevelType w:val="hybridMultilevel"/>
    <w:lvl w:ilvl="0">
      <w:lvlJc w:val="left"/>
      <w:lvlText w:val="(%1)"/>
      <w:numFmt w:val="lowerLetter"/>
      <w:start w:val="3"/>
    </w:lvl>
    <w:lvl w:ilvl="1">
      <w:lvlJc w:val="left"/>
      <w:lvlText w:val="(%2)"/>
      <w:numFmt w:val="lowerRoman"/>
      <w:start w:val="1"/>
    </w:lvl>
  </w:abstractNum>
  <w:abstractNum w:abstractNumId="124">
    <w:nsid w:val="2E22FBB7"/>
    <w:multiLevelType w:val="hybridMultilevel"/>
    <w:lvl w:ilvl="0">
      <w:lvlJc w:val="left"/>
      <w:lvlText w:val="%1"/>
      <w:numFmt w:val="decimal"/>
      <w:start w:val="1"/>
    </w:lvl>
    <w:lvl w:ilvl="1">
      <w:lvlJc w:val="left"/>
      <w:lvlText w:val="(%2)"/>
      <w:numFmt w:val="lowerLetter"/>
      <w:start w:val="4"/>
    </w:lvl>
  </w:abstractNum>
  <w:abstractNum w:abstractNumId="125">
    <w:nsid w:val="29934699"/>
    <w:multiLevelType w:val="hybridMultilevel"/>
    <w:lvl w:ilvl="0">
      <w:lvlJc w:val="left"/>
      <w:lvlText w:val="%1."/>
      <w:numFmt w:val="decimal"/>
      <w:start w:val="9"/>
    </w:lvl>
    <w:lvl w:ilvl="1">
      <w:lvlJc w:val="left"/>
      <w:lvlText w:val="(%2)"/>
      <w:numFmt w:val="lowerLetter"/>
      <w:start w:val="1"/>
    </w:lvl>
  </w:abstractNum>
  <w:abstractNum w:abstractNumId="126">
    <w:nsid w:val="77485850"/>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27">
    <w:nsid w:val="744939A3"/>
    <w:multiLevelType w:val="hybridMultilevel"/>
    <w:lvl w:ilvl="0">
      <w:lvlJc w:val="left"/>
      <w:lvlText w:val="(%1)"/>
      <w:numFmt w:val="lowerLetter"/>
      <w:start w:val="4"/>
    </w:lvl>
  </w:abstractNum>
  <w:abstractNum w:abstractNumId="128">
    <w:nsid w:val="4FA0D2E3"/>
    <w:multiLevelType w:val="hybridMultilevel"/>
    <w:lvl w:ilvl="0">
      <w:lvlJc w:val="left"/>
      <w:lvlText w:val="%1."/>
      <w:numFmt w:val="decimal"/>
      <w:start w:val="12"/>
    </w:lvl>
  </w:abstractNum>
  <w:abstractNum w:abstractNumId="129">
    <w:nsid w:val="6B1D2C14"/>
    <w:multiLevelType w:val="hybridMultilevel"/>
    <w:lvl w:ilvl="0">
      <w:lvlJc w:val="left"/>
      <w:lvlText w:val="%1."/>
      <w:numFmt w:val="decimal"/>
      <w:start w:val="13"/>
    </w:lvl>
  </w:abstractNum>
  <w:abstractNum w:abstractNumId="130">
    <w:nsid w:val="68B867D3"/>
    <w:multiLevelType w:val="hybridMultilevel"/>
    <w:lvl w:ilvl="0">
      <w:lvlJc w:val="left"/>
      <w:lvlText w:val="%1."/>
      <w:numFmt w:val="decimal"/>
      <w:start w:val="14"/>
    </w:lvl>
  </w:abstractNum>
  <w:abstractNum w:abstractNumId="131">
    <w:nsid w:val="3F7F5DD9"/>
    <w:multiLevelType w:val="hybridMultilevel"/>
    <w:lvl w:ilvl="0">
      <w:lvlJc w:val="left"/>
      <w:lvlText w:val="(%1)"/>
      <w:numFmt w:val="lowerLetter"/>
      <w:start w:val="35"/>
    </w:lvl>
    <w:lvl w:ilvl="1">
      <w:lvlJc w:val="left"/>
      <w:lvlText w:val="(%2)"/>
      <w:numFmt w:val="lowerLetter"/>
      <w:start w:val="1"/>
    </w:lvl>
  </w:abstractNum>
  <w:abstractNum w:abstractNumId="132">
    <w:nsid w:val="2AE05A34"/>
    <w:multiLevelType w:val="hybridMultilevel"/>
    <w:lvl w:ilvl="0">
      <w:lvlJc w:val="left"/>
      <w:lvlText w:val="%1."/>
      <w:numFmt w:val="decimal"/>
      <w:start w:val="15"/>
    </w:lvl>
  </w:abstractNum>
  <w:abstractNum w:abstractNumId="133">
    <w:nsid w:val="32794FF7"/>
    <w:multiLevelType w:val="hybridMultilevel"/>
    <w:lvl w:ilvl="0">
      <w:lvlJc w:val="left"/>
      <w:lvlText w:val="%1."/>
      <w:numFmt w:val="decimal"/>
      <w:start w:val="16"/>
    </w:lvl>
  </w:abstractNum>
  <w:abstractNum w:abstractNumId="134">
    <w:nsid w:val="5454945E"/>
    <w:multiLevelType w:val="hybridMultilevel"/>
    <w:lvl w:ilvl="0">
      <w:lvlJc w:val="left"/>
      <w:lvlText w:val="%1."/>
      <w:numFmt w:val="decimal"/>
      <w:start w:val="17"/>
    </w:lvl>
  </w:abstractNum>
  <w:abstractNum w:abstractNumId="135">
    <w:nsid w:val="4DEFDFA0"/>
    <w:multiLevelType w:val="hybridMultilevel"/>
    <w:lvl w:ilvl="0">
      <w:lvlJc w:val="left"/>
      <w:lvlText w:val="%1."/>
      <w:numFmt w:val="decimal"/>
      <w:start w:val="18"/>
    </w:lvl>
  </w:abstractNum>
  <w:abstractNum w:abstractNumId="136">
    <w:nsid w:val="2123D5F2"/>
    <w:multiLevelType w:val="hybridMultilevel"/>
    <w:lvl w:ilvl="0">
      <w:lvlJc w:val="left"/>
      <w:lvlText w:val="%1."/>
      <w:numFmt w:val="decimal"/>
      <w:start w:val="19"/>
    </w:lvl>
    <w:lvl w:ilvl="1">
      <w:lvlJc w:val="left"/>
      <w:lvlText w:val="(%2)"/>
      <w:numFmt w:val="lowerLetter"/>
      <w:start w:val="1"/>
    </w:lvl>
  </w:abstractNum>
  <w:abstractNum w:abstractNumId="137">
    <w:nsid w:val="135B8110"/>
    <w:multiLevelType w:val="hybridMultilevel"/>
    <w:lvl w:ilvl="0">
      <w:lvlJc w:val="left"/>
      <w:lvlText w:val="(%1)"/>
      <w:numFmt w:val="lowerLetter"/>
      <w:start w:val="3"/>
    </w:lvl>
  </w:abstractNum>
  <w:abstractNum w:abstractNumId="138">
    <w:nsid w:val="94927A8"/>
    <w:multiLevelType w:val="hybridMultilevel"/>
    <w:lvl w:ilvl="0">
      <w:lvlJc w:val="left"/>
      <w:lvlText w:val="%1."/>
      <w:numFmt w:val="upperLetter"/>
      <w:start w:val="61"/>
    </w:lvl>
  </w:abstractNum>
  <w:abstractNum w:abstractNumId="139">
    <w:nsid w:val="DCDF8F6"/>
    <w:multiLevelType w:val="hybridMultilevel"/>
    <w:lvl w:ilvl="0">
      <w:lvlJc w:val="left"/>
      <w:lvlText w:val="%1."/>
      <w:numFmt w:val="upperLetter"/>
      <w:start w:val="1"/>
    </w:lvl>
  </w:abstractNum>
  <w:abstractNum w:abstractNumId="140">
    <w:nsid w:val="52D7B105"/>
    <w:multiLevelType w:val="hybridMultilevel"/>
    <w:lvl w:ilvl="0">
      <w:lvlJc w:val="left"/>
      <w:lvlText w:val="%1."/>
      <w:numFmt w:val="upperLetter"/>
      <w:start w:val="22"/>
    </w:lvl>
    <w:lvl w:ilvl="1">
      <w:lvlJc w:val="left"/>
      <w:lvlText w:val="%2."/>
      <w:numFmt w:val="upperLetter"/>
      <w:start w:val="1"/>
    </w:lvl>
  </w:abstractNum>
  <w:abstractNum w:abstractNumId="141">
    <w:nsid w:val="2E8A6394"/>
    <w:multiLevelType w:val="hybridMultilevel"/>
    <w:lvl w:ilvl="0">
      <w:lvlJc w:val="left"/>
      <w:lvlText w:val="%1."/>
      <w:numFmt w:val="upperLetter"/>
      <w:start w:val="2"/>
    </w:lvl>
  </w:abstractNum>
  <w:abstractNum w:abstractNumId="142">
    <w:nsid w:val="24E60401"/>
    <w:multiLevelType w:val="hybridMultilevel"/>
    <w:lvl w:ilvl="0">
      <w:lvlJc w:val="left"/>
      <w:lvlText w:val="%1."/>
      <w:numFmt w:val="upperLetter"/>
      <w:start w:val="1"/>
    </w:lvl>
  </w:abstractNum>
  <w:abstractNum w:abstractNumId="143">
    <w:nsid w:val="2A6AD9BE"/>
    <w:multiLevelType w:val="hybridMultilevel"/>
    <w:lvl w:ilvl="0">
      <w:lvlJc w:val="left"/>
      <w:lvlText w:val="%1."/>
      <w:numFmt w:val="upperLetter"/>
      <w:start w:val="1"/>
    </w:lvl>
  </w:abstractNum>
  <w:abstractNum w:abstractNumId="144">
    <w:nsid w:val="BAAC1B4"/>
    <w:multiLevelType w:val="hybridMultilevel"/>
    <w:lvl w:ilvl="0">
      <w:lvlJc w:val="left"/>
      <w:lvlText w:val="%1."/>
      <w:numFmt w:val="upperLetter"/>
      <w:start w:val="3"/>
    </w:lvl>
  </w:abstractNum>
  <w:abstractNum w:abstractNumId="145">
    <w:nsid w:val="36B2ACBC"/>
    <w:multiLevelType w:val="hybridMultilevel"/>
    <w:lvl w:ilvl="0">
      <w:lvlJc w:val="left"/>
      <w:lvlText w:val="%1"/>
      <w:numFmt w:val="upperLetter"/>
      <w:start w:val="1"/>
    </w:lvl>
    <w:lvl w:ilvl="1">
      <w:lvlJc w:val="left"/>
      <w:lvlText w:val="%2."/>
      <w:numFmt w:val="upperLetter"/>
      <w:start w:val="1"/>
    </w:lvl>
  </w:abstractNum>
  <w:abstractNum w:abstractNumId="146">
    <w:nsid w:val="779D8544"/>
    <w:multiLevelType w:val="hybridMultilevel"/>
    <w:lvl w:ilvl="0">
      <w:lvlJc w:val="left"/>
      <w:lvlText w:val="%1."/>
      <w:numFmt w:val="upperLetter"/>
      <w:start w:val="24"/>
    </w:lvl>
    <w:lvl w:ilvl="1">
      <w:lvlJc w:val="left"/>
      <w:lvlText w:val="%2"/>
      <w:numFmt w:val="upperLetter"/>
      <w:start w:val="1"/>
    </w:lvl>
  </w:abstractNum>
  <w:abstractNum w:abstractNumId="147">
    <w:nsid w:val="4AB26E78"/>
    <w:multiLevelType w:val="hybridMultilevel"/>
    <w:lvl w:ilvl="0">
      <w:lvlJc w:val="left"/>
      <w:lvlText w:val="%1."/>
      <w:numFmt w:val="upperLetter"/>
      <w:start w:val="1"/>
    </w:lvl>
  </w:abstractNum>
  <w:abstractNum w:abstractNumId="148">
    <w:nsid w:val="21FAA2FA"/>
    <w:multiLevelType w:val="hybridMultilevel"/>
    <w:lvl w:ilvl="0">
      <w:lvlJc w:val="left"/>
      <w:lvlText w:val="%1."/>
      <w:numFmt w:val="upperLetter"/>
      <w:start w:val="1"/>
    </w:lvl>
  </w:abstractNum>
  <w:abstractNum w:abstractNumId="149">
    <w:nsid w:val="5451CF49"/>
    <w:multiLevelType w:val="hybridMultilevel"/>
    <w:lvl w:ilvl="0">
      <w:lvlJc w:val="left"/>
      <w:lvlText w:val="(%1)"/>
      <w:numFmt w:val="lowerLetter"/>
      <w:start w:val="1"/>
    </w:lvl>
  </w:abstractNum>
  <w:abstractNum w:abstractNumId="150">
    <w:nsid w:val="6181EF69"/>
    <w:multiLevelType w:val="hybridMultilevel"/>
    <w:lvl w:ilvl="0">
      <w:lvlJc w:val="left"/>
      <w:lvlText w:val="(%1)"/>
      <w:numFmt w:val="lowerLetter"/>
      <w:start w:val="2"/>
    </w:lvl>
  </w:abstractNum>
  <w:abstractNum w:abstractNumId="151">
    <w:nsid w:val="3E6400E6"/>
    <w:multiLevelType w:val="hybridMultilevel"/>
    <w:lvl w:ilvl="0">
      <w:lvlJc w:val="left"/>
      <w:lvlText w:val="(%1)"/>
      <w:numFmt w:val="lowerLetter"/>
      <w:start w:val="1"/>
    </w:lvl>
  </w:abstractNum>
  <w:abstractNum w:abstractNumId="152">
    <w:nsid w:val="14217E23"/>
    <w:multiLevelType w:val="hybridMultilevel"/>
    <w:lvl w:ilvl="0">
      <w:lvlJc w:val="left"/>
      <w:lvlText w:val="(%1)"/>
      <w:numFmt w:val="lowerLetter"/>
      <w:start w:val="1"/>
    </w:lvl>
  </w:abstractNum>
  <w:abstractNum w:abstractNumId="153">
    <w:nsid w:val="710757D0"/>
    <w:multiLevelType w:val="hybridMultilevel"/>
    <w:lvl w:ilvl="0">
      <w:lvlJc w:val="left"/>
      <w:lvlText w:val="(%1)"/>
      <w:numFmt w:val="lowerRoman"/>
      <w:start w:val="1"/>
    </w:lvl>
  </w:abstractNum>
  <w:abstractNum w:abstractNumId="154">
    <w:nsid w:val="5015CD1A"/>
    <w:multiLevelType w:val="hybridMultilevel"/>
    <w:lvl w:ilvl="0">
      <w:lvlJc w:val="left"/>
      <w:lvlText w:val="(%1)"/>
      <w:numFmt w:val="lowerLetter"/>
      <w:start w:val="2"/>
    </w:lvl>
  </w:abstractNum>
  <w:abstractNum w:abstractNumId="155">
    <w:nsid w:val="424479DA"/>
    <w:multiLevelType w:val="hybridMultilevel"/>
    <w:lvl w:ilvl="0">
      <w:lvlJc w:val="left"/>
      <w:lvlText w:val="(%1)"/>
      <w:numFmt w:val="lowerRoman"/>
      <w:start w:val="1"/>
    </w:lvl>
  </w:abstractNum>
  <w:abstractNum w:abstractNumId="156">
    <w:nsid w:val="1A9A9E69"/>
    <w:multiLevelType w:val="hybridMultilevel"/>
    <w:lvl w:ilvl="0">
      <w:lvlJc w:val="left"/>
      <w:lvlText w:val="(%1)"/>
      <w:numFmt w:val="lowerRoman"/>
      <w:start w:val="2"/>
    </w:lvl>
  </w:abstractNum>
  <w:abstractNum w:abstractNumId="157">
    <w:nsid w:val="475E256A"/>
    <w:multiLevelType w:val="hybridMultilevel"/>
    <w:lvl w:ilvl="0">
      <w:lvlJc w:val="left"/>
      <w:lvlText w:val="(%1)"/>
      <w:numFmt w:val="lowerLetter"/>
      <w:start w:val="4"/>
    </w:lvl>
  </w:abstractNum>
  <w:abstractNum w:abstractNumId="158">
    <w:nsid w:val="368DB37E"/>
    <w:multiLevelType w:val="hybridMultilevel"/>
    <w:lvl w:ilvl="0">
      <w:lvlJc w:val="left"/>
      <w:lvlText w:val="(%1)"/>
      <w:numFmt w:val="lowerLetter"/>
      <w:start w:val="1"/>
    </w:lvl>
  </w:abstractNum>
  <w:abstractNum w:abstractNumId="159">
    <w:nsid w:val="6A3B714C"/>
    <w:multiLevelType w:val="hybridMultilevel"/>
    <w:lvl w:ilvl="0">
      <w:lvlJc w:val="left"/>
      <w:lvlText w:val="(%1)"/>
      <w:numFmt w:val="lowerRoman"/>
      <w:start w:val="1"/>
    </w:lvl>
  </w:abstractNum>
  <w:abstractNum w:abstractNumId="160">
    <w:nsid w:val="327B517E"/>
    <w:multiLevelType w:val="hybridMultilevel"/>
    <w:lvl w:ilvl="0">
      <w:lvlJc w:val="left"/>
      <w:lvlText w:val="(%1)"/>
      <w:numFmt w:val="lowerLetter"/>
      <w:start w:val="2"/>
    </w:lvl>
  </w:abstractNum>
  <w:abstractNum w:abstractNumId="161">
    <w:nsid w:val="1F461B51"/>
    <w:multiLevelType w:val="hybridMultilevel"/>
    <w:lvl w:ilvl="0">
      <w:lvlJc w:val="left"/>
      <w:lvlText w:val="(%1)"/>
      <w:numFmt w:val="lowerRoman"/>
      <w:start w:val="1"/>
    </w:lvl>
  </w:abstractNum>
  <w:abstractNum w:abstractNumId="162">
    <w:nsid w:val="29BACF25"/>
    <w:multiLevelType w:val="hybridMultilevel"/>
    <w:lvl w:ilvl="0">
      <w:lvlJc w:val="left"/>
      <w:lvlText w:val="(%1)"/>
      <w:numFmt w:val="lowerLetter"/>
      <w:start w:val="4"/>
    </w:lvl>
  </w:abstractNum>
  <w:abstractNum w:abstractNumId="163">
    <w:nsid w:val="5D5BAB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4">
    <w:nsid w:val="51BF6B48"/>
    <w:multiLevelType w:val="hybridMultilevel"/>
    <w:lvl w:ilvl="0">
      <w:lvlJc w:val="left"/>
      <w:lvlText w:val="(%1)"/>
      <w:numFmt w:val="lowerRoman"/>
      <w:start w:val="2"/>
    </w:lvl>
  </w:abstractNum>
  <w:abstractNum w:abstractNumId="165">
    <w:nsid w:val="7E0F638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66">
    <w:nsid w:val="2B4B8B53"/>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67">
    <w:nsid w:val="72E3413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68">
    <w:nsid w:val="116AE494"/>
    <w:multiLevelType w:val="hybridMultilevel"/>
    <w:lvl w:ilvl="0">
      <w:lvlJc w:val="left"/>
      <w:lvlText w:val="%1."/>
      <w:numFmt w:val="decimal"/>
      <w:start w:val="4"/>
    </w:lvl>
  </w:abstractNum>
  <w:abstractNum w:abstractNumId="169">
    <w:nsid w:val="3494B2FB"/>
    <w:multiLevelType w:val="hybridMultilevel"/>
    <w:lvl w:ilvl="0">
      <w:lvlJc w:val="left"/>
      <w:lvlText w:val="%1"/>
      <w:numFmt w:val="decimal"/>
      <w:start w:val="1"/>
    </w:lvl>
    <w:lvl w:ilvl="1">
      <w:lvlJc w:val="left"/>
      <w:lvlText w:val="(%2)"/>
      <w:numFmt w:val="lowerLetter"/>
      <w:start w:val="1"/>
    </w:lvl>
  </w:abstractNum>
  <w:abstractNum w:abstractNumId="170">
    <w:nsid w:val="B13A31"/>
    <w:multiLevelType w:val="hybridMultilevel"/>
    <w:lvl w:ilvl="0">
      <w:lvlJc w:val="left"/>
      <w:lvlText w:val="%1."/>
      <w:numFmt w:val="decimal"/>
      <w:start w:val="11"/>
    </w:lvl>
    <w:lvl w:ilvl="1">
      <w:lvlJc w:val="left"/>
      <w:lvlText w:val="%2"/>
      <w:numFmt w:val="lowerLetter"/>
      <w:start w:val="1"/>
    </w:lvl>
  </w:abstractNum>
  <w:abstractNum w:abstractNumId="171">
    <w:nsid w:val="64429599"/>
    <w:multiLevelType w:val="hybridMultilevel"/>
    <w:lvl w:ilvl="0">
      <w:lvlJc w:val="left"/>
      <w:lvlText w:val="%1."/>
      <w:numFmt w:val="decimal"/>
      <w:start w:val="14"/>
    </w:lvl>
  </w:abstractNum>
  <w:abstractNum w:abstractNumId="172">
    <w:nsid w:val="631F1690"/>
    <w:multiLevelType w:val="hybridMultilevel"/>
    <w:lvl w:ilvl="0">
      <w:lvlJc w:val="left"/>
      <w:lvlText w:val="%1."/>
      <w:numFmt w:val="decimal"/>
      <w:start w:val="18"/>
    </w:lvl>
  </w:abstractNum>
  <w:abstractNum w:abstractNumId="173">
    <w:nsid w:val="25973E32"/>
    <w:multiLevelType w:val="hybridMultilevel"/>
    <w:lvl w:ilvl="0">
      <w:lvlJc w:val="left"/>
      <w:lvlText w:val="(%1)"/>
      <w:numFmt w:val="lowerLetter"/>
      <w:start w:val="1"/>
    </w:lvl>
  </w:abstractNum>
  <w:abstractNum w:abstractNumId="174">
    <w:nsid w:val="EAD6F57"/>
    <w:multiLevelType w:val="hybridMultilevel"/>
    <w:lvl w:ilvl="0">
      <w:lvlJc w:val="left"/>
      <w:lvlText w:val="(%1)"/>
      <w:numFmt w:val="lowerRoman"/>
      <w:start w:val="1"/>
    </w:lvl>
  </w:abstractNum>
  <w:abstractNum w:abstractNumId="175">
    <w:nsid w:val="6EC9D844"/>
    <w:multiLevelType w:val="hybridMultilevel"/>
    <w:lvl w:ilvl="0">
      <w:lvlJc w:val="left"/>
      <w:lvlText w:val="(%1)"/>
      <w:numFmt w:val="lowerLetter"/>
      <w:start w:val="2"/>
    </w:lvl>
  </w:abstractNum>
  <w:abstractNum w:abstractNumId="176">
    <w:nsid w:val="5C49EAEE"/>
    <w:multiLevelType w:val="hybridMultilevel"/>
    <w:lvl w:ilvl="0">
      <w:lvlJc w:val="left"/>
      <w:lvlText w:val="(%1)"/>
      <w:numFmt w:val="lowerRoman"/>
      <w:start w:val="1"/>
    </w:lvl>
  </w:abstractNum>
  <w:abstractNum w:abstractNumId="177">
    <w:nsid w:val="64AF49B"/>
    <w:multiLevelType w:val="hybridMultilevel"/>
    <w:lvl w:ilvl="0">
      <w:lvlJc w:val="left"/>
      <w:lvlText w:val="(%1)"/>
      <w:numFmt w:val="lowerLetter"/>
      <w:start w:val="4"/>
    </w:lvl>
  </w:abstractNum>
  <w:abstractNum w:abstractNumId="178">
    <w:nsid w:val="397C46BC"/>
    <w:multiLevelType w:val="hybridMultilevel"/>
    <w:lvl w:ilvl="0">
      <w:lvlJc w:val="left"/>
      <w:lvlText w:val="%1."/>
      <w:numFmt w:val="decimal"/>
      <w:start w:val="1"/>
    </w:lvl>
  </w:abstractNum>
  <w:abstractNum w:abstractNumId="179">
    <w:nsid w:val="7E448DE9"/>
    <w:multiLevelType w:val="hybridMultilevel"/>
    <w:lvl w:ilvl="0">
      <w:lvlJc w:val="left"/>
      <w:lvlText w:val="%1."/>
      <w:numFmt w:val="decimal"/>
      <w:start w:val="3"/>
    </w:lvl>
    <w:lvl w:ilvl="1">
      <w:lvlJc w:val="left"/>
      <w:lvlText w:val="(%2)"/>
      <w:numFmt w:val="lowerLetter"/>
      <w:start w:val="1"/>
    </w:lvl>
  </w:abstractNum>
  <w:abstractNum w:abstractNumId="180">
    <w:nsid w:val="5A9CC3E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abstractNum>
  <w:abstractNum w:abstractNumId="181">
    <w:nsid w:val="1AFE3625"/>
    <w:multiLevelType w:val="hybridMultilevel"/>
    <w:lvl w:ilvl="0">
      <w:lvlJc w:val="left"/>
      <w:lvlText w:val="%1"/>
      <w:numFmt w:val="decimal"/>
      <w:start w:val="1"/>
    </w:lvl>
    <w:lvl w:ilvl="1">
      <w:lvlJc w:val="left"/>
      <w:lvlText w:val="(%2)"/>
      <w:numFmt w:val="lowerLetter"/>
      <w:start w:val="4"/>
    </w:lvl>
  </w:abstractNum>
  <w:abstractNum w:abstractNumId="182">
    <w:nsid w:val="3CA88ECF"/>
    <w:multiLevelType w:val="hybridMultilevel"/>
    <w:lvl w:ilvl="0">
      <w:lvlJc w:val="left"/>
      <w:lvlText w:val="%1."/>
      <w:numFmt w:val="decimal"/>
      <w:start w:val="4"/>
    </w:lvl>
    <w:lvl w:ilvl="1">
      <w:lvlJc w:val="left"/>
      <w:lvlText w:val="(%2)"/>
      <w:numFmt w:val="lowerLetter"/>
      <w:start w:val="1"/>
    </w:lvl>
  </w:abstractNum>
  <w:abstractNum w:abstractNumId="183">
    <w:nsid w:val="6EBE4208"/>
    <w:multiLevelType w:val="hybridMultilevel"/>
    <w:lvl w:ilvl="0">
      <w:lvlJc w:val="left"/>
      <w:lvlText w:val="%1."/>
      <w:numFmt w:val="decimal"/>
      <w:start w:val="5"/>
    </w:lvl>
  </w:abstractNum>
  <w:abstractNum w:abstractNumId="184">
    <w:nsid w:val="C058DF5"/>
    <w:multiLevelType w:val="hybridMultilevel"/>
    <w:lvl w:ilvl="0">
      <w:lvlJc w:val="left"/>
      <w:lvlText w:val="%1"/>
      <w:numFmt w:val="decimal"/>
      <w:start w:val="1"/>
    </w:lvl>
    <w:lvl w:ilvl="1">
      <w:lvlJc w:val="left"/>
      <w:lvlText w:val="(%2)"/>
      <w:numFmt w:val="lowerLetter"/>
      <w:start w:val="1"/>
    </w:lvl>
  </w:abstractNum>
  <w:abstractNum w:abstractNumId="185">
    <w:nsid w:val="CBE5BE9"/>
    <w:multiLevelType w:val="hybridMultilevel"/>
    <w:lvl w:ilvl="0">
      <w:lvlJc w:val="left"/>
      <w:lvlText w:val="%1."/>
      <w:numFmt w:val="decimal"/>
      <w:start w:val="12"/>
    </w:lvl>
    <w:lvl w:ilvl="1">
      <w:lvlJc w:val="left"/>
      <w:lvlText w:val="%2"/>
      <w:numFmt w:val="lowerLetter"/>
      <w:start w:val="1"/>
    </w:lvl>
  </w:abstractNum>
  <w:abstractNum w:abstractNumId="186">
    <w:nsid w:val="3102BBE2"/>
    <w:multiLevelType w:val="hybridMultilevel"/>
    <w:lvl w:ilvl="0">
      <w:lvlJc w:val="left"/>
      <w:lvlText w:val="%1."/>
      <w:numFmt w:val="decimal"/>
      <w:start w:val="15"/>
    </w:lvl>
  </w:abstractNum>
  <w:abstractNum w:abstractNumId="187">
    <w:nsid w:val="26A02C5E"/>
    <w:multiLevelType w:val="hybridMultilevel"/>
    <w:lvl w:ilvl="0">
      <w:lvlJc w:val="left"/>
      <w:lvlText w:val="(%1)"/>
      <w:numFmt w:val="lowerLetter"/>
      <w:start w:val="1"/>
    </w:lvl>
  </w:abstractNum>
  <w:abstractNum w:abstractNumId="188">
    <w:nsid w:val="541C8153"/>
    <w:multiLevelType w:val="hybridMultilevel"/>
    <w:lvl w:ilvl="0">
      <w:lvlJc w:val="left"/>
      <w:lvlText w:val="(%1)"/>
      <w:numFmt w:val="lowerRoman"/>
      <w:start w:val="1"/>
    </w:lvl>
  </w:abstractNum>
  <w:abstractNum w:abstractNumId="189">
    <w:nsid w:val="67906F60"/>
    <w:multiLevelType w:val="hybridMultilevel"/>
    <w:lvl w:ilvl="0">
      <w:lvlJc w:val="left"/>
      <w:lvlText w:val="(%1)"/>
      <w:numFmt w:val="lowerLetter"/>
      <w:start w:val="2"/>
    </w:lvl>
  </w:abstractNum>
  <w:abstractNum w:abstractNumId="190">
    <w:nsid w:val="10DB9DAA"/>
    <w:multiLevelType w:val="hybridMultilevel"/>
    <w:lvl w:ilvl="0">
      <w:lvlJc w:val="left"/>
      <w:lvlText w:val="1"/>
      <w:numFmt w:val="bullet"/>
      <w:start w:val="1"/>
    </w:lvl>
  </w:abstractNum>
  <w:abstractNum w:abstractNumId="191">
    <w:nsid w:val="697D2D2"/>
    <w:multiLevelType w:val="hybridMultilevel"/>
    <w:lvl w:ilvl="0">
      <w:lvlJc w:val="left"/>
      <w:lvlText w:val="(%1)"/>
      <w:numFmt w:val="lowerRoman"/>
      <w:start w:val="1"/>
    </w:lvl>
  </w:abstractNum>
  <w:abstractNum w:abstractNumId="192">
    <w:nsid w:val="6D68AB2"/>
    <w:multiLevelType w:val="hybridMultilevel"/>
    <w:lvl w:ilvl="0">
      <w:lvlJc w:val="left"/>
      <w:lvlText w:val="(%1)"/>
      <w:numFmt w:val="lowerLetter"/>
      <w:start w:val="4"/>
    </w:lvl>
  </w:abstractNum>
  <w:abstractNum w:abstractNumId="193">
    <w:nsid w:val="3A966CD0"/>
    <w:multiLevelType w:val="hybridMultilevel"/>
    <w:lvl w:ilvl="0">
      <w:lvlJc w:val="left"/>
      <w:lvlText w:val="(%1)"/>
      <w:numFmt w:val="lowerLetter"/>
      <w:start w:val="1"/>
    </w:lvl>
  </w:abstractNum>
  <w:abstractNum w:abstractNumId="194">
    <w:nsid w:val="63F37E85"/>
    <w:multiLevelType w:val="hybridMultilevel"/>
    <w:lvl w:ilvl="0">
      <w:lvlJc w:val="left"/>
      <w:lvlText w:val="(%1)"/>
      <w:numFmt w:val="lowerRoman"/>
      <w:start w:val="1"/>
    </w:lvl>
  </w:abstractNum>
  <w:abstractNum w:abstractNumId="195">
    <w:nsid w:val="5895F5FA"/>
    <w:multiLevelType w:val="hybridMultilevel"/>
    <w:lvl w:ilvl="0">
      <w:lvlJc w:val="left"/>
      <w:lvlText w:val="(%1)"/>
      <w:numFmt w:val="lowerLetter"/>
      <w:start w:val="2"/>
    </w:lvl>
  </w:abstractNum>
  <w:abstractNum w:abstractNumId="196">
    <w:nsid w:val="38A5D054"/>
    <w:multiLevelType w:val="hybridMultilevel"/>
    <w:lvl w:ilvl="0">
      <w:lvlJc w:val="left"/>
      <w:lvlText w:val="(%1)"/>
      <w:numFmt w:val="lowerRoman"/>
      <w:start w:val="1"/>
    </w:lvl>
  </w:abstractNum>
  <w:abstractNum w:abstractNumId="197">
    <w:nsid w:val="F3F09D8"/>
    <w:multiLevelType w:val="hybridMultilevel"/>
    <w:lvl w:ilvl="0">
      <w:lvlJc w:val="left"/>
      <w:lvlText w:val="(%1)"/>
      <w:numFmt w:val="lowerLetter"/>
      <w:start w:val="4"/>
    </w:lvl>
  </w:abstractNum>
  <w:abstractNum w:abstractNumId="198">
    <w:nsid w:val="4B793735"/>
    <w:multiLevelType w:val="hybridMultilevel"/>
    <w:lvl w:ilvl="0">
      <w:lvlJc w:val="left"/>
      <w:lvlText w:val="(%1)"/>
      <w:numFmt w:val="lowerRoman"/>
      <w:start w:val="1"/>
    </w:lvl>
  </w:abstractNum>
  <w:abstractNum w:abstractNumId="199">
    <w:nsid w:val="4A10B4E8"/>
    <w:multiLevelType w:val="hybridMultilevel"/>
    <w:lvl w:ilvl="0">
      <w:lvlJc w:val="left"/>
      <w:lvlText w:val="(%1)"/>
      <w:numFmt w:val="decimal"/>
      <w:start w:val="20"/>
    </w:lvl>
  </w:abstractNum>
  <w:abstractNum w:abstractNumId="200">
    <w:nsid w:val="43D3BCD4"/>
    <w:multiLevelType w:val="hybridMultilevel"/>
    <w:lvl w:ilvl="0">
      <w:lvlJc w:val="left"/>
      <w:lvlText w:val="%1."/>
      <w:numFmt w:val="decimal"/>
      <w:start w:val="1"/>
    </w:lvl>
    <w:lvl w:ilvl="1">
      <w:lvlJc w:val="left"/>
      <w:lvlText w:val="%2."/>
      <w:numFmt w:val="lowerLetter"/>
      <w:start w:val="1"/>
    </w:lvl>
  </w:abstractNum>
  <w:abstractNum w:abstractNumId="201">
    <w:nsid w:val="4C2A7166"/>
    <w:multiLevelType w:val="hybridMultilevel"/>
    <w:lvl w:ilvl="0">
      <w:lvlJc w:val="left"/>
      <w:lvlText w:val="%1."/>
      <w:numFmt w:val="decimal"/>
      <w:start w:val="1"/>
    </w:lvl>
    <w:lvl w:ilvl="1">
      <w:lvlJc w:val="left"/>
      <w:lvlText w:val="%2."/>
      <w:numFmt w:val="lowerLetter"/>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19" Type="http://schemas.openxmlformats.org/officeDocument/2006/relationships/image" Target="media/image6.png"/><Relationship Id="rId120" Type="http://schemas.openxmlformats.org/officeDocument/2006/relationships/image" Target="media/image7.png"/><Relationship Id="rId121" Type="http://schemas.openxmlformats.org/officeDocument/2006/relationships/image" Target="media/image8.png"/><Relationship Id="rId122" Type="http://schemas.openxmlformats.org/officeDocument/2006/relationships/image" Target="media/image9.png"/><Relationship Id="rId123" Type="http://schemas.openxmlformats.org/officeDocument/2006/relationships/image" Target="media/image10.png"/><Relationship Id="rId124" Type="http://schemas.openxmlformats.org/officeDocument/2006/relationships/image" Target="media/image11.png"/><Relationship Id="rId125" Type="http://schemas.openxmlformats.org/officeDocument/2006/relationships/image" Target="media/image12.png"/><Relationship Id="rId126" Type="http://schemas.openxmlformats.org/officeDocument/2006/relationships/image" Target="media/image13.png"/><Relationship Id="rId13" Type="http://schemas.openxmlformats.org/officeDocument/2006/relationships/hyperlink" Target="http://www.sec.gov/Archives/edgar/data/1584509/000119312517310359/d472680dex21.htm" TargetMode="External"/><Relationship Id="rId14" Type="http://schemas.openxmlformats.org/officeDocument/2006/relationships/hyperlink" Target="http://www.sec.gov/Archives/edgar/data/1584509/000119312517310359/d472680dex22.htm" TargetMode="External"/><Relationship Id="rId15" Type="http://schemas.openxmlformats.org/officeDocument/2006/relationships/hyperlink" Target="http://www.sec.gov/Archives/edgar/data/1584509/000119312513474715/d644709dex31.htm" TargetMode="External"/><Relationship Id="rId16" Type="http://schemas.openxmlformats.org/officeDocument/2006/relationships/hyperlink" Target="http://www.sec.gov/Archives/edgar/data/1584509/000119312514201307/d728418dex31.htm" TargetMode="External"/><Relationship Id="rId17" Type="http://schemas.openxmlformats.org/officeDocument/2006/relationships/hyperlink" Target="http://www.sec.gov/Archives/edgar/data/1584509/000119312519263370/d815967dex31.htm" TargetMode="External"/><Relationship Id="rId18" Type="http://schemas.openxmlformats.org/officeDocument/2006/relationships/hyperlink" Target="http://www.sec.gov/Archives/edgar/data/1584509/000119312515406293/d44086dex41.htm" TargetMode="External"/><Relationship Id="rId19" Type="http://schemas.openxmlformats.org/officeDocument/2006/relationships/hyperlink" Target="http://www.sec.gov/Archives/edgar/data/1584509/000119312516614039/d201482dex42.htm" TargetMode="External"/><Relationship Id="rId20" Type="http://schemas.openxmlformats.org/officeDocument/2006/relationships/hyperlink" Target="http://www.sec.gov/Archives/edgar/data/1584509/000119312516614039/d201482dex43.htm" TargetMode="External"/><Relationship Id="rId21" Type="http://schemas.openxmlformats.org/officeDocument/2006/relationships/hyperlink" Target="http://www.sec.gov/Archives/edgar/data/1584509/000119312517099980/d363392dex41.htm" TargetMode="External"/><Relationship Id="rId22" Type="http://schemas.openxmlformats.org/officeDocument/2006/relationships/hyperlink" Target="http://www.sec.gov/Archives/edgar/data/1584509/000119312517099980/d363392dex42.htm" TargetMode="External"/><Relationship Id="rId23" Type="http://schemas.openxmlformats.org/officeDocument/2006/relationships/hyperlink" Target="http://www.sec.gov/Archives/edgar/data/1584509/000158450918000013/ex41.htm" TargetMode="External"/><Relationship Id="rId24" Type="http://schemas.openxmlformats.org/officeDocument/2006/relationships/hyperlink" Target="http://www.sec.gov/Archives/edgar/data/1584509/000119312517101789/d367212dex101.htm" TargetMode="External"/><Relationship Id="rId25" Type="http://schemas.openxmlformats.org/officeDocument/2006/relationships/hyperlink" Target="http://www.sec.gov/Archives/edgar/data/1584509/000119312517294599/d423386dex101.htm" TargetMode="External"/><Relationship Id="rId26" Type="http://schemas.openxmlformats.org/officeDocument/2006/relationships/hyperlink" Target="http://www.sec.gov/Archives/edgar/data/1584509/000119312517366828/d510705dex101.htm" TargetMode="External"/><Relationship Id="rId27" Type="http://schemas.openxmlformats.org/officeDocument/2006/relationships/hyperlink" Target="http://www.sec.gov/Archives/edgar/data/1584509/000158450918000095/ex101q22018.htm" TargetMode="External"/><Relationship Id="rId28" Type="http://schemas.openxmlformats.org/officeDocument/2006/relationships/hyperlink" Target="http://www.sec.gov/Archives/edgar/data/1584509/000158450918000151/ex101-amendedcreditagreeme.htm" TargetMode="External"/><Relationship Id="rId29" Type="http://schemas.openxmlformats.org/officeDocument/2006/relationships/hyperlink" Target="http://www.sec.gov/Archives/edgar/data/1584509/000158450918000099/ex101-amendedcreditagreeme.htm" TargetMode="External"/><Relationship Id="rId30" Type="http://schemas.openxmlformats.org/officeDocument/2006/relationships/hyperlink" Target="http://www.sec.gov/Archives/edgar/data/1584509/000158450918000135/ex101-amendedcreditagreeme.htm" TargetMode="External"/><Relationship Id="rId31" Type="http://schemas.openxmlformats.org/officeDocument/2006/relationships/hyperlink" Target="http://www.sec.gov/Archives/edgar/data/1584509/000158450918000186/aramarkamendmentno7.htm" TargetMode="External"/><Relationship Id="rId32" Type="http://schemas.openxmlformats.org/officeDocument/2006/relationships/hyperlink" Target="http://www.sec.gov/Archives/edgar/data/1584509/000158450917000099/ex102aramarksecurityagreem.htm" TargetMode="External"/><Relationship Id="rId33" Type="http://schemas.openxmlformats.org/officeDocument/2006/relationships/hyperlink" Target="http://www.sec.gov/Archives/edgar/data/1584509/000119312513474715/d644709dex102.htm" TargetMode="External"/><Relationship Id="rId34" Type="http://schemas.openxmlformats.org/officeDocument/2006/relationships/hyperlink" Target="http://www.sec.gov/Archives/edgar/data/7032/000144530512001595/q22012aramarkex104.htm" TargetMode="External"/><Relationship Id="rId35" Type="http://schemas.openxmlformats.org/officeDocument/2006/relationships/hyperlink" Target="http://www.sec.gov/Archives/edgar/data/7032/000144530512001595/q22012aramarkex105.htm" TargetMode="External"/><Relationship Id="rId36" Type="http://schemas.openxmlformats.org/officeDocument/2006/relationships/hyperlink" Target="http://www.sec.gov/Archives/edgar/data/7032/000000703213000051/exhibit106.htm" TargetMode="External"/><Relationship Id="rId37" Type="http://schemas.openxmlformats.org/officeDocument/2006/relationships/hyperlink" Target="http://www.sec.gov/Archives/edgar/data/1584509/000119312519228611/d798021dex101.htm" TargetMode="External"/><Relationship Id="rId38" Type="http://schemas.openxmlformats.org/officeDocument/2006/relationships/hyperlink" Target="http://www.sec.gov/Archives/edgar/data/7032/000119312507158115/dex101.htm" TargetMode="External"/><Relationship Id="rId39" Type="http://schemas.openxmlformats.org/officeDocument/2006/relationships/hyperlink" Target="http://www.sec.gov/Archives/edgar/data/7032/000119312508253626/dex108.htm" TargetMode="External"/><Relationship Id="rId40" Type="http://schemas.openxmlformats.org/officeDocument/2006/relationships/hyperlink" Target="http://www.sec.gov/Archives/edgar/data/7032/000000703212000039/ex1012-steve_reynoldsxoffe.htm" TargetMode="External"/><Relationship Id="rId41" Type="http://schemas.openxmlformats.org/officeDocument/2006/relationships/hyperlink" Target="http://www.sec.gov/Archives/edgar/data/7032/000000703212000039/ex1013-reynolds_employment.htm" TargetMode="External"/><Relationship Id="rId42" Type="http://schemas.openxmlformats.org/officeDocument/2006/relationships/hyperlink" Target="http://www.sec.gov/Archives/edgar/data/1584509/000158450915000089/ex101offerletter.htm" TargetMode="External"/><Relationship Id="rId43" Type="http://schemas.openxmlformats.org/officeDocument/2006/relationships/hyperlink" Target="http://www.sec.gov/Archives/edgar/data/1584509/000158450915000089/ex102elcagreement.htm" TargetMode="External"/><Relationship Id="rId44" Type="http://schemas.openxmlformats.org/officeDocument/2006/relationships/hyperlink" Target="http://www.sec.gov/Archives/edgar/data/1584509/000119312519263370/d815967dex102.htm" TargetMode="External"/><Relationship Id="rId45" Type="http://schemas.openxmlformats.org/officeDocument/2006/relationships/hyperlink" Target="http://www.sec.gov/Archives/edgar/data/1584509/000119312519263370/d815967dex103.htm" TargetMode="External"/><Relationship Id="rId46" Type="http://schemas.openxmlformats.org/officeDocument/2006/relationships/hyperlink" Target="http://www.sec.gov/Archives/edgar/data/1144528/000119312505163797/dex104.htm" TargetMode="External"/><Relationship Id="rId47" Type="http://schemas.openxmlformats.org/officeDocument/2006/relationships/hyperlink" Target="http://www.sec.gov/Archives/edgar/data/1584509/000158450917000247/ex1017formofindemnificatio.htm" TargetMode="External"/><Relationship Id="rId48" Type="http://schemas.openxmlformats.org/officeDocument/2006/relationships/hyperlink" Target="http://www.sec.gov/Archives/edgar/data/7032/000144530512001595/q22012aramarkex106.htm" TargetMode="External"/><Relationship Id="rId49" Type="http://schemas.openxmlformats.org/officeDocument/2006/relationships/hyperlink" Target="http://www.sec.gov/Archives/edgar/data/7032/000000703212000039/ex1022-reynolds_indemnific.htm" TargetMode="External"/><Relationship Id="rId50" Type="http://schemas.openxmlformats.org/officeDocument/2006/relationships/hyperlink" Target="http://www.sec.gov/Archives/edgar/data/1584509/000158450914000006/ex101indemnification-heinr.htm" TargetMode="External"/><Relationship Id="rId51" Type="http://schemas.openxmlformats.org/officeDocument/2006/relationships/hyperlink" Target="http://www.sec.gov/Archives/edgar/data/1584509/000158450914000006/ex102indemnification-sadove.htm" TargetMode="External"/><Relationship Id="rId52" Type="http://schemas.openxmlformats.org/officeDocument/2006/relationships/hyperlink" Target="http://www.sec.gov/Archives/edgar/data/1584509/000158450915000089/ex103indemnificationagreem.htm" TargetMode="External"/><Relationship Id="rId53" Type="http://schemas.openxmlformats.org/officeDocument/2006/relationships/hyperlink" Target="http://www.sec.gov/Archives/edgar/data/1144528/000089375002000332/exh10-1.txt" TargetMode="External"/><Relationship Id="rId54" Type="http://schemas.openxmlformats.org/officeDocument/2006/relationships/hyperlink" Target="http://www.sec.gov/Archives/edgar/data/1144528/000119312503097387/dex1022.htm" TargetMode="External"/><Relationship Id="rId55" Type="http://schemas.openxmlformats.org/officeDocument/2006/relationships/hyperlink" Target="http://www.sec.gov/Archives/edgar/data/1584509/000119312513445875/d574424dex1045.htm" TargetMode="External"/><Relationship Id="rId56" Type="http://schemas.openxmlformats.org/officeDocument/2006/relationships/hyperlink" Target="http://www.sec.gov/Archives/edgar/data/7032/000119312507175629/dex105.htm" TargetMode="External"/><Relationship Id="rId57" Type="http://schemas.openxmlformats.org/officeDocument/2006/relationships/hyperlink" Target="http://www.sec.gov/Archives/edgar/data/1584509/000119312513445875/d574424dex1048.htm" TargetMode="External"/><Relationship Id="rId58" Type="http://schemas.openxmlformats.org/officeDocument/2006/relationships/hyperlink" Target="http://www.sec.gov/Archives/edgar/data/1584509/000158450916000312/ex102thirdamendedandrestat.htm" TargetMode="External"/><Relationship Id="rId59" Type="http://schemas.openxmlformats.org/officeDocument/2006/relationships/hyperlink" Target="http://www.sec.gov/Archives/edgar/data/1584509/000158450918000226/ex104010-k2018x2019amended.htm" TargetMode="External"/><Relationship Id="rId60" Type="http://schemas.openxmlformats.org/officeDocument/2006/relationships/hyperlink" Target="http://www.sec.gov/Archives/edgar/data/1584509/000119312513360815/d574424dex1067.htm" TargetMode="External"/><Relationship Id="rId61" Type="http://schemas.openxmlformats.org/officeDocument/2006/relationships/hyperlink" Target="http://www.sec.gov/Archives/edgar/data/1584509/000119312513445875/d574424dex1022.htm" TargetMode="External"/><Relationship Id="rId62" Type="http://schemas.openxmlformats.org/officeDocument/2006/relationships/hyperlink" Target="http://www.sec.gov/Archives/edgar/data/1584509/000158450917000042/ex101aramarkamendedandrest.htm" TargetMode="External"/><Relationship Id="rId63" Type="http://schemas.openxmlformats.org/officeDocument/2006/relationships/hyperlink" Target="http://www.sec.gov/Archives/edgar/data/1144528/000119312507018412/dex105.htm" TargetMode="External"/><Relationship Id="rId64" Type="http://schemas.openxmlformats.org/officeDocument/2006/relationships/hyperlink" Target="http://www.sec.gov/Archives/edgar/data/7032/000119312508171439/dex101.htm" TargetMode="External"/><Relationship Id="rId65" Type="http://schemas.openxmlformats.org/officeDocument/2006/relationships/hyperlink" Target="http://www.sec.gov/Archives/edgar/data/7032/000119312507249520/dex103.htm" TargetMode="External"/><Relationship Id="rId66" Type="http://schemas.openxmlformats.org/officeDocument/2006/relationships/hyperlink" Target="http://www.sec.gov/Archives/edgar/data/7032/000119312510044847/dex103.htm" TargetMode="External"/><Relationship Id="rId67" Type="http://schemas.openxmlformats.org/officeDocument/2006/relationships/hyperlink" Target="http://www.sec.gov/Archives/edgar/data/7032/000119312511169986/dex103.htm" TargetMode="External"/><Relationship Id="rId68" Type="http://schemas.openxmlformats.org/officeDocument/2006/relationships/hyperlink" Target="http://www.sec.gov/Archives/edgar/data/7032/000119312510044847/dex101.htm" TargetMode="External"/><Relationship Id="rId69" Type="http://schemas.openxmlformats.org/officeDocument/2006/relationships/hyperlink" Target="http://www.sec.gov/Archives/edgar/data/7032/000119312511169986/dex104.htm" TargetMode="External"/><Relationship Id="rId70" Type="http://schemas.openxmlformats.org/officeDocument/2006/relationships/hyperlink" Target="http://www.sec.gov/Archives/edgar/data/7032/000144530512001595/q22012aramarkex102.htm" TargetMode="External"/><Relationship Id="rId71" Type="http://schemas.openxmlformats.org/officeDocument/2006/relationships/hyperlink" Target="http://www.sec.gov/Archives/edgar/data/7032/000000703213000051/exhibit102.htm" TargetMode="External"/><Relationship Id="rId72" Type="http://schemas.openxmlformats.org/officeDocument/2006/relationships/hyperlink" Target="http://www.sec.gov/Archives/edgar/data/7032/000000703213000051/exhibit10-3.htm" TargetMode="External"/><Relationship Id="rId73" Type="http://schemas.openxmlformats.org/officeDocument/2006/relationships/hyperlink" Target="http://www.sec.gov/Archives/edgar/data/7032/000000703213000051/exhibit10-4.htm" TargetMode="External"/><Relationship Id="rId74" Type="http://schemas.openxmlformats.org/officeDocument/2006/relationships/hyperlink" Target="http://www.sec.gov/Archives/edgar/data/7032/000000703213000051/exhibit105.htm" TargetMode="External"/><Relationship Id="rId75" Type="http://schemas.openxmlformats.org/officeDocument/2006/relationships/hyperlink" Target="http://www.sec.gov/Archives/edgar/data/7032/000119312509253285/dex1018.htm" TargetMode="External"/><Relationship Id="rId76" Type="http://schemas.openxmlformats.org/officeDocument/2006/relationships/hyperlink" Target="http://www.sec.gov/Archives/edgar/data/7032/000119312510044847/dex102.htm" TargetMode="External"/><Relationship Id="rId77" Type="http://schemas.openxmlformats.org/officeDocument/2006/relationships/hyperlink" Target="http://www.sec.gov/Archives/edgar/data/7032/000119312511317232/d257336dex102.htm" TargetMode="External"/><Relationship Id="rId78" Type="http://schemas.openxmlformats.org/officeDocument/2006/relationships/hyperlink" Target="http://www.sec.gov/Archives/edgar/data/7032/000119312511317232/d257336dex103.htm" TargetMode="External"/><Relationship Id="rId79" Type="http://schemas.openxmlformats.org/officeDocument/2006/relationships/hyperlink" Target="http://www.sec.gov/Archives/edgar/data/7032/000000703212000028/legal-384962xv1xschedule_1.htm" TargetMode="External"/><Relationship Id="rId80" Type="http://schemas.openxmlformats.org/officeDocument/2006/relationships/hyperlink" Target="http://www.sec.gov/Archives/edgar/data/7032/000000703212000028/legal-384963xv2xschedule_1.htm" TargetMode="External"/><Relationship Id="rId81" Type="http://schemas.openxmlformats.org/officeDocument/2006/relationships/hyperlink" Target="http://www.sec.gov/Archives/edgar/data/1584509/000119312513445875/d574424dex1068.htm" TargetMode="External"/><Relationship Id="rId82" Type="http://schemas.openxmlformats.org/officeDocument/2006/relationships/hyperlink" Target="http://www.sec.gov/Archives/edgar/data/1584509/000119312513445875/d574424dex1069.htm" TargetMode="External"/><Relationship Id="rId83" Type="http://schemas.openxmlformats.org/officeDocument/2006/relationships/hyperlink" Target="http://www.sec.gov/Archives/edgar/data/1584509/000119312513445875/d574424dex1071.htm" TargetMode="External"/><Relationship Id="rId84" Type="http://schemas.openxmlformats.org/officeDocument/2006/relationships/hyperlink" Target="http://www.sec.gov/Archives/edgar/data/1584509/000119312513445875/d574424dex1072.htm" TargetMode="External"/><Relationship Id="rId85" Type="http://schemas.openxmlformats.org/officeDocument/2006/relationships/hyperlink" Target="http://www.sec.gov/Archives/edgar/data/1584509/000158450914000006/ex104psuagreement.htm" TargetMode="External"/><Relationship Id="rId86" Type="http://schemas.openxmlformats.org/officeDocument/2006/relationships/hyperlink" Target="http://www.sec.gov/Archives/edgar/data/1584509/000158450914000122/ex1026formofpsuawardagreem.htm" TargetMode="External"/><Relationship Id="rId87" Type="http://schemas.openxmlformats.org/officeDocument/2006/relationships/hyperlink" Target="http://www.sec.gov/Archives/edgar/data/1584509/000158450915000137/ex102formofpsuaward.htm" TargetMode="External"/><Relationship Id="rId88" Type="http://schemas.openxmlformats.org/officeDocument/2006/relationships/hyperlink" Target="http://www.sec.gov/Archives/edgar/data/1584509/000158450915000215/ex1061performancersaagree.htm" TargetMode="External"/><Relationship Id="rId89" Type="http://schemas.openxmlformats.org/officeDocument/2006/relationships/hyperlink" Target="http://www.sec.gov/Archives/edgar/data/1584509/000158450915000215/ex1062optionagreementtsrve.htm" TargetMode="External"/><Relationship Id="rId90" Type="http://schemas.openxmlformats.org/officeDocument/2006/relationships/hyperlink" Target="http://www.sec.gov/Archives/edgar/data/1584509/000158450915000215/ex1063rsuagreementtsrvesti.htm" TargetMode="External"/><Relationship Id="rId91" Type="http://schemas.openxmlformats.org/officeDocument/2006/relationships/hyperlink" Target="http://www.sec.gov/Archives/edgar/data/1584509/000158450915000215/ex1064performancersatsrvest.htm" TargetMode="External"/><Relationship Id="rId92" Type="http://schemas.openxmlformats.org/officeDocument/2006/relationships/hyperlink" Target="http://www.sec.gov/Archives/edgar/data/1584509/000158450916000514/ex1067formofscheduleitoper.htm" TargetMode="External"/><Relationship Id="rId93" Type="http://schemas.openxmlformats.org/officeDocument/2006/relationships/hyperlink" Target="http://www.sec.gov/Archives/edgar/data/1584509/000158450916000514/ex1068formofscheduleitoper.htm" TargetMode="External"/><Relationship Id="rId94" Type="http://schemas.openxmlformats.org/officeDocument/2006/relationships/hyperlink" Target="http://www.sec.gov/Archives/edgar/data/1584509/000158450916000514/ex1069formofscheduleitonon.htm" TargetMode="External"/><Relationship Id="rId95" Type="http://schemas.openxmlformats.org/officeDocument/2006/relationships/hyperlink" Target="http://www.sec.gov/Archives/edgar/data/1584509/000158450916000514/ex1070formofscheduleitores.htm" TargetMode="External"/><Relationship Id="rId96" Type="http://schemas.openxmlformats.org/officeDocument/2006/relationships/hyperlink" Target="http://www.sec.gov/Archives/edgar/data/1584509/000158450916000514/ex1071formofscheduleitoper.htm" TargetMode="External"/><Relationship Id="rId97" Type="http://schemas.openxmlformats.org/officeDocument/2006/relationships/hyperlink" Target="http://www.sec.gov/Archives/edgar/data/1584509/000158450917000247/ex1070formofrsuawardnotice.htm" TargetMode="External"/><Relationship Id="rId98" Type="http://schemas.openxmlformats.org/officeDocument/2006/relationships/hyperlink" Target="http://www.sec.gov/Archives/edgar/data/1584509/000158450917000247/ex1071formofpsuawardnotice.htm" TargetMode="External"/><Relationship Id="rId99" Type="http://schemas.openxmlformats.org/officeDocument/2006/relationships/hyperlink" Target="http://www.sec.gov/Archives/edgar/data/1584509/000158450917000247/ex1072formofoptionawardnot.htm" TargetMode="External"/><Relationship Id="rId100" Type="http://schemas.openxmlformats.org/officeDocument/2006/relationships/hyperlink" Target="http://www.sec.gov/Archives/edgar/data/1584509/000158450917000247/ex1073formofrsuawardnotice.htm" TargetMode="External"/><Relationship Id="rId101" Type="http://schemas.openxmlformats.org/officeDocument/2006/relationships/hyperlink" Target="http://www.sec.gov/Archives/edgar/data/1584509/000158450917000247/ex1074formofpsuawardnotice.htm" TargetMode="External"/><Relationship Id="rId102" Type="http://schemas.openxmlformats.org/officeDocument/2006/relationships/hyperlink" Target="http://www.sec.gov/Archives/edgar/data/1584509/000158450917000247/ex1075formofoptionawardnot.htm" TargetMode="External"/><Relationship Id="rId103" Type="http://schemas.openxmlformats.org/officeDocument/2006/relationships/hyperlink" Target="http://www.sec.gov/Archives/edgar/data/1584509/000158450917000247/ex1076formoftsrrsuaward.htm" TargetMode="External"/><Relationship Id="rId104" Type="http://schemas.openxmlformats.org/officeDocument/2006/relationships/hyperlink" Target="http://www.sec.gov/Archives/edgar/data/1584509/000158450917000247/ex1077formoftsrpsuaward.htm" TargetMode="External"/><Relationship Id="rId105" Type="http://schemas.openxmlformats.org/officeDocument/2006/relationships/hyperlink" Target="http://www.sec.gov/Archives/edgar/data/1584509/000158450917000247/ex1078formoftsroptionaward.htm" TargetMode="External"/><Relationship Id="rId106" Type="http://schemas.openxmlformats.org/officeDocument/2006/relationships/hyperlink" Target="http://www.sec.gov/Archives/edgar/data/1584509/000158450917000247/ex1079formofscheduleitopsu.htm" TargetMode="External"/><Relationship Id="rId107" Type="http://schemas.openxmlformats.org/officeDocument/2006/relationships/hyperlink" Target="http://www.sec.gov/Archives/edgar/data/1584509/000158450917000247/ex1080formofscheduleiforts.htm" TargetMode="External"/><Relationship Id="rId108" Type="http://schemas.openxmlformats.org/officeDocument/2006/relationships/hyperlink" Target="http://www.sec.gov/Archives/edgar/data/1584509/000158450917000247/ex1081formofscheduleitotsr.htm" TargetMode="External"/><Relationship Id="rId109" Type="http://schemas.openxmlformats.org/officeDocument/2006/relationships/hyperlink" Target="http://www.sec.gov/Archives/edgar/data/1584509/000158450917000247/ex1082formofscheduleitotsr.htm" TargetMode="External"/><Relationship Id="rId110" Type="http://schemas.openxmlformats.org/officeDocument/2006/relationships/hyperlink" Target="http://www.sec.gov/Archives/edgar/data/1584509/000119312513445875/d574424dex1046.htm" TargetMode="External"/><Relationship Id="rId111" Type="http://schemas.openxmlformats.org/officeDocument/2006/relationships/hyperlink" Target="http://www.sec.gov/Archives/edgar/data/1584509/000119312513445875/d574424dex1073.htm" TargetMode="External"/><Relationship Id="rId112" Type="http://schemas.openxmlformats.org/officeDocument/2006/relationships/hyperlink" Target="http://www.sec.gov/Archives/edgar/data/1584509/000158450914000122/ex1077revisedformofdsuawar.htmv" TargetMode="External"/><Relationship Id="rId113" Type="http://schemas.openxmlformats.org/officeDocument/2006/relationships/hyperlink" Target="http://www.sec.gov/Archives/edgar/data/1584509/000158450914000122/ex1077revisedformofdsuawar.htm" TargetMode="External"/><Relationship Id="rId114" Type="http://schemas.openxmlformats.org/officeDocument/2006/relationships/hyperlink" Target="http://www.sec.gov/Archives/edgar/data/1584509/000158450915000089/ex104dsuagreement.htm" TargetMode="External"/><Relationship Id="rId115" Type="http://schemas.openxmlformats.org/officeDocument/2006/relationships/hyperlink" Target="http://www.sec.gov/Archives/edgar/data/1584509/000158450915000215/ex1069aircrafttimesharinga.htm" TargetMode="External"/><Relationship Id="rId116" Type="http://schemas.openxmlformats.org/officeDocument/2006/relationships/hyperlink" Target="http://www.sec.gov/Archives/edgar/data/7032/000119312511137265/dex101.htm" TargetMode="External"/><Relationship Id="rId117" Type="http://schemas.openxmlformats.org/officeDocument/2006/relationships/hyperlink" Target="http://www.sec.gov/Archives/edgar/data/7032/000119312514070032/d663907dex1071.htm" TargetMode="External"/><Relationship Id="rId118" Type="http://schemas.openxmlformats.org/officeDocument/2006/relationships/hyperlink" Target="http://www.sec.gov/Archives/edgar/data/1584509/000119312519263370/d81596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2019-12-28T01:23:31Z</dcterms:created>
  <dcterms:modified xsi:type="dcterms:W3CDTF">2019-12-28T01:23:31Z</dcterms:modified>
</cp:coreProperties>
</file>